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D1" w:rsidRPr="00C72217" w:rsidRDefault="001276D1" w:rsidP="00584B23">
      <w:pPr>
        <w:pStyle w:val="Nagwek1"/>
        <w:spacing w:line="360" w:lineRule="auto"/>
        <w:jc w:val="center"/>
        <w:rPr>
          <w:rFonts w:ascii="Verdana" w:hAnsi="Verdana"/>
          <w:b/>
        </w:rPr>
      </w:pPr>
      <w:r w:rsidRPr="00C72217">
        <w:rPr>
          <w:rFonts w:ascii="Verdana" w:hAnsi="Verdana"/>
          <w:b/>
        </w:rPr>
        <w:t>UZASADNIENIE</w:t>
      </w:r>
      <w:r w:rsidR="00584B23" w:rsidRPr="00C72217">
        <w:rPr>
          <w:rFonts w:ascii="Verdana" w:hAnsi="Verdana"/>
          <w:b/>
        </w:rPr>
        <w:t xml:space="preserve"> </w:t>
      </w:r>
      <w:r w:rsidR="006971A0" w:rsidRPr="00C72217">
        <w:rPr>
          <w:rFonts w:ascii="Verdana" w:hAnsi="Verdana"/>
          <w:b/>
        </w:rPr>
        <w:t>ZASTOSOWANIA ART. 4 UST. 4 PKT 2) USTAWY Z DNIA 9 CZERWCA 2016 R. O ZASADACH KSZTAŁTOWANIA WYNAGRODZEŃ OSÓB KIERUJĄCYCH NIEKTÓRYMI SPÓŁKAMI (DZ. U. Z 2016 R. POZ. 1202 Z PÓŹN. ZM.) DO USTALENIA WYNAGRODZENIA PODSTAWOWEGO CZŁONKÓW ZARZĄDU SPÓŁKI WROCŁAWSKIE INWESTYCJE SP. Z O.O.</w:t>
      </w:r>
    </w:p>
    <w:p w:rsidR="002A5D40" w:rsidRPr="00584B23" w:rsidRDefault="002A5D40" w:rsidP="00584B23">
      <w:pPr>
        <w:spacing w:before="100" w:beforeAutospacing="1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Zgodnie z art. 4 ust. 4 </w:t>
      </w:r>
      <w:proofErr w:type="spellStart"/>
      <w:r w:rsidRPr="00584B23">
        <w:rPr>
          <w:rFonts w:ascii="Verdana" w:hAnsi="Verdana" w:cstheme="minorHAnsi"/>
          <w:szCs w:val="22"/>
        </w:rPr>
        <w:t>pkt</w:t>
      </w:r>
      <w:proofErr w:type="spellEnd"/>
      <w:r w:rsidRPr="00584B23">
        <w:rPr>
          <w:rFonts w:ascii="Verdana" w:hAnsi="Verdana" w:cstheme="minorHAnsi"/>
          <w:szCs w:val="22"/>
        </w:rPr>
        <w:t xml:space="preserve"> 2) ustawy z dnia 9 czerwca 2016 r. o zasadach kształtowania wynagrodzeń osób kierujących niektórymi spółkami (Dz. U. z 2016 r. poz. 1202 z </w:t>
      </w:r>
      <w:proofErr w:type="spellStart"/>
      <w:r w:rsidRPr="00584B23">
        <w:rPr>
          <w:rFonts w:ascii="Verdana" w:hAnsi="Verdana" w:cstheme="minorHAnsi"/>
          <w:szCs w:val="22"/>
        </w:rPr>
        <w:t>późn</w:t>
      </w:r>
      <w:proofErr w:type="spellEnd"/>
      <w:r w:rsidRPr="00584B23">
        <w:rPr>
          <w:rFonts w:ascii="Verdana" w:hAnsi="Verdana" w:cstheme="minorHAnsi"/>
          <w:szCs w:val="22"/>
        </w:rPr>
        <w:t>. zm.)</w:t>
      </w:r>
      <w:r w:rsidR="00EC76FB" w:rsidRPr="00584B23">
        <w:rPr>
          <w:rFonts w:ascii="Verdana" w:hAnsi="Verdana" w:cstheme="minorHAnsi"/>
          <w:szCs w:val="22"/>
        </w:rPr>
        <w:t xml:space="preserve">, „przy ustalaniu części stałej wynagrodzenia członka organu zarządzającego podmiotów, których przeważający przedmiot działalności gospodarczej polega na zarządzaniu aktywami podmiotów trzecich – uwzględnia się wyłącznie </w:t>
      </w:r>
      <w:r w:rsidR="00157F96" w:rsidRPr="00584B23">
        <w:rPr>
          <w:rFonts w:ascii="Verdana" w:hAnsi="Verdana" w:cstheme="minorHAnsi"/>
          <w:szCs w:val="22"/>
        </w:rPr>
        <w:t>przesłankę sumy aktywów bilansu, przy czym przez aktywa rozumie się również aktywa powierzone w zarządzanie.”</w:t>
      </w:r>
    </w:p>
    <w:p w:rsidR="00E42018" w:rsidRPr="00584B23" w:rsidRDefault="006D7226" w:rsidP="00584B23">
      <w:pPr>
        <w:spacing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Cytowany przepis ustawy znajduje zastosowanie w przypadku ustalenia wynagrodzenia podstawowego członków </w:t>
      </w:r>
      <w:r w:rsidR="00E42018" w:rsidRPr="00584B23">
        <w:rPr>
          <w:rFonts w:ascii="Verdana" w:hAnsi="Verdana" w:cstheme="minorHAnsi"/>
          <w:szCs w:val="22"/>
        </w:rPr>
        <w:t>Zarządu Spółki Wrocławskie Inwestycje Sp. z o.o., ponieważ d</w:t>
      </w:r>
      <w:r w:rsidR="000876CA" w:rsidRPr="00584B23">
        <w:rPr>
          <w:rFonts w:ascii="Verdana" w:hAnsi="Verdana" w:cstheme="minorHAnsi"/>
          <w:szCs w:val="22"/>
        </w:rPr>
        <w:t xml:space="preserve">ziałalność gospodarcza </w:t>
      </w:r>
      <w:r w:rsidR="00E42018" w:rsidRPr="00584B23">
        <w:rPr>
          <w:rFonts w:ascii="Verdana" w:hAnsi="Verdana" w:cstheme="minorHAnsi"/>
          <w:szCs w:val="22"/>
        </w:rPr>
        <w:t xml:space="preserve">tej spółki </w:t>
      </w:r>
      <w:r w:rsidR="000876CA" w:rsidRPr="00584B23">
        <w:rPr>
          <w:rFonts w:ascii="Verdana" w:hAnsi="Verdana" w:cstheme="minorHAnsi"/>
          <w:szCs w:val="22"/>
        </w:rPr>
        <w:t xml:space="preserve">polega na zarządzaniu </w:t>
      </w:r>
      <w:r w:rsidRPr="00584B23">
        <w:rPr>
          <w:rFonts w:ascii="Verdana" w:hAnsi="Verdana" w:cstheme="minorHAnsi"/>
          <w:szCs w:val="22"/>
        </w:rPr>
        <w:t xml:space="preserve">inwestycjami, stanowiącymi </w:t>
      </w:r>
      <w:r w:rsidR="000876CA" w:rsidRPr="00584B23">
        <w:rPr>
          <w:rFonts w:ascii="Verdana" w:hAnsi="Verdana" w:cstheme="minorHAnsi"/>
          <w:szCs w:val="22"/>
        </w:rPr>
        <w:t>aktywa Gminy Wrocław</w:t>
      </w:r>
      <w:r w:rsidR="00E42018" w:rsidRPr="00584B23">
        <w:rPr>
          <w:rFonts w:ascii="Verdana" w:hAnsi="Verdana" w:cstheme="minorHAnsi"/>
          <w:szCs w:val="22"/>
        </w:rPr>
        <w:t>.</w:t>
      </w:r>
    </w:p>
    <w:p w:rsidR="00E42018" w:rsidRPr="00584B23" w:rsidRDefault="00680FF5" w:rsidP="00584B23">
      <w:pPr>
        <w:spacing w:before="100" w:beforeAutospacing="1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Wrocławskie Inwestycje Sp. z o.o. została powołana przez Gminę Wrocław w celu </w:t>
      </w:r>
      <w:r w:rsidR="00E42018" w:rsidRPr="00584B23">
        <w:rPr>
          <w:rFonts w:ascii="Verdana" w:hAnsi="Verdana" w:cstheme="minorHAnsi"/>
          <w:szCs w:val="22"/>
        </w:rPr>
        <w:t>prowadzeni</w:t>
      </w:r>
      <w:r w:rsidRPr="00584B23">
        <w:rPr>
          <w:rFonts w:ascii="Verdana" w:hAnsi="Verdana" w:cstheme="minorHAnsi"/>
          <w:szCs w:val="22"/>
        </w:rPr>
        <w:t>a</w:t>
      </w:r>
      <w:r w:rsidR="00E42018" w:rsidRPr="00584B23">
        <w:rPr>
          <w:rFonts w:ascii="Verdana" w:hAnsi="Verdana" w:cstheme="minorHAnsi"/>
          <w:szCs w:val="22"/>
        </w:rPr>
        <w:t xml:space="preserve"> obsługi inwestorskiej wykonywanej na rzecz Gminy Wrocław na zasadach zastępstwa inwestorskiego i wykonywania w jego ramach obowiązków związanych</w:t>
      </w:r>
      <w:r w:rsidRPr="00584B23">
        <w:rPr>
          <w:rFonts w:ascii="Verdana" w:hAnsi="Verdana" w:cstheme="minorHAnsi"/>
          <w:szCs w:val="22"/>
        </w:rPr>
        <w:t xml:space="preserve"> </w:t>
      </w:r>
      <w:r w:rsidR="00E42018" w:rsidRPr="00584B23">
        <w:rPr>
          <w:rFonts w:ascii="Verdana" w:hAnsi="Verdana" w:cstheme="minorHAnsi"/>
          <w:szCs w:val="22"/>
        </w:rPr>
        <w:t>z procesem budowlanym z zakresu: gminnych dróg, ulic, obiektów inżynierskich, placów, stadionów i innych obiektów sportowych oraz organizacji ruchu, obiektów kubaturowych służących realizacji zadań własnych Gminy Wrocław, związanych z gminnym budownictwem mieszkaniowym, edukacją publiczną</w:t>
      </w:r>
      <w:r w:rsidR="00F65540" w:rsidRPr="00584B23">
        <w:rPr>
          <w:rFonts w:ascii="Verdana" w:hAnsi="Verdana" w:cstheme="minorHAnsi"/>
          <w:szCs w:val="22"/>
        </w:rPr>
        <w:t xml:space="preserve">, kulturą </w:t>
      </w:r>
      <w:r w:rsidR="00E42018" w:rsidRPr="00584B23">
        <w:rPr>
          <w:rFonts w:ascii="Verdana" w:hAnsi="Verdana" w:cstheme="minorHAnsi"/>
          <w:szCs w:val="22"/>
        </w:rPr>
        <w:t xml:space="preserve">i ochroną zabytków, ochroną przyrody. </w:t>
      </w:r>
    </w:p>
    <w:p w:rsidR="00C21594" w:rsidRPr="00584B23" w:rsidRDefault="009F27B6" w:rsidP="00584B23">
      <w:pPr>
        <w:spacing w:before="100" w:beforeAutospacing="1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>Działalność Spółki ma charakter kompleksowej obsługi inwestorskiej inwestycji Gminy Wrocław</w:t>
      </w:r>
      <w:r w:rsidR="001659B1" w:rsidRPr="00584B23">
        <w:rPr>
          <w:rFonts w:ascii="Verdana" w:hAnsi="Verdana" w:cstheme="minorHAnsi"/>
          <w:szCs w:val="22"/>
        </w:rPr>
        <w:t xml:space="preserve">, obejmującej nie tylko </w:t>
      </w:r>
      <w:r w:rsidR="00891F64" w:rsidRPr="00584B23">
        <w:rPr>
          <w:rFonts w:ascii="Verdana" w:hAnsi="Verdana" w:cstheme="minorHAnsi"/>
          <w:szCs w:val="22"/>
        </w:rPr>
        <w:t xml:space="preserve">realizację i rozliczenie </w:t>
      </w:r>
      <w:r w:rsidR="001659B1" w:rsidRPr="00584B23">
        <w:rPr>
          <w:rFonts w:ascii="Verdana" w:hAnsi="Verdana" w:cstheme="minorHAnsi"/>
          <w:szCs w:val="22"/>
        </w:rPr>
        <w:t>proces</w:t>
      </w:r>
      <w:r w:rsidR="00891F64" w:rsidRPr="00584B23">
        <w:rPr>
          <w:rFonts w:ascii="Verdana" w:hAnsi="Verdana" w:cstheme="minorHAnsi"/>
          <w:szCs w:val="22"/>
        </w:rPr>
        <w:t>u</w:t>
      </w:r>
      <w:r w:rsidR="001659B1" w:rsidRPr="00584B23">
        <w:rPr>
          <w:rFonts w:ascii="Verdana" w:hAnsi="Verdana" w:cstheme="minorHAnsi"/>
          <w:szCs w:val="22"/>
        </w:rPr>
        <w:t xml:space="preserve"> budowlan</w:t>
      </w:r>
      <w:r w:rsidR="00891F64" w:rsidRPr="00584B23">
        <w:rPr>
          <w:rFonts w:ascii="Verdana" w:hAnsi="Verdana" w:cstheme="minorHAnsi"/>
          <w:szCs w:val="22"/>
        </w:rPr>
        <w:t>ego, lecz także wykonywanie zadań związanych z finansowaniem inwestycji</w:t>
      </w:r>
      <w:r w:rsidRPr="00584B23">
        <w:rPr>
          <w:rFonts w:ascii="Verdana" w:hAnsi="Verdana" w:cstheme="minorHAnsi"/>
          <w:szCs w:val="22"/>
        </w:rPr>
        <w:t xml:space="preserve">. </w:t>
      </w:r>
    </w:p>
    <w:p w:rsidR="0070437B" w:rsidRPr="00584B23" w:rsidRDefault="009F27B6" w:rsidP="00584B23">
      <w:pPr>
        <w:spacing w:before="100" w:beforeAutospacing="1" w:after="60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>W ramach p</w:t>
      </w:r>
      <w:r w:rsidR="0070437B" w:rsidRPr="00584B23">
        <w:rPr>
          <w:rFonts w:ascii="Verdana" w:hAnsi="Verdana" w:cstheme="minorHAnsi"/>
          <w:szCs w:val="22"/>
        </w:rPr>
        <w:t>ełnieni</w:t>
      </w:r>
      <w:r w:rsidRPr="00584B23">
        <w:rPr>
          <w:rFonts w:ascii="Verdana" w:hAnsi="Verdana" w:cstheme="minorHAnsi"/>
          <w:szCs w:val="22"/>
        </w:rPr>
        <w:t>a</w:t>
      </w:r>
      <w:r w:rsidR="0070437B" w:rsidRPr="00584B23">
        <w:rPr>
          <w:rFonts w:ascii="Verdana" w:hAnsi="Verdana" w:cstheme="minorHAnsi"/>
          <w:szCs w:val="22"/>
        </w:rPr>
        <w:t xml:space="preserve"> </w:t>
      </w:r>
      <w:proofErr w:type="spellStart"/>
      <w:r w:rsidR="0070437B" w:rsidRPr="00584B23">
        <w:rPr>
          <w:rFonts w:ascii="Verdana" w:hAnsi="Verdana" w:cstheme="minorHAnsi"/>
          <w:szCs w:val="22"/>
        </w:rPr>
        <w:t>inwestorstwa</w:t>
      </w:r>
      <w:proofErr w:type="spellEnd"/>
      <w:r w:rsidR="0070437B" w:rsidRPr="00584B23">
        <w:rPr>
          <w:rFonts w:ascii="Verdana" w:hAnsi="Verdana" w:cstheme="minorHAnsi"/>
          <w:szCs w:val="22"/>
        </w:rPr>
        <w:t xml:space="preserve"> </w:t>
      </w:r>
      <w:r w:rsidRPr="00584B23">
        <w:rPr>
          <w:rFonts w:ascii="Verdana" w:hAnsi="Verdana" w:cstheme="minorHAnsi"/>
          <w:szCs w:val="22"/>
        </w:rPr>
        <w:t xml:space="preserve">zastępczego </w:t>
      </w:r>
      <w:r w:rsidR="0057250B" w:rsidRPr="00584B23">
        <w:rPr>
          <w:rFonts w:ascii="Verdana" w:hAnsi="Verdana" w:cstheme="minorHAnsi"/>
          <w:szCs w:val="22"/>
        </w:rPr>
        <w:t>dla</w:t>
      </w:r>
      <w:r w:rsidRPr="00584B23">
        <w:rPr>
          <w:rFonts w:ascii="Verdana" w:hAnsi="Verdana" w:cstheme="minorHAnsi"/>
          <w:szCs w:val="22"/>
        </w:rPr>
        <w:t xml:space="preserve"> poszczególnych inwestycji Spółka wykonuje w szczególności </w:t>
      </w:r>
      <w:r w:rsidR="0070437B" w:rsidRPr="00584B23">
        <w:rPr>
          <w:rFonts w:ascii="Verdana" w:hAnsi="Verdana" w:cstheme="minorHAnsi"/>
          <w:szCs w:val="22"/>
        </w:rPr>
        <w:t>następując</w:t>
      </w:r>
      <w:r w:rsidRPr="00584B23">
        <w:rPr>
          <w:rFonts w:ascii="Verdana" w:hAnsi="Verdana" w:cstheme="minorHAnsi"/>
          <w:szCs w:val="22"/>
        </w:rPr>
        <w:t>e</w:t>
      </w:r>
      <w:r w:rsidR="0070437B" w:rsidRPr="00584B23">
        <w:rPr>
          <w:rFonts w:ascii="Verdana" w:hAnsi="Verdana" w:cstheme="minorHAnsi"/>
          <w:szCs w:val="22"/>
        </w:rPr>
        <w:t xml:space="preserve"> czynności: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lastRenderedPageBreak/>
        <w:t>sprawowanie nadzoru inwestorskiego w rozumieniu przepisów prawa budowlanego i/lub pełnienie roli inżyniera kontraktu według warunków  FIDIC;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zorganizowanie przetargu i wyłonienie </w:t>
      </w:r>
      <w:r w:rsidR="0057250B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 xml:space="preserve">ykonawcy lub </w:t>
      </w:r>
      <w:r w:rsidR="0057250B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>ykonawców robót, dostaw lub usług</w:t>
      </w:r>
      <w:r w:rsidR="0057250B" w:rsidRPr="00584B23">
        <w:rPr>
          <w:rFonts w:ascii="Verdana" w:hAnsi="Verdana" w:cstheme="minorHAnsi"/>
          <w:szCs w:val="22"/>
        </w:rPr>
        <w:t xml:space="preserve"> </w:t>
      </w:r>
      <w:r w:rsidRPr="00584B23">
        <w:rPr>
          <w:rFonts w:ascii="Verdana" w:hAnsi="Verdana" w:cstheme="minorHAnsi"/>
          <w:szCs w:val="22"/>
        </w:rPr>
        <w:t xml:space="preserve">związanych z realizacją </w:t>
      </w:r>
      <w:r w:rsidR="0057250B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57250B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nwestycyjnego wraz z przygotowaniem umowy z tym </w:t>
      </w:r>
      <w:r w:rsidR="0057250B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 xml:space="preserve">ykonawcą lub </w:t>
      </w:r>
      <w:r w:rsidR="0057250B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>ykonawcami;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zawieranie umów z </w:t>
      </w:r>
      <w:r w:rsidR="0057250B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 xml:space="preserve">ykonawcami w imieniu i na rzecz </w:t>
      </w:r>
      <w:r w:rsidR="0057250B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, a także w imieniu i na rzecz innych zamawiających, realizujących wspólnie z </w:t>
      </w:r>
      <w:r w:rsidR="0057250B" w:rsidRPr="00584B23">
        <w:rPr>
          <w:rFonts w:ascii="Verdana" w:hAnsi="Verdana" w:cstheme="minorHAnsi"/>
          <w:szCs w:val="22"/>
        </w:rPr>
        <w:t>Gminą z</w:t>
      </w:r>
      <w:r w:rsidRPr="00584B23">
        <w:rPr>
          <w:rFonts w:ascii="Verdana" w:hAnsi="Verdana" w:cstheme="minorHAnsi"/>
          <w:szCs w:val="22"/>
        </w:rPr>
        <w:t xml:space="preserve">adanie </w:t>
      </w:r>
      <w:r w:rsidR="0057250B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nwestycyjne (w szczególności MPK Sp. z o.o., </w:t>
      </w:r>
      <w:proofErr w:type="spellStart"/>
      <w:r w:rsidRPr="00584B23">
        <w:rPr>
          <w:rFonts w:ascii="Verdana" w:hAnsi="Verdana" w:cstheme="minorHAnsi"/>
          <w:szCs w:val="22"/>
        </w:rPr>
        <w:t>MPWiK</w:t>
      </w:r>
      <w:proofErr w:type="spellEnd"/>
      <w:r w:rsidRPr="00584B23">
        <w:rPr>
          <w:rFonts w:ascii="Verdana" w:hAnsi="Verdana" w:cstheme="minorHAnsi"/>
          <w:szCs w:val="22"/>
        </w:rPr>
        <w:t xml:space="preserve"> S.A., </w:t>
      </w:r>
      <w:proofErr w:type="spellStart"/>
      <w:r w:rsidRPr="00584B23">
        <w:rPr>
          <w:rFonts w:ascii="Verdana" w:hAnsi="Verdana" w:cstheme="minorHAnsi"/>
          <w:szCs w:val="22"/>
        </w:rPr>
        <w:t>GDDKiA</w:t>
      </w:r>
      <w:proofErr w:type="spellEnd"/>
      <w:r w:rsidRPr="00584B23">
        <w:rPr>
          <w:rFonts w:ascii="Verdana" w:hAnsi="Verdana" w:cstheme="minorHAnsi"/>
          <w:szCs w:val="22"/>
        </w:rPr>
        <w:t>, PKP), na podstawie zawartych z nimi porozumień;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współpracę z innymi niż </w:t>
      </w:r>
      <w:r w:rsidR="0057250B" w:rsidRPr="00584B23">
        <w:rPr>
          <w:rFonts w:ascii="Verdana" w:hAnsi="Verdana" w:cstheme="minorHAnsi"/>
          <w:szCs w:val="22"/>
        </w:rPr>
        <w:t>Gmina Wrocław</w:t>
      </w:r>
      <w:r w:rsidRPr="00584B23">
        <w:rPr>
          <w:rFonts w:ascii="Verdana" w:hAnsi="Verdana" w:cstheme="minorHAnsi"/>
          <w:szCs w:val="22"/>
        </w:rPr>
        <w:t xml:space="preserve"> </w:t>
      </w:r>
      <w:proofErr w:type="spellStart"/>
      <w:r w:rsidRPr="00584B23">
        <w:rPr>
          <w:rFonts w:ascii="Verdana" w:hAnsi="Verdana" w:cstheme="minorHAnsi"/>
          <w:szCs w:val="22"/>
        </w:rPr>
        <w:t>współzamaw</w:t>
      </w:r>
      <w:r w:rsidR="00EC44D9" w:rsidRPr="00584B23">
        <w:rPr>
          <w:rFonts w:ascii="Verdana" w:hAnsi="Verdana" w:cstheme="minorHAnsi"/>
          <w:szCs w:val="22"/>
        </w:rPr>
        <w:t>iającymi</w:t>
      </w:r>
      <w:proofErr w:type="spellEnd"/>
      <w:r w:rsidR="00EC44D9" w:rsidRPr="00584B23">
        <w:rPr>
          <w:rFonts w:ascii="Verdana" w:hAnsi="Verdana" w:cstheme="minorHAnsi"/>
          <w:szCs w:val="22"/>
        </w:rPr>
        <w:t xml:space="preserve">  lub innymi podmiotami </w:t>
      </w:r>
      <w:r w:rsidRPr="00584B23">
        <w:rPr>
          <w:rFonts w:ascii="Verdana" w:hAnsi="Verdana" w:cstheme="minorHAnsi"/>
          <w:szCs w:val="22"/>
        </w:rPr>
        <w:t xml:space="preserve">współfinansującymi  </w:t>
      </w:r>
      <w:r w:rsidR="0057250B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adanie </w:t>
      </w:r>
      <w:r w:rsidR="0057250B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organizowanie narad koordynacyjnych na budowie, w tym zapraszanie wskazanych przedstawicieli </w:t>
      </w:r>
      <w:r w:rsidR="00302613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 do udziału w naradach koordynacyjnych;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>przygotowanie na rzecz przyszłego użytkownika wszystkich niezbędnych dokumentów do zawarcia umów na dostawę mediów;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dokonywanie częściowych odbiorów technicznych, odbioru końcowego i odbioru ostatecznego robót, dostaw lub usług związanych z realizacją </w:t>
      </w:r>
      <w:r w:rsidR="00302613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302613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informowanie </w:t>
      </w:r>
      <w:r w:rsidR="00302613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 o terminach częściowych odbiorów technicznych oraz o terminach odbioru końcowego i ostatecznego robót, dostaw lub usług związanych z realizacją </w:t>
      </w:r>
      <w:r w:rsidR="00302613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302613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nwestycyjnego, a także zaprasza</w:t>
      </w:r>
      <w:r w:rsidR="00302613" w:rsidRPr="00584B23">
        <w:rPr>
          <w:rFonts w:ascii="Verdana" w:hAnsi="Verdana" w:cstheme="minorHAnsi"/>
          <w:szCs w:val="22"/>
        </w:rPr>
        <w:t xml:space="preserve">nie </w:t>
      </w:r>
      <w:r w:rsidRPr="00584B23">
        <w:rPr>
          <w:rFonts w:ascii="Verdana" w:hAnsi="Verdana" w:cstheme="minorHAnsi"/>
          <w:szCs w:val="22"/>
        </w:rPr>
        <w:t xml:space="preserve">wskazanych przedstawicieli </w:t>
      </w:r>
      <w:r w:rsidR="00302613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 oraz przyszłego użytkownika do udziału w tych odbiorach;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dokonywanie rozliczeń częściowych, końcowego i ostatecznego </w:t>
      </w:r>
      <w:r w:rsidR="00302613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302613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sporządzanie i przekazywanie użytkownikom w imieniu </w:t>
      </w:r>
      <w:r w:rsidR="00302613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 dokumentów PT/OT związanych</w:t>
      </w:r>
      <w:r w:rsidR="00302613" w:rsidRPr="00584B23">
        <w:rPr>
          <w:rFonts w:ascii="Verdana" w:hAnsi="Verdana" w:cstheme="minorHAnsi"/>
          <w:szCs w:val="22"/>
        </w:rPr>
        <w:t xml:space="preserve"> </w:t>
      </w:r>
      <w:r w:rsidRPr="00584B23">
        <w:rPr>
          <w:rFonts w:ascii="Verdana" w:hAnsi="Verdana" w:cstheme="minorHAnsi"/>
          <w:szCs w:val="22"/>
        </w:rPr>
        <w:t xml:space="preserve">z </w:t>
      </w:r>
      <w:r w:rsidR="00302613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adaniem </w:t>
      </w:r>
      <w:r w:rsidR="00302613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nwestycyjnym;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informowanie </w:t>
      </w:r>
      <w:r w:rsidR="00302613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 o konieczności wykonania w ramach </w:t>
      </w:r>
      <w:r w:rsidR="001321D4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1321D4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nwestycyjnego nie przewidzianych wcześniej czynności, z którymi wiąże się konieczność poniesienia dodatkowych kosztów i  zaciągnięcia zobowiązań powodujących ich powstanie; 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lastRenderedPageBreak/>
        <w:t xml:space="preserve">sporządzanie i przedkładanie wymaganych przez </w:t>
      </w:r>
      <w:r w:rsidR="001321D4" w:rsidRPr="00584B23">
        <w:rPr>
          <w:rFonts w:ascii="Verdana" w:hAnsi="Verdana" w:cstheme="minorHAnsi"/>
          <w:szCs w:val="22"/>
        </w:rPr>
        <w:t>Gminę Wrocław</w:t>
      </w:r>
      <w:r w:rsidRPr="00584B23">
        <w:rPr>
          <w:rFonts w:ascii="Verdana" w:hAnsi="Verdana" w:cstheme="minorHAnsi"/>
          <w:szCs w:val="22"/>
        </w:rPr>
        <w:t xml:space="preserve"> oraz instytucje zewnętrzne sprawozdań, raportów i innych dokumentów, w tym także w celu potwierdzenia prawidłowości wykonania </w:t>
      </w:r>
      <w:r w:rsidR="001321D4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1321D4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stałą współpracę z instytucjami finansującymi realizację </w:t>
      </w:r>
      <w:r w:rsidR="001321D4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1321D4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 i niezwłoczne reagowanie na zgłaszane przez nie zastrzeżenia lub uwagi;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sporządzanie dokumentów, raportów i sprawozdań niezbędnych do uznania poniesionych kosztów pełnienia </w:t>
      </w:r>
      <w:proofErr w:type="spellStart"/>
      <w:r w:rsidRPr="00584B23">
        <w:rPr>
          <w:rFonts w:ascii="Verdana" w:hAnsi="Verdana" w:cstheme="minorHAnsi"/>
          <w:szCs w:val="22"/>
        </w:rPr>
        <w:t>inwestorstwa</w:t>
      </w:r>
      <w:proofErr w:type="spellEnd"/>
      <w:r w:rsidRPr="00584B23">
        <w:rPr>
          <w:rFonts w:ascii="Verdana" w:hAnsi="Verdana" w:cstheme="minorHAnsi"/>
          <w:szCs w:val="22"/>
        </w:rPr>
        <w:t xml:space="preserve"> zastępczego w realizacji </w:t>
      </w:r>
      <w:r w:rsidR="001321D4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1321D4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nwestycyjnego za kwalifikowane w rozumieniu przepisów dotyczących zasad dofinansowywania </w:t>
      </w:r>
      <w:r w:rsidR="001321D4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adań </w:t>
      </w:r>
      <w:r w:rsidR="001321D4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nwestycyjnych ze środków zewnętrznych, w tym w szczególności ze środków Unii Europejskiej oraz przedkładanie ich </w:t>
      </w:r>
      <w:r w:rsidR="001321D4" w:rsidRPr="00584B23">
        <w:rPr>
          <w:rFonts w:ascii="Verdana" w:hAnsi="Verdana" w:cstheme="minorHAnsi"/>
          <w:szCs w:val="22"/>
        </w:rPr>
        <w:t>Gminie Wrocław</w:t>
      </w:r>
      <w:r w:rsidRPr="00584B23">
        <w:rPr>
          <w:rFonts w:ascii="Verdana" w:hAnsi="Verdana" w:cstheme="minorHAnsi"/>
          <w:szCs w:val="22"/>
        </w:rPr>
        <w:t>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>prowadzenie analiz i zestawień wydatków poniesionych na realizacj</w:t>
      </w:r>
      <w:r w:rsidR="001321D4" w:rsidRPr="00584B23">
        <w:rPr>
          <w:rFonts w:ascii="Verdana" w:hAnsi="Verdana" w:cstheme="minorHAnsi"/>
          <w:szCs w:val="22"/>
        </w:rPr>
        <w:t>ę</w:t>
      </w:r>
      <w:r w:rsidRPr="00584B23">
        <w:rPr>
          <w:rFonts w:ascii="Verdana" w:hAnsi="Verdana" w:cstheme="minorHAnsi"/>
          <w:szCs w:val="22"/>
        </w:rPr>
        <w:t xml:space="preserve"> </w:t>
      </w:r>
      <w:r w:rsidR="001321D4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1321D4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nwestycyjnego w podziale na źródła jego finansowania, w tym także ze środków zewnętrznych, z uwzględnieniem wydatkowania całkowitej kwoty należności dla wszystkich podmiotów finansujących </w:t>
      </w:r>
      <w:r w:rsidR="001321D4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adanie </w:t>
      </w:r>
      <w:r w:rsidR="001321D4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nadzorowanie poprawnego wnoszenia przez </w:t>
      </w:r>
      <w:r w:rsidR="001321D4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 xml:space="preserve">ykonawców zabezpieczeń, w formie ustalonej w zawartych z nimi umowach oraz kierowanie wniosków do </w:t>
      </w:r>
      <w:r w:rsidR="001321D4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 w sprawie wykorzystania lub zwolnienia tych zabezpieczeń, zgodnie z zasadami określonymi w umowach zawartych z </w:t>
      </w:r>
      <w:r w:rsidR="001659B1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>ykonawcami;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sporządzanie i przedkładanie </w:t>
      </w:r>
      <w:r w:rsidR="001659B1" w:rsidRPr="00584B23">
        <w:rPr>
          <w:rFonts w:ascii="Verdana" w:hAnsi="Verdana" w:cstheme="minorHAnsi"/>
          <w:szCs w:val="22"/>
        </w:rPr>
        <w:t>Gminie Wrocław</w:t>
      </w:r>
      <w:r w:rsidRPr="00584B23">
        <w:rPr>
          <w:rFonts w:ascii="Verdana" w:hAnsi="Verdana" w:cstheme="minorHAnsi"/>
          <w:szCs w:val="22"/>
        </w:rPr>
        <w:t xml:space="preserve">, zgodnie z </w:t>
      </w:r>
      <w:r w:rsidR="001659B1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nstrukcją </w:t>
      </w:r>
      <w:r w:rsidR="001659B1" w:rsidRPr="00584B23">
        <w:rPr>
          <w:rFonts w:ascii="Verdana" w:hAnsi="Verdana" w:cstheme="minorHAnsi"/>
          <w:szCs w:val="22"/>
        </w:rPr>
        <w:t>o</w:t>
      </w:r>
      <w:r w:rsidRPr="00584B23">
        <w:rPr>
          <w:rFonts w:ascii="Verdana" w:hAnsi="Verdana" w:cstheme="minorHAnsi"/>
          <w:szCs w:val="22"/>
        </w:rPr>
        <w:t xml:space="preserve">biegu </w:t>
      </w:r>
      <w:r w:rsidR="001659B1" w:rsidRPr="00584B23">
        <w:rPr>
          <w:rFonts w:ascii="Verdana" w:hAnsi="Verdana" w:cstheme="minorHAnsi"/>
          <w:szCs w:val="22"/>
        </w:rPr>
        <w:t>d</w:t>
      </w:r>
      <w:r w:rsidRPr="00584B23">
        <w:rPr>
          <w:rFonts w:ascii="Verdana" w:hAnsi="Verdana" w:cstheme="minorHAnsi"/>
          <w:szCs w:val="22"/>
        </w:rPr>
        <w:t xml:space="preserve">okumentów, faktur wystawionych przez </w:t>
      </w:r>
      <w:r w:rsidR="001659B1" w:rsidRPr="00584B23">
        <w:rPr>
          <w:rFonts w:ascii="Verdana" w:hAnsi="Verdana" w:cstheme="minorHAnsi"/>
          <w:szCs w:val="22"/>
        </w:rPr>
        <w:t>w</w:t>
      </w:r>
      <w:r w:rsidRPr="00584B23">
        <w:rPr>
          <w:rFonts w:ascii="Verdana" w:hAnsi="Verdana" w:cstheme="minorHAnsi"/>
          <w:szCs w:val="22"/>
        </w:rPr>
        <w:t xml:space="preserve">ykonawców; 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after="60" w:line="360" w:lineRule="auto"/>
        <w:contextualSpacing w:val="0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uzyskanie, po zrealizowaniu </w:t>
      </w:r>
      <w:r w:rsidR="001659B1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1659B1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nwestycyjnego, pozwolenia na użytkowanie, o ile wynika to z uzyskanych decyzji; </w:t>
      </w:r>
    </w:p>
    <w:p w:rsidR="0070437B" w:rsidRPr="00584B23" w:rsidRDefault="0070437B" w:rsidP="00584B23">
      <w:pPr>
        <w:pStyle w:val="Akapitzlist"/>
        <w:numPr>
          <w:ilvl w:val="0"/>
          <w:numId w:val="4"/>
        </w:numPr>
        <w:spacing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przekazywanie w imieniu </w:t>
      </w:r>
      <w:r w:rsidR="001659B1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 inwestycji lub jej części do eksploatacji.</w:t>
      </w:r>
    </w:p>
    <w:p w:rsidR="00CB0CB3" w:rsidRPr="00584B23" w:rsidRDefault="00891F64" w:rsidP="00584B23">
      <w:pPr>
        <w:pStyle w:val="Akapitzlist2"/>
        <w:spacing w:before="100" w:beforeAutospacing="1" w:after="60" w:line="360" w:lineRule="auto"/>
        <w:ind w:left="0"/>
        <w:rPr>
          <w:rFonts w:ascii="Verdana" w:hAnsi="Verdana" w:cstheme="minorHAnsi"/>
          <w:sz w:val="22"/>
          <w:szCs w:val="22"/>
          <w:lang w:eastAsia="pl-PL"/>
        </w:rPr>
      </w:pPr>
      <w:r w:rsidRPr="00584B23">
        <w:rPr>
          <w:rFonts w:ascii="Verdana" w:hAnsi="Verdana" w:cstheme="minorHAnsi"/>
          <w:sz w:val="22"/>
          <w:szCs w:val="22"/>
          <w:lang w:eastAsia="pl-PL"/>
        </w:rPr>
        <w:t xml:space="preserve">Obok zastępstwa inwestorskiego, do zadań Spółki należą także </w:t>
      </w:r>
      <w:r w:rsidR="00CB0CB3" w:rsidRPr="00584B23">
        <w:rPr>
          <w:rFonts w:ascii="Verdana" w:hAnsi="Verdana" w:cstheme="minorHAnsi"/>
          <w:sz w:val="22"/>
          <w:szCs w:val="22"/>
          <w:lang w:eastAsia="pl-PL"/>
        </w:rPr>
        <w:t>czynności w zakresie przygotowania poszczególnych inwestycji Gminy Wrocław, obejmujące m.in.:</w:t>
      </w:r>
    </w:p>
    <w:p w:rsidR="00CB0CB3" w:rsidRPr="00584B23" w:rsidRDefault="00CB0CB3" w:rsidP="00584B23">
      <w:pPr>
        <w:numPr>
          <w:ilvl w:val="0"/>
          <w:numId w:val="6"/>
        </w:numPr>
        <w:spacing w:after="60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lastRenderedPageBreak/>
        <w:t xml:space="preserve">zaplanowanie przebiegu procesu inwestycyjnego dla </w:t>
      </w:r>
      <w:r w:rsidR="00AC1CBF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AC1CBF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 poprzez  zbudowanie harmonogramu jego realizacji;</w:t>
      </w:r>
    </w:p>
    <w:p w:rsidR="00CB0CB3" w:rsidRPr="00584B23" w:rsidRDefault="00CB0CB3" w:rsidP="00584B23">
      <w:pPr>
        <w:numPr>
          <w:ilvl w:val="0"/>
          <w:numId w:val="6"/>
        </w:numPr>
        <w:spacing w:after="60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opracowanie dla </w:t>
      </w:r>
      <w:r w:rsidR="00AC1CBF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AC1CBF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 – w zależności od indywidualnych potrzeb i stadium realizacji – koncepcji, projektów budowlanych, wykonawczych, programów funkcjonalno-użytkowych, kosztorysów inwestorskich, przedmiarów robót, raportów, ekspertyz budowlanych, studiów wykonalności oraz innych opracowań wynikających z przepisów techniczno-budowlanych;</w:t>
      </w:r>
    </w:p>
    <w:p w:rsidR="00CB0CB3" w:rsidRPr="00584B23" w:rsidRDefault="00CB0CB3" w:rsidP="00584B23">
      <w:pPr>
        <w:numPr>
          <w:ilvl w:val="0"/>
          <w:numId w:val="6"/>
        </w:numPr>
        <w:spacing w:after="60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współpracę z </w:t>
      </w:r>
      <w:r w:rsidR="00AC1CBF" w:rsidRPr="00584B23">
        <w:rPr>
          <w:rFonts w:ascii="Verdana" w:hAnsi="Verdana" w:cstheme="minorHAnsi"/>
          <w:szCs w:val="22"/>
        </w:rPr>
        <w:t>Gminą Wrocław</w:t>
      </w:r>
      <w:r w:rsidRPr="00584B23">
        <w:rPr>
          <w:rFonts w:ascii="Verdana" w:hAnsi="Verdana" w:cstheme="minorHAnsi"/>
          <w:szCs w:val="22"/>
        </w:rPr>
        <w:t xml:space="preserve"> w procesie przygotowania i składania wniosków o dofinansowanie </w:t>
      </w:r>
      <w:r w:rsidR="00AC1CBF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adania </w:t>
      </w:r>
      <w:r w:rsidR="00AC1CBF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>nwestycyjnego ze środków zewnętrznych, w tym w szczególności ze środków Unii Europejskiej;</w:t>
      </w:r>
    </w:p>
    <w:p w:rsidR="00CB0CB3" w:rsidRPr="00584B23" w:rsidRDefault="00CB0CB3" w:rsidP="00584B23">
      <w:pPr>
        <w:numPr>
          <w:ilvl w:val="0"/>
          <w:numId w:val="6"/>
        </w:numPr>
        <w:spacing w:after="60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podejmowanie czynności mających na celu ustalenie stanu prawnego nieruchomości, na których realizowane będzie </w:t>
      </w:r>
      <w:r w:rsidR="00AC1CBF" w:rsidRPr="00584B23">
        <w:rPr>
          <w:rFonts w:ascii="Verdana" w:hAnsi="Verdana" w:cstheme="minorHAnsi"/>
          <w:szCs w:val="22"/>
        </w:rPr>
        <w:t>z</w:t>
      </w:r>
      <w:r w:rsidRPr="00584B23">
        <w:rPr>
          <w:rFonts w:ascii="Verdana" w:hAnsi="Verdana" w:cstheme="minorHAnsi"/>
          <w:szCs w:val="22"/>
        </w:rPr>
        <w:t xml:space="preserve">adanie </w:t>
      </w:r>
      <w:r w:rsidR="00AC1CBF" w:rsidRPr="00584B23">
        <w:rPr>
          <w:rFonts w:ascii="Verdana" w:hAnsi="Verdana" w:cstheme="minorHAnsi"/>
          <w:szCs w:val="22"/>
        </w:rPr>
        <w:t>i</w:t>
      </w:r>
      <w:r w:rsidRPr="00584B23">
        <w:rPr>
          <w:rFonts w:ascii="Verdana" w:hAnsi="Verdana" w:cstheme="minorHAnsi"/>
          <w:szCs w:val="22"/>
        </w:rPr>
        <w:t xml:space="preserve">nwestycyjne, polegających na: zebraniu informacji dotyczących nieruchomości stanowiących własność </w:t>
      </w:r>
      <w:r w:rsidR="00AC1CBF" w:rsidRPr="00584B23">
        <w:rPr>
          <w:rFonts w:ascii="Verdana" w:hAnsi="Verdana" w:cstheme="minorHAnsi"/>
          <w:szCs w:val="22"/>
        </w:rPr>
        <w:t>Gminy Wrocław</w:t>
      </w:r>
      <w:r w:rsidRPr="00584B23">
        <w:rPr>
          <w:rFonts w:ascii="Verdana" w:hAnsi="Verdana" w:cstheme="minorHAnsi"/>
          <w:szCs w:val="22"/>
        </w:rPr>
        <w:t xml:space="preserve">, ustaleniu stanu prawnego i faktycznego nieruchomości, stanowiących własność osób trzecich oraz przekazaniu </w:t>
      </w:r>
      <w:r w:rsidR="00AC1CBF" w:rsidRPr="00584B23">
        <w:rPr>
          <w:rFonts w:ascii="Verdana" w:hAnsi="Verdana" w:cstheme="minorHAnsi"/>
          <w:szCs w:val="22"/>
        </w:rPr>
        <w:t>Gminie Wrocław</w:t>
      </w:r>
      <w:r w:rsidRPr="00584B23">
        <w:rPr>
          <w:rFonts w:ascii="Verdana" w:hAnsi="Verdana" w:cstheme="minorHAnsi"/>
          <w:szCs w:val="22"/>
        </w:rPr>
        <w:t xml:space="preserve"> informacji na temat konieczności wykupu nieruchomości lub wywłaszczenia nieruchomości lub przejęcia prawa użytkowania wieczystego lub wypowiedzenia umów dzierżawy (najmu, użytkowania) wskazanych przez Spółkę nieruchomości;</w:t>
      </w:r>
    </w:p>
    <w:p w:rsidR="00A33ACB" w:rsidRPr="00584B23" w:rsidRDefault="00AC1CBF" w:rsidP="00584B23">
      <w:pPr>
        <w:pStyle w:val="Akapitzlist2"/>
        <w:spacing w:after="60" w:line="360" w:lineRule="auto"/>
        <w:ind w:left="0"/>
        <w:rPr>
          <w:rFonts w:ascii="Verdana" w:hAnsi="Verdana" w:cstheme="minorHAnsi"/>
          <w:sz w:val="22"/>
          <w:szCs w:val="22"/>
          <w:lang w:eastAsia="pl-PL"/>
        </w:rPr>
      </w:pPr>
      <w:r w:rsidRPr="00584B23">
        <w:rPr>
          <w:rFonts w:ascii="Verdana" w:hAnsi="Verdana" w:cstheme="minorHAnsi"/>
          <w:sz w:val="22"/>
          <w:szCs w:val="22"/>
          <w:lang w:eastAsia="pl-PL"/>
        </w:rPr>
        <w:t xml:space="preserve">a także </w:t>
      </w:r>
      <w:r w:rsidR="00A33ACB" w:rsidRPr="00584B23">
        <w:rPr>
          <w:rFonts w:ascii="Verdana" w:hAnsi="Verdana" w:cstheme="minorHAnsi"/>
          <w:sz w:val="22"/>
          <w:szCs w:val="22"/>
          <w:lang w:eastAsia="pl-PL"/>
        </w:rPr>
        <w:t xml:space="preserve">obsługa zadań towarzyszących poszczególnym inwestycjom, </w:t>
      </w:r>
      <w:r w:rsidR="00211113" w:rsidRPr="00584B23">
        <w:rPr>
          <w:rFonts w:ascii="Verdana" w:hAnsi="Verdana" w:cstheme="minorHAnsi"/>
          <w:sz w:val="22"/>
          <w:szCs w:val="22"/>
          <w:lang w:eastAsia="pl-PL"/>
        </w:rPr>
        <w:t xml:space="preserve">obejmująca m.in. </w:t>
      </w:r>
      <w:r w:rsidR="00A33ACB" w:rsidRPr="00584B23">
        <w:rPr>
          <w:rFonts w:ascii="Verdana" w:hAnsi="Verdana" w:cstheme="minorHAnsi"/>
          <w:sz w:val="22"/>
          <w:szCs w:val="22"/>
          <w:lang w:eastAsia="pl-PL"/>
        </w:rPr>
        <w:t>: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obsługę kontroli wewnętrznych i zewnętrznych oraz obsługę wykupionych przez bank wierzytelności, których dłużnikiem jest </w:t>
      </w:r>
      <w:r w:rsidR="00211113" w:rsidRPr="00584B23">
        <w:rPr>
          <w:rFonts w:ascii="Verdana" w:eastAsia="BookAntiqua" w:hAnsi="Verdana"/>
          <w:szCs w:val="22"/>
        </w:rPr>
        <w:t>Gmina Wrocław</w:t>
      </w:r>
      <w:r w:rsidRPr="00584B23">
        <w:rPr>
          <w:rFonts w:ascii="Verdana" w:eastAsia="BookAntiqua" w:hAnsi="Verdana"/>
          <w:szCs w:val="22"/>
        </w:rPr>
        <w:t xml:space="preserve"> i stałą współpracę z podmiotami finansującymi Zadanie Inwestycyjne, a także przedkładanie wymaganych przez </w:t>
      </w:r>
      <w:r w:rsidR="00211113" w:rsidRPr="00584B23">
        <w:rPr>
          <w:rFonts w:ascii="Verdana" w:eastAsia="BookAntiqua" w:hAnsi="Verdana"/>
          <w:szCs w:val="22"/>
        </w:rPr>
        <w:t>Gminę Wrocław</w:t>
      </w:r>
      <w:r w:rsidRPr="00584B23">
        <w:rPr>
          <w:rFonts w:ascii="Verdana" w:eastAsia="BookAntiqua" w:hAnsi="Verdana"/>
          <w:szCs w:val="22"/>
        </w:rPr>
        <w:t xml:space="preserve"> oraz instytucje zewnętrzne sprawozdań, raportów, dokumentów w celu potwierdzenia prawidłowości wykonania </w:t>
      </w:r>
      <w:r w:rsidR="00211113" w:rsidRPr="00584B23">
        <w:rPr>
          <w:rFonts w:ascii="Verdana" w:eastAsia="BookAntiqua" w:hAnsi="Verdana"/>
          <w:szCs w:val="22"/>
        </w:rPr>
        <w:t>z</w:t>
      </w:r>
      <w:r w:rsidRPr="00584B23">
        <w:rPr>
          <w:rFonts w:ascii="Verdana" w:eastAsia="BookAntiqua" w:hAnsi="Verdana"/>
          <w:szCs w:val="22"/>
        </w:rPr>
        <w:t xml:space="preserve">adania </w:t>
      </w:r>
      <w:r w:rsidR="00211113" w:rsidRPr="00584B23">
        <w:rPr>
          <w:rFonts w:ascii="Verdana" w:eastAsia="BookAntiqua" w:hAnsi="Verdana"/>
          <w:szCs w:val="22"/>
        </w:rPr>
        <w:t>i</w:t>
      </w:r>
      <w:r w:rsidRPr="00584B23">
        <w:rPr>
          <w:rFonts w:ascii="Verdana" w:eastAsia="BookAntiqua" w:hAnsi="Verdana"/>
          <w:szCs w:val="22"/>
        </w:rPr>
        <w:t>nwestycyjnego;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dokonywanie uzgodnień w zakresie inwestycji będących w kolizji lub sąsiadujących z realizowanym </w:t>
      </w:r>
      <w:r w:rsidR="00211113" w:rsidRPr="00584B23">
        <w:rPr>
          <w:rFonts w:ascii="Verdana" w:eastAsia="BookAntiqua" w:hAnsi="Verdana"/>
          <w:szCs w:val="22"/>
        </w:rPr>
        <w:t>z</w:t>
      </w:r>
      <w:r w:rsidRPr="00584B23">
        <w:rPr>
          <w:rFonts w:ascii="Verdana" w:eastAsia="BookAntiqua" w:hAnsi="Verdana"/>
          <w:szCs w:val="22"/>
        </w:rPr>
        <w:t xml:space="preserve">adaniem </w:t>
      </w:r>
      <w:r w:rsidR="00211113" w:rsidRPr="00584B23">
        <w:rPr>
          <w:rFonts w:ascii="Verdana" w:eastAsia="BookAntiqua" w:hAnsi="Verdana"/>
          <w:szCs w:val="22"/>
        </w:rPr>
        <w:t>i</w:t>
      </w:r>
      <w:r w:rsidRPr="00584B23">
        <w:rPr>
          <w:rFonts w:ascii="Verdana" w:eastAsia="BookAntiqua" w:hAnsi="Verdana"/>
          <w:szCs w:val="22"/>
        </w:rPr>
        <w:t>nwestycyjnym, a prowadzonych przez inne podmioty, zarówno w zakresie dokumentacji, jak i realizowanych robót;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lastRenderedPageBreak/>
        <w:t xml:space="preserve">podejmowanie działań interwencyjnych w przypadkach mogących doprowadzić do utraty uprawnień z tytułu udzielanych przez </w:t>
      </w:r>
      <w:r w:rsidR="00211113" w:rsidRPr="00584B23">
        <w:rPr>
          <w:rFonts w:ascii="Verdana" w:eastAsia="BookAntiqua" w:hAnsi="Verdana"/>
          <w:szCs w:val="22"/>
        </w:rPr>
        <w:t>w</w:t>
      </w:r>
      <w:r w:rsidRPr="00584B23">
        <w:rPr>
          <w:rFonts w:ascii="Verdana" w:eastAsia="BookAntiqua" w:hAnsi="Verdana"/>
          <w:szCs w:val="22"/>
        </w:rPr>
        <w:t>ykonawców gwarancji;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>powiadamianie zainteresowanych stron o terminach przeglądów gwarancyjnych i pogwarancyjnych;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>przeprowadzanie przeglądów gwarancyjnych i pogwarancyjnych wraz ze sporządzaniem stosownej dokumentacji z tych przeglądów;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zgłaszanie </w:t>
      </w:r>
      <w:r w:rsidR="00211113" w:rsidRPr="00584B23">
        <w:rPr>
          <w:rFonts w:ascii="Verdana" w:eastAsia="BookAntiqua" w:hAnsi="Verdana"/>
          <w:szCs w:val="22"/>
        </w:rPr>
        <w:t>w</w:t>
      </w:r>
      <w:r w:rsidRPr="00584B23">
        <w:rPr>
          <w:rFonts w:ascii="Verdana" w:eastAsia="BookAntiqua" w:hAnsi="Verdana"/>
          <w:szCs w:val="22"/>
        </w:rPr>
        <w:t>ykonawcy wad powstałych w okresie gwarancyjnym i ustalanie terminu oraz zatwierdzanie sposobu ich usunięcia;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>nadzór na robotami naprawczymi związanymi z wadami wykazanymi podczas przeglądów, czy też niezależnie ujawnionymi w okresie gwarancyjnym;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dokonywanie w razie konieczności oceny robót, dostaw lub usług przy współpracy z laboratorium, zlecanie ekspertyz, badań oraz testów; 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odbiór robót, dostaw lub usług związanych z usuwaniem wad; 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rozstrzyganie roszczeń (zaległych z okresu realizacji i bieżących w okresie gwarancyjnym); 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>weryfikację i potwierdzanie ostatecznego rozliczenia czynności naprawczych;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sprawdzanie kompletności i prawidłowości przedstawionych przez </w:t>
      </w:r>
      <w:r w:rsidR="00211113" w:rsidRPr="00584B23">
        <w:rPr>
          <w:rFonts w:ascii="Verdana" w:eastAsia="BookAntiqua" w:hAnsi="Verdana"/>
          <w:szCs w:val="22"/>
        </w:rPr>
        <w:t>w</w:t>
      </w:r>
      <w:r w:rsidRPr="00584B23">
        <w:rPr>
          <w:rFonts w:ascii="Verdana" w:eastAsia="BookAntiqua" w:hAnsi="Verdana"/>
          <w:szCs w:val="22"/>
        </w:rPr>
        <w:t>ykonawcę</w:t>
      </w:r>
      <w:r w:rsidRPr="00584B23">
        <w:rPr>
          <w:rFonts w:ascii="Verdana" w:eastAsia="BookAntiqua" w:hAnsi="Verdana"/>
          <w:b/>
          <w:bCs/>
          <w:szCs w:val="22"/>
        </w:rPr>
        <w:t xml:space="preserve"> </w:t>
      </w:r>
      <w:r w:rsidRPr="00584B23">
        <w:rPr>
          <w:rFonts w:ascii="Verdana" w:eastAsia="BookAntiqua" w:hAnsi="Verdana"/>
          <w:szCs w:val="22"/>
        </w:rPr>
        <w:t>dokumentów do odbioru pogwarancyjnego;</w:t>
      </w:r>
    </w:p>
    <w:p w:rsidR="00A33ACB" w:rsidRPr="00584B23" w:rsidRDefault="00A33ACB" w:rsidP="00584B23">
      <w:pPr>
        <w:numPr>
          <w:ilvl w:val="0"/>
          <w:numId w:val="8"/>
        </w:numPr>
        <w:spacing w:after="60" w:line="360" w:lineRule="auto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 xml:space="preserve">wspieranie </w:t>
      </w:r>
      <w:r w:rsidR="00211113" w:rsidRPr="00584B23">
        <w:rPr>
          <w:rFonts w:ascii="Verdana" w:eastAsia="BookAntiqua" w:hAnsi="Verdana"/>
          <w:szCs w:val="22"/>
        </w:rPr>
        <w:t>Gminy Wrocław</w:t>
      </w:r>
      <w:r w:rsidRPr="00584B23">
        <w:rPr>
          <w:rFonts w:ascii="Verdana" w:eastAsia="BookAntiqua" w:hAnsi="Verdana"/>
          <w:szCs w:val="22"/>
        </w:rPr>
        <w:t xml:space="preserve"> w ewentualnych sporach sądowych związanych ze zrealizowanym </w:t>
      </w:r>
      <w:r w:rsidR="00211113" w:rsidRPr="00584B23">
        <w:rPr>
          <w:rFonts w:ascii="Verdana" w:eastAsia="BookAntiqua" w:hAnsi="Verdana"/>
          <w:szCs w:val="22"/>
        </w:rPr>
        <w:t>z</w:t>
      </w:r>
      <w:r w:rsidRPr="00584B23">
        <w:rPr>
          <w:rFonts w:ascii="Verdana" w:eastAsia="BookAntiqua" w:hAnsi="Verdana"/>
          <w:szCs w:val="22"/>
        </w:rPr>
        <w:t xml:space="preserve">daniem </w:t>
      </w:r>
      <w:r w:rsidR="00211113" w:rsidRPr="00584B23">
        <w:rPr>
          <w:rFonts w:ascii="Verdana" w:eastAsia="BookAntiqua" w:hAnsi="Verdana"/>
          <w:szCs w:val="22"/>
        </w:rPr>
        <w:t>i</w:t>
      </w:r>
      <w:r w:rsidRPr="00584B23">
        <w:rPr>
          <w:rFonts w:ascii="Verdana" w:eastAsia="BookAntiqua" w:hAnsi="Verdana"/>
          <w:szCs w:val="22"/>
        </w:rPr>
        <w:t>nwestycyjnym;</w:t>
      </w:r>
    </w:p>
    <w:p w:rsidR="00A33ACB" w:rsidRPr="00584B23" w:rsidRDefault="00A33ACB" w:rsidP="00584B23">
      <w:pPr>
        <w:numPr>
          <w:ilvl w:val="0"/>
          <w:numId w:val="8"/>
        </w:numPr>
        <w:spacing w:line="360" w:lineRule="auto"/>
        <w:ind w:left="714" w:hanging="357"/>
        <w:jc w:val="left"/>
        <w:rPr>
          <w:rFonts w:ascii="Verdana" w:eastAsia="BookAntiqua" w:hAnsi="Verdana"/>
          <w:szCs w:val="22"/>
        </w:rPr>
      </w:pPr>
      <w:r w:rsidRPr="00584B23">
        <w:rPr>
          <w:rFonts w:ascii="Verdana" w:eastAsia="BookAntiqua" w:hAnsi="Verdana"/>
          <w:szCs w:val="22"/>
        </w:rPr>
        <w:t>potwierdzanie zwrotu należnych lub nienależnych  środków finansowych zatrzymanych</w:t>
      </w:r>
      <w:r w:rsidR="0002024C" w:rsidRPr="00584B23">
        <w:rPr>
          <w:rFonts w:ascii="Verdana" w:eastAsia="BookAntiqua" w:hAnsi="Verdana"/>
          <w:szCs w:val="22"/>
        </w:rPr>
        <w:t>.</w:t>
      </w:r>
    </w:p>
    <w:p w:rsidR="0002024C" w:rsidRPr="00584B23" w:rsidRDefault="0002024C" w:rsidP="00584B23">
      <w:pPr>
        <w:spacing w:before="100" w:beforeAutospacing="1" w:after="60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Kompleksowe zarządzanie inwestycjami Gminy Wrocław ma charakter ciągły, tzn. </w:t>
      </w:r>
      <w:r w:rsidR="000B4403" w:rsidRPr="00584B23">
        <w:rPr>
          <w:rFonts w:ascii="Verdana" w:hAnsi="Verdana" w:cstheme="minorHAnsi"/>
          <w:szCs w:val="22"/>
        </w:rPr>
        <w:t xml:space="preserve">Spółka stale uczestniczy w realizacji kolejnych inwestycji gminnych. Inwestycje te są aktywami Gminy Wrocław o znacznej wartości. Obrazuje to </w:t>
      </w:r>
      <w:r w:rsidR="003B7FA0" w:rsidRPr="00584B23">
        <w:rPr>
          <w:rFonts w:ascii="Verdana" w:hAnsi="Verdana" w:cstheme="minorHAnsi"/>
          <w:szCs w:val="22"/>
        </w:rPr>
        <w:t>tabela:</w:t>
      </w:r>
    </w:p>
    <w:p w:rsidR="003B7FA0" w:rsidRPr="00584B23" w:rsidRDefault="003B7FA0" w:rsidP="00584B23">
      <w:pPr>
        <w:spacing w:after="60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/>
          <w:noProof/>
          <w:szCs w:val="22"/>
        </w:rPr>
        <w:lastRenderedPageBreak/>
        <w:drawing>
          <wp:inline distT="0" distB="0" distL="0" distR="0">
            <wp:extent cx="4177561" cy="254036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61" cy="254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FA0" w:rsidRPr="00584B23" w:rsidRDefault="003B7FA0" w:rsidP="00584B23">
      <w:pPr>
        <w:spacing w:before="100" w:beforeAutospacing="1" w:line="360" w:lineRule="auto"/>
        <w:jc w:val="left"/>
        <w:rPr>
          <w:rFonts w:ascii="Verdana" w:hAnsi="Verdana" w:cstheme="minorHAnsi"/>
          <w:szCs w:val="22"/>
        </w:rPr>
      </w:pPr>
      <w:r w:rsidRPr="00584B23">
        <w:rPr>
          <w:rFonts w:ascii="Verdana" w:hAnsi="Verdana" w:cstheme="minorHAnsi"/>
          <w:szCs w:val="22"/>
        </w:rPr>
        <w:t xml:space="preserve">Począwszy od 2009 roku Spółka zarządza inwestycjami, tj. aktywami Gminy Wrocław o przeciętnej </w:t>
      </w:r>
      <w:r w:rsidR="00BA3B92" w:rsidRPr="00584B23">
        <w:rPr>
          <w:rFonts w:ascii="Verdana" w:hAnsi="Verdana" w:cstheme="minorHAnsi"/>
          <w:szCs w:val="22"/>
        </w:rPr>
        <w:t xml:space="preserve">rocznej </w:t>
      </w:r>
      <w:r w:rsidRPr="00584B23">
        <w:rPr>
          <w:rFonts w:ascii="Verdana" w:hAnsi="Verdana" w:cstheme="minorHAnsi"/>
          <w:szCs w:val="22"/>
        </w:rPr>
        <w:t xml:space="preserve">wartości </w:t>
      </w:r>
      <w:r w:rsidR="00BA3B92" w:rsidRPr="00584B23">
        <w:rPr>
          <w:rFonts w:ascii="Verdana" w:hAnsi="Verdana" w:cstheme="minorHAnsi"/>
          <w:szCs w:val="22"/>
        </w:rPr>
        <w:t xml:space="preserve">ponad 280 mln zł. Mając na względzie inwestycje planowane przez Gminę należy uznać, że ten poziom zostanie utrzymany w kolejnych latach. </w:t>
      </w:r>
    </w:p>
    <w:sectPr w:rsidR="003B7FA0" w:rsidRPr="00584B23" w:rsidSect="00014B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92" w:rsidRDefault="006E4B92" w:rsidP="00EC44D9">
      <w:pPr>
        <w:spacing w:line="240" w:lineRule="auto"/>
      </w:pPr>
      <w:r>
        <w:separator/>
      </w:r>
    </w:p>
  </w:endnote>
  <w:endnote w:type="continuationSeparator" w:id="0">
    <w:p w:rsidR="006E4B92" w:rsidRDefault="006E4B92" w:rsidP="00EC4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493377"/>
      <w:docPartObj>
        <w:docPartGallery w:val="Page Numbers (Bottom of Page)"/>
        <w:docPartUnique/>
      </w:docPartObj>
    </w:sdtPr>
    <w:sdtEndPr>
      <w:rPr>
        <w:b/>
        <w:sz w:val="16"/>
      </w:rPr>
    </w:sdtEndPr>
    <w:sdtContent>
      <w:p w:rsidR="005B28FD" w:rsidRPr="005B28FD" w:rsidRDefault="00067CC9">
        <w:pPr>
          <w:pStyle w:val="Stopka"/>
          <w:jc w:val="right"/>
          <w:rPr>
            <w:b/>
            <w:sz w:val="16"/>
          </w:rPr>
        </w:pPr>
        <w:r w:rsidRPr="005B28FD">
          <w:rPr>
            <w:b/>
            <w:sz w:val="16"/>
          </w:rPr>
          <w:fldChar w:fldCharType="begin"/>
        </w:r>
        <w:r w:rsidR="005B28FD" w:rsidRPr="005B28FD">
          <w:rPr>
            <w:b/>
            <w:sz w:val="16"/>
          </w:rPr>
          <w:instrText xml:space="preserve"> PAGE   \* MERGEFORMAT </w:instrText>
        </w:r>
        <w:r w:rsidRPr="005B28FD">
          <w:rPr>
            <w:b/>
            <w:sz w:val="16"/>
          </w:rPr>
          <w:fldChar w:fldCharType="separate"/>
        </w:r>
        <w:r w:rsidR="00C72217">
          <w:rPr>
            <w:b/>
            <w:noProof/>
            <w:sz w:val="16"/>
          </w:rPr>
          <w:t>6</w:t>
        </w:r>
        <w:r w:rsidRPr="005B28FD">
          <w:rPr>
            <w:b/>
            <w:sz w:val="16"/>
          </w:rPr>
          <w:fldChar w:fldCharType="end"/>
        </w:r>
      </w:p>
    </w:sdtContent>
  </w:sdt>
  <w:p w:rsidR="005B28FD" w:rsidRDefault="005B28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92" w:rsidRDefault="006E4B92" w:rsidP="00EC44D9">
      <w:pPr>
        <w:spacing w:line="240" w:lineRule="auto"/>
      </w:pPr>
      <w:r>
        <w:separator/>
      </w:r>
    </w:p>
  </w:footnote>
  <w:footnote w:type="continuationSeparator" w:id="0">
    <w:p w:rsidR="006E4B92" w:rsidRDefault="006E4B92" w:rsidP="00EC44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D9" w:rsidRDefault="00EC44D9">
    <w:pPr>
      <w:pStyle w:val="Nagwek"/>
    </w:pPr>
  </w:p>
  <w:p w:rsidR="00EC44D9" w:rsidRDefault="00EC44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1D17"/>
    <w:multiLevelType w:val="hybridMultilevel"/>
    <w:tmpl w:val="79FC3742"/>
    <w:lvl w:ilvl="0" w:tplc="2BDC1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95B65CC"/>
    <w:multiLevelType w:val="hybridMultilevel"/>
    <w:tmpl w:val="3A1A69CA"/>
    <w:lvl w:ilvl="0" w:tplc="F05CA4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BED14FA"/>
    <w:multiLevelType w:val="hybridMultilevel"/>
    <w:tmpl w:val="75E204CC"/>
    <w:lvl w:ilvl="0" w:tplc="0ECE47C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242425FC"/>
    <w:multiLevelType w:val="hybridMultilevel"/>
    <w:tmpl w:val="47584D04"/>
    <w:lvl w:ilvl="0" w:tplc="BD74924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4AF7390E"/>
    <w:multiLevelType w:val="hybridMultilevel"/>
    <w:tmpl w:val="A58A3F6C"/>
    <w:lvl w:ilvl="0" w:tplc="A4F600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680D0207"/>
    <w:multiLevelType w:val="hybridMultilevel"/>
    <w:tmpl w:val="E9BEBB6A"/>
    <w:lvl w:ilvl="0" w:tplc="2BDC1C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202908"/>
    <w:multiLevelType w:val="hybridMultilevel"/>
    <w:tmpl w:val="BE22B596"/>
    <w:lvl w:ilvl="0" w:tplc="2BDC1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6FE85C72"/>
    <w:multiLevelType w:val="hybridMultilevel"/>
    <w:tmpl w:val="A44C7044"/>
    <w:lvl w:ilvl="0" w:tplc="2BDC1C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6D1"/>
    <w:rsid w:val="00007BA9"/>
    <w:rsid w:val="00014BA6"/>
    <w:rsid w:val="0002024C"/>
    <w:rsid w:val="00067CC9"/>
    <w:rsid w:val="000876CA"/>
    <w:rsid w:val="000B4403"/>
    <w:rsid w:val="001276D1"/>
    <w:rsid w:val="001321D4"/>
    <w:rsid w:val="001405B7"/>
    <w:rsid w:val="00157F96"/>
    <w:rsid w:val="001659B1"/>
    <w:rsid w:val="001B5149"/>
    <w:rsid w:val="00211113"/>
    <w:rsid w:val="002A5D40"/>
    <w:rsid w:val="00302613"/>
    <w:rsid w:val="003B7FA0"/>
    <w:rsid w:val="003C0D3F"/>
    <w:rsid w:val="0055519E"/>
    <w:rsid w:val="005571CE"/>
    <w:rsid w:val="0057250B"/>
    <w:rsid w:val="00584B23"/>
    <w:rsid w:val="005B0EED"/>
    <w:rsid w:val="005B28FD"/>
    <w:rsid w:val="00680FF5"/>
    <w:rsid w:val="006971A0"/>
    <w:rsid w:val="006C1224"/>
    <w:rsid w:val="006D7226"/>
    <w:rsid w:val="006E0FAF"/>
    <w:rsid w:val="006E4B92"/>
    <w:rsid w:val="0070437B"/>
    <w:rsid w:val="00773A9F"/>
    <w:rsid w:val="007E08EF"/>
    <w:rsid w:val="007F778C"/>
    <w:rsid w:val="00891F64"/>
    <w:rsid w:val="008D482A"/>
    <w:rsid w:val="009D02FE"/>
    <w:rsid w:val="009F27B6"/>
    <w:rsid w:val="00A33ACB"/>
    <w:rsid w:val="00AC1CBF"/>
    <w:rsid w:val="00BA3B92"/>
    <w:rsid w:val="00C21594"/>
    <w:rsid w:val="00C72217"/>
    <w:rsid w:val="00CB0CB3"/>
    <w:rsid w:val="00CC01B3"/>
    <w:rsid w:val="00CF0B1C"/>
    <w:rsid w:val="00D548BA"/>
    <w:rsid w:val="00D54BB8"/>
    <w:rsid w:val="00D6524F"/>
    <w:rsid w:val="00DD7471"/>
    <w:rsid w:val="00E42018"/>
    <w:rsid w:val="00EC44D9"/>
    <w:rsid w:val="00EC76FB"/>
    <w:rsid w:val="00F6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1CE"/>
    <w:rPr>
      <w:rFonts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1CE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1CE"/>
    <w:rPr>
      <w:rFonts w:eastAsiaTheme="majorEastAsia" w:cstheme="majorBidi"/>
      <w:bCs/>
      <w:szCs w:val="28"/>
      <w:lang w:eastAsia="pl-PL"/>
    </w:rPr>
  </w:style>
  <w:style w:type="paragraph" w:customStyle="1" w:styleId="Akapitzlist2">
    <w:name w:val="Akapit z listą2"/>
    <w:basedOn w:val="Normalny"/>
    <w:uiPriority w:val="99"/>
    <w:rsid w:val="0070437B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hAnsi="Calibri" w:cs="Calibri"/>
      <w:sz w:val="20"/>
      <w:lang w:eastAsia="en-US"/>
    </w:rPr>
  </w:style>
  <w:style w:type="paragraph" w:styleId="Akapitzlist">
    <w:name w:val="List Paragraph"/>
    <w:basedOn w:val="Normalny"/>
    <w:uiPriority w:val="34"/>
    <w:qFormat/>
    <w:rsid w:val="005725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4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4D9"/>
    <w:rPr>
      <w:rFonts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44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4D9"/>
    <w:rPr>
      <w:rFonts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D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1339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Dominas</dc:creator>
  <cp:lastModifiedBy>umelja04</cp:lastModifiedBy>
  <cp:revision>4</cp:revision>
  <dcterms:created xsi:type="dcterms:W3CDTF">2017-06-01T05:58:00Z</dcterms:created>
  <dcterms:modified xsi:type="dcterms:W3CDTF">2021-04-13T11:19:00Z</dcterms:modified>
</cp:coreProperties>
</file>