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25" w:rsidRPr="002D47F8" w:rsidRDefault="00E84DB7" w:rsidP="002D47F8">
      <w:pPr>
        <w:pStyle w:val="Nagwek1"/>
        <w:rPr>
          <w:szCs w:val="20"/>
        </w:rPr>
      </w:pPr>
      <w:r w:rsidRPr="002D47F8">
        <w:rPr>
          <w:szCs w:val="20"/>
        </w:rPr>
        <w:t>UZASADNIENIE DO PODJĘCIA</w:t>
      </w:r>
      <w:r w:rsidR="00097325" w:rsidRPr="002D47F8">
        <w:rPr>
          <w:szCs w:val="20"/>
        </w:rPr>
        <w:t xml:space="preserve"> UCHWAŁY</w:t>
      </w:r>
      <w:r w:rsidRPr="002D47F8">
        <w:rPr>
          <w:szCs w:val="20"/>
        </w:rPr>
        <w:t xml:space="preserve"> W SPRAWIE KSZTAŁTOWANIA WYNAGRODZENIA </w:t>
      </w:r>
      <w:r w:rsidR="00097325" w:rsidRPr="002D47F8">
        <w:rPr>
          <w:szCs w:val="20"/>
        </w:rPr>
        <w:t>LIKWIDATORA SPÓŁKI SPECJALISTYCZNY ZAKŁAD PROFILAKTYCZNO-LECZNICZY PROVITA SPÓŁKA Z OGRANICZONĄ ODPOWIEDZIALNOŚCIĄ</w:t>
      </w:r>
    </w:p>
    <w:p w:rsidR="002D5F82" w:rsidRPr="002D47F8" w:rsidRDefault="00E84DB7" w:rsidP="002D47F8">
      <w:pPr>
        <w:tabs>
          <w:tab w:val="left" w:pos="1635"/>
        </w:tabs>
        <w:spacing w:before="100" w:beforeAutospacing="1" w:line="360" w:lineRule="auto"/>
        <w:rPr>
          <w:rFonts w:ascii="Verdana" w:hAnsi="Verdana"/>
          <w:spacing w:val="-3"/>
          <w:w w:val="105"/>
          <w:lang w:val="pl-PL"/>
        </w:rPr>
      </w:pPr>
      <w:r w:rsidRPr="002D47F8">
        <w:rPr>
          <w:rFonts w:ascii="Verdana" w:hAnsi="Verdana"/>
          <w:w w:val="105"/>
          <w:lang w:val="pl-PL"/>
        </w:rPr>
        <w:t>W dniu 1</w:t>
      </w:r>
      <w:r w:rsidR="00097325" w:rsidRPr="002D47F8">
        <w:rPr>
          <w:rFonts w:ascii="Verdana" w:hAnsi="Verdana"/>
          <w:w w:val="105"/>
          <w:lang w:val="pl-PL"/>
        </w:rPr>
        <w:t>1</w:t>
      </w:r>
      <w:r w:rsidRPr="002D47F8">
        <w:rPr>
          <w:rFonts w:ascii="Verdana" w:hAnsi="Verdana"/>
          <w:w w:val="105"/>
          <w:lang w:val="pl-PL"/>
        </w:rPr>
        <w:t xml:space="preserve"> </w:t>
      </w:r>
      <w:r w:rsidR="00097325" w:rsidRPr="002D47F8">
        <w:rPr>
          <w:rFonts w:ascii="Verdana" w:hAnsi="Verdana"/>
          <w:w w:val="105"/>
          <w:lang w:val="pl-PL"/>
        </w:rPr>
        <w:t>mar</w:t>
      </w:r>
      <w:r w:rsidRPr="002D47F8">
        <w:rPr>
          <w:rFonts w:ascii="Verdana" w:hAnsi="Verdana"/>
          <w:w w:val="105"/>
          <w:lang w:val="pl-PL"/>
        </w:rPr>
        <w:t>ca 20</w:t>
      </w:r>
      <w:r w:rsidR="00097325" w:rsidRPr="002D47F8">
        <w:rPr>
          <w:rFonts w:ascii="Verdana" w:hAnsi="Verdana"/>
          <w:w w:val="105"/>
          <w:lang w:val="pl-PL"/>
        </w:rPr>
        <w:t>2</w:t>
      </w:r>
      <w:r w:rsidRPr="002D47F8">
        <w:rPr>
          <w:rFonts w:ascii="Verdana" w:hAnsi="Verdana"/>
          <w:w w:val="105"/>
          <w:lang w:val="pl-PL"/>
        </w:rPr>
        <w:t xml:space="preserve">1 roku odbyło się </w:t>
      </w:r>
      <w:r w:rsidR="00097325" w:rsidRPr="002D47F8">
        <w:rPr>
          <w:rFonts w:ascii="Verdana" w:hAnsi="Verdana"/>
          <w:w w:val="105"/>
          <w:lang w:val="pl-PL"/>
        </w:rPr>
        <w:t>Nadz</w:t>
      </w:r>
      <w:r w:rsidRPr="002D47F8">
        <w:rPr>
          <w:rFonts w:ascii="Verdana" w:hAnsi="Verdana"/>
          <w:w w:val="105"/>
          <w:lang w:val="pl-PL"/>
        </w:rPr>
        <w:t xml:space="preserve">wyczajne Zgromadzenie Wspólników spółki </w:t>
      </w:r>
      <w:r w:rsidR="00097325" w:rsidRPr="002D47F8">
        <w:rPr>
          <w:rFonts w:ascii="Verdana" w:hAnsi="Verdana"/>
          <w:w w:val="105"/>
          <w:lang w:val="pl-PL"/>
        </w:rPr>
        <w:t>SPECJALISTYCZNY ZAKŁAD PROFILAKTYCZNO-LECZNICZY PROVITA</w:t>
      </w:r>
      <w:r w:rsidR="00097325" w:rsidRPr="002D47F8">
        <w:rPr>
          <w:w w:val="105"/>
          <w:lang w:val="pl-PL"/>
        </w:rPr>
        <w:t xml:space="preserve"> </w:t>
      </w:r>
      <w:r w:rsidRPr="002D47F8">
        <w:rPr>
          <w:rFonts w:ascii="Verdana" w:hAnsi="Verdana"/>
          <w:w w:val="105"/>
          <w:lang w:val="pl-PL"/>
        </w:rPr>
        <w:t>sp</w:t>
      </w:r>
      <w:r w:rsidR="00097325" w:rsidRPr="002D47F8">
        <w:rPr>
          <w:rFonts w:ascii="Verdana" w:hAnsi="Verdana"/>
          <w:w w:val="105"/>
          <w:lang w:val="pl-PL"/>
        </w:rPr>
        <w:t>.</w:t>
      </w:r>
      <w:r w:rsidRPr="002D47F8">
        <w:rPr>
          <w:rFonts w:ascii="Verdana" w:hAnsi="Verdana"/>
          <w:w w:val="105"/>
          <w:lang w:val="pl-PL"/>
        </w:rPr>
        <w:t xml:space="preserve"> z </w:t>
      </w:r>
      <w:r w:rsidR="00097325" w:rsidRPr="002D47F8">
        <w:rPr>
          <w:rFonts w:ascii="Verdana" w:hAnsi="Verdana"/>
          <w:w w:val="105"/>
          <w:lang w:val="pl-PL"/>
        </w:rPr>
        <w:t>o.o.</w:t>
      </w:r>
      <w:r w:rsidR="002D5F82" w:rsidRPr="002D47F8">
        <w:rPr>
          <w:rFonts w:ascii="Verdana" w:hAnsi="Verdana"/>
          <w:w w:val="105"/>
          <w:lang w:val="pl-PL"/>
        </w:rPr>
        <w:t xml:space="preserve"> (dalej „Spółka”)</w:t>
      </w:r>
      <w:r w:rsidRPr="002D47F8">
        <w:rPr>
          <w:rFonts w:ascii="Verdana" w:hAnsi="Verdana"/>
          <w:w w:val="105"/>
          <w:lang w:val="pl-PL"/>
        </w:rPr>
        <w:t>, którego przedmiotem był</w:t>
      </w:r>
      <w:r w:rsidR="002D5F82" w:rsidRPr="002D47F8">
        <w:rPr>
          <w:rFonts w:ascii="Verdana" w:hAnsi="Verdana"/>
          <w:w w:val="105"/>
          <w:lang w:val="pl-PL"/>
        </w:rPr>
        <w:t>o</w:t>
      </w:r>
      <w:r w:rsidRPr="002D47F8">
        <w:rPr>
          <w:rFonts w:ascii="Verdana" w:hAnsi="Verdana"/>
          <w:w w:val="105"/>
          <w:lang w:val="pl-PL"/>
        </w:rPr>
        <w:t xml:space="preserve"> </w:t>
      </w:r>
      <w:r w:rsidR="002D5F82" w:rsidRPr="002D47F8">
        <w:rPr>
          <w:rFonts w:ascii="Verdana" w:hAnsi="Verdana"/>
          <w:w w:val="105"/>
          <w:lang w:val="pl-PL"/>
        </w:rPr>
        <w:t xml:space="preserve">podjęcie uchwał w sprawie </w:t>
      </w:r>
      <w:r w:rsidR="00097325" w:rsidRPr="002D47F8">
        <w:rPr>
          <w:rFonts w:ascii="Verdana" w:hAnsi="Verdana"/>
          <w:w w:val="105"/>
          <w:lang w:val="pl-PL"/>
        </w:rPr>
        <w:t>likwidacj</w:t>
      </w:r>
      <w:r w:rsidR="002D5F82" w:rsidRPr="002D47F8">
        <w:rPr>
          <w:rFonts w:ascii="Verdana" w:hAnsi="Verdana"/>
          <w:w w:val="105"/>
          <w:lang w:val="pl-PL"/>
        </w:rPr>
        <w:t>i</w:t>
      </w:r>
      <w:r w:rsidR="00097325" w:rsidRPr="002D47F8">
        <w:rPr>
          <w:rFonts w:ascii="Verdana" w:hAnsi="Verdana"/>
          <w:w w:val="105"/>
          <w:lang w:val="pl-PL"/>
        </w:rPr>
        <w:t xml:space="preserve"> Spółki</w:t>
      </w:r>
      <w:r w:rsidR="002D5F82" w:rsidRPr="002D47F8">
        <w:rPr>
          <w:rFonts w:ascii="Verdana" w:hAnsi="Verdana"/>
          <w:w w:val="105"/>
          <w:lang w:val="pl-PL"/>
        </w:rPr>
        <w:t>, w tym</w:t>
      </w:r>
      <w:r w:rsidR="006A3DEF" w:rsidRPr="002D47F8">
        <w:rPr>
          <w:rFonts w:ascii="Verdana" w:hAnsi="Verdana"/>
          <w:w w:val="105"/>
          <w:lang w:val="pl-PL"/>
        </w:rPr>
        <w:t xml:space="preserve"> </w:t>
      </w:r>
      <w:r w:rsidR="002D5F82" w:rsidRPr="002D47F8">
        <w:rPr>
          <w:rFonts w:ascii="Verdana" w:hAnsi="Verdana"/>
          <w:w w:val="105"/>
          <w:lang w:val="pl-PL"/>
        </w:rPr>
        <w:t xml:space="preserve">uchwały w sprawie </w:t>
      </w:r>
      <w:r w:rsidR="00097325" w:rsidRPr="002D47F8">
        <w:rPr>
          <w:rFonts w:ascii="Verdana" w:hAnsi="Verdana"/>
          <w:w w:val="105"/>
          <w:lang w:val="pl-PL"/>
        </w:rPr>
        <w:t>kształtowani</w:t>
      </w:r>
      <w:r w:rsidR="002D5F82" w:rsidRPr="002D47F8">
        <w:rPr>
          <w:rFonts w:ascii="Verdana" w:hAnsi="Verdana"/>
          <w:w w:val="105"/>
          <w:lang w:val="pl-PL"/>
        </w:rPr>
        <w:t>a</w:t>
      </w:r>
      <w:r w:rsidR="00097325" w:rsidRPr="002D47F8">
        <w:rPr>
          <w:rFonts w:ascii="Verdana" w:hAnsi="Verdana"/>
          <w:w w:val="105"/>
          <w:lang w:val="pl-PL"/>
        </w:rPr>
        <w:t xml:space="preserve"> wynagrodzenia Likwidatora Spółki na podstawie </w:t>
      </w:r>
      <w:r w:rsidRPr="002D47F8">
        <w:rPr>
          <w:rFonts w:ascii="Verdana" w:hAnsi="Verdana"/>
          <w:w w:val="105"/>
          <w:lang w:val="pl-PL"/>
        </w:rPr>
        <w:t xml:space="preserve">przepisów ustawy z dnia 9 czerwca 2016 roku </w:t>
      </w:r>
      <w:r w:rsidRPr="002D47F8">
        <w:rPr>
          <w:rFonts w:ascii="Verdana" w:hAnsi="Verdana"/>
          <w:i/>
          <w:w w:val="105"/>
          <w:lang w:val="pl-PL"/>
        </w:rPr>
        <w:t>o</w:t>
      </w:r>
      <w:r w:rsidRPr="002D47F8">
        <w:rPr>
          <w:rFonts w:ascii="Verdana" w:hAnsi="Verdana"/>
          <w:w w:val="105"/>
          <w:lang w:val="pl-PL"/>
        </w:rPr>
        <w:t xml:space="preserve"> </w:t>
      </w:r>
      <w:r w:rsidRPr="002D47F8">
        <w:rPr>
          <w:rFonts w:ascii="Verdana" w:hAnsi="Verdana"/>
          <w:i/>
          <w:w w:val="105"/>
          <w:lang w:val="pl-PL"/>
        </w:rPr>
        <w:t xml:space="preserve">zasadach kształtowania wynagrodzeń osób kierujących niektórymi spółkami </w:t>
      </w:r>
      <w:r w:rsidRPr="002D47F8">
        <w:rPr>
          <w:rFonts w:ascii="Verdana" w:hAnsi="Verdana"/>
          <w:w w:val="105"/>
          <w:lang w:val="pl-PL"/>
        </w:rPr>
        <w:t>(Dz. U. z</w:t>
      </w:r>
      <w:r w:rsidRPr="002D47F8">
        <w:rPr>
          <w:rFonts w:ascii="Verdana" w:hAnsi="Verdana"/>
          <w:spacing w:val="-11"/>
          <w:w w:val="105"/>
          <w:lang w:val="pl-PL"/>
        </w:rPr>
        <w:t xml:space="preserve"> </w:t>
      </w:r>
      <w:r w:rsidR="00715873" w:rsidRPr="002D47F8">
        <w:rPr>
          <w:rFonts w:ascii="Verdana" w:hAnsi="Verdana"/>
          <w:spacing w:val="-11"/>
          <w:w w:val="105"/>
          <w:lang w:val="pl-PL"/>
        </w:rPr>
        <w:t xml:space="preserve">2020 r., poz. 1907 </w:t>
      </w:r>
      <w:r w:rsidRPr="002D47F8">
        <w:rPr>
          <w:rFonts w:ascii="Verdana" w:hAnsi="Verdana"/>
          <w:w w:val="105"/>
          <w:lang w:val="pl-PL"/>
        </w:rPr>
        <w:t>z</w:t>
      </w:r>
      <w:r w:rsidR="00715873" w:rsidRPr="002D47F8">
        <w:rPr>
          <w:rFonts w:ascii="Verdana" w:hAnsi="Verdana"/>
          <w:w w:val="105"/>
          <w:lang w:val="pl-PL"/>
        </w:rPr>
        <w:t>e</w:t>
      </w:r>
      <w:r w:rsidRPr="002D47F8">
        <w:rPr>
          <w:rFonts w:ascii="Verdana" w:hAnsi="Verdana"/>
          <w:spacing w:val="-3"/>
          <w:w w:val="105"/>
          <w:lang w:val="pl-PL"/>
        </w:rPr>
        <w:t xml:space="preserve"> </w:t>
      </w:r>
      <w:r w:rsidRPr="002D47F8">
        <w:rPr>
          <w:rFonts w:ascii="Verdana" w:hAnsi="Verdana"/>
          <w:w w:val="105"/>
          <w:lang w:val="pl-PL"/>
        </w:rPr>
        <w:t>zm.</w:t>
      </w:r>
      <w:r w:rsidR="002D5F82" w:rsidRPr="002D47F8">
        <w:rPr>
          <w:rFonts w:ascii="Verdana" w:hAnsi="Verdana"/>
          <w:w w:val="105"/>
          <w:lang w:val="pl-PL"/>
        </w:rPr>
        <w:t>)</w:t>
      </w:r>
      <w:r w:rsidRPr="002D47F8">
        <w:rPr>
          <w:rFonts w:ascii="Verdana" w:hAnsi="Verdana"/>
          <w:w w:val="105"/>
          <w:lang w:val="pl-PL"/>
        </w:rPr>
        <w:t>,</w:t>
      </w:r>
      <w:r w:rsidRPr="002D47F8">
        <w:rPr>
          <w:rFonts w:ascii="Verdana" w:hAnsi="Verdana"/>
          <w:spacing w:val="-8"/>
          <w:w w:val="105"/>
          <w:lang w:val="pl-PL"/>
        </w:rPr>
        <w:t xml:space="preserve"> </w:t>
      </w:r>
      <w:r w:rsidR="002D5F82" w:rsidRPr="002D47F8">
        <w:rPr>
          <w:rFonts w:ascii="Verdana" w:hAnsi="Verdana"/>
          <w:spacing w:val="-8"/>
          <w:w w:val="105"/>
          <w:lang w:val="pl-PL"/>
        </w:rPr>
        <w:t>(</w:t>
      </w:r>
      <w:r w:rsidRPr="002D47F8">
        <w:rPr>
          <w:rFonts w:ascii="Verdana" w:hAnsi="Verdana"/>
          <w:w w:val="105"/>
          <w:lang w:val="pl-PL"/>
        </w:rPr>
        <w:t>dalej</w:t>
      </w:r>
      <w:r w:rsidR="007A0835" w:rsidRPr="002D47F8">
        <w:rPr>
          <w:rFonts w:ascii="Verdana" w:hAnsi="Verdana"/>
          <w:w w:val="105"/>
          <w:lang w:val="pl-PL"/>
        </w:rPr>
        <w:t xml:space="preserve"> „</w:t>
      </w:r>
      <w:r w:rsidRPr="002D47F8">
        <w:rPr>
          <w:rFonts w:ascii="Verdana" w:hAnsi="Verdana"/>
          <w:w w:val="105"/>
          <w:lang w:val="pl-PL"/>
        </w:rPr>
        <w:t>Ustawa")</w:t>
      </w:r>
      <w:r w:rsidR="002D5F82" w:rsidRPr="002D47F8">
        <w:rPr>
          <w:rFonts w:ascii="Verdana" w:hAnsi="Verdana"/>
          <w:w w:val="105"/>
          <w:lang w:val="pl-PL"/>
        </w:rPr>
        <w:t>.</w:t>
      </w:r>
      <w:r w:rsidRPr="002D47F8">
        <w:rPr>
          <w:rFonts w:ascii="Verdana" w:hAnsi="Verdana"/>
          <w:spacing w:val="-3"/>
          <w:w w:val="105"/>
          <w:lang w:val="pl-PL"/>
        </w:rPr>
        <w:t xml:space="preserve"> </w:t>
      </w:r>
    </w:p>
    <w:p w:rsidR="002D5F82" w:rsidRPr="002D47F8" w:rsidRDefault="002D5F82" w:rsidP="002D47F8">
      <w:pPr>
        <w:tabs>
          <w:tab w:val="left" w:pos="1635"/>
        </w:tabs>
        <w:spacing w:before="100" w:beforeAutospacing="1" w:line="360" w:lineRule="auto"/>
        <w:rPr>
          <w:rFonts w:ascii="Verdana" w:hAnsi="Verdana"/>
          <w:spacing w:val="-3"/>
          <w:w w:val="105"/>
          <w:lang w:val="pl-PL"/>
        </w:rPr>
      </w:pPr>
      <w:r w:rsidRPr="002D47F8">
        <w:rPr>
          <w:rFonts w:ascii="Verdana" w:hAnsi="Verdana"/>
          <w:spacing w:val="-3"/>
          <w:w w:val="105"/>
          <w:lang w:val="pl-PL"/>
        </w:rPr>
        <w:t>Przepis a</w:t>
      </w:r>
      <w:r w:rsidR="00155E8A" w:rsidRPr="002D47F8">
        <w:rPr>
          <w:rFonts w:ascii="Verdana" w:hAnsi="Verdana"/>
          <w:spacing w:val="-3"/>
          <w:w w:val="105"/>
          <w:lang w:val="pl-PL"/>
        </w:rPr>
        <w:t xml:space="preserve">rt. 9 Ustawy określa sposób kształtowania wynagrodzenia likwidatora spółki, jednocześnie dając możliwość </w:t>
      </w:r>
      <w:r w:rsidR="006A3DEF" w:rsidRPr="002D47F8">
        <w:rPr>
          <w:rFonts w:ascii="Verdana" w:hAnsi="Verdana"/>
          <w:spacing w:val="-3"/>
          <w:w w:val="105"/>
          <w:lang w:val="pl-PL"/>
        </w:rPr>
        <w:t>właściwemu organowi spółki</w:t>
      </w:r>
      <w:r w:rsidR="0036699D" w:rsidRPr="002D47F8">
        <w:rPr>
          <w:rFonts w:ascii="Verdana" w:hAnsi="Verdana"/>
          <w:spacing w:val="-3"/>
          <w:w w:val="105"/>
          <w:lang w:val="pl-PL"/>
        </w:rPr>
        <w:t>,</w:t>
      </w:r>
      <w:r w:rsidR="00155E8A" w:rsidRPr="002D47F8">
        <w:rPr>
          <w:rFonts w:ascii="Verdana" w:hAnsi="Verdana"/>
          <w:spacing w:val="-3"/>
          <w:w w:val="105"/>
          <w:lang w:val="pl-PL"/>
        </w:rPr>
        <w:t xml:space="preserve"> ustaleni</w:t>
      </w:r>
      <w:r w:rsidR="006A3DEF" w:rsidRPr="002D47F8">
        <w:rPr>
          <w:rFonts w:ascii="Verdana" w:hAnsi="Verdana"/>
          <w:spacing w:val="-3"/>
          <w:w w:val="105"/>
          <w:lang w:val="pl-PL"/>
        </w:rPr>
        <w:t>a</w:t>
      </w:r>
      <w:r w:rsidR="00155E8A" w:rsidRPr="002D47F8">
        <w:rPr>
          <w:rFonts w:ascii="Verdana" w:hAnsi="Verdana"/>
          <w:spacing w:val="-3"/>
          <w:w w:val="105"/>
          <w:lang w:val="pl-PL"/>
        </w:rPr>
        <w:t xml:space="preserve"> innych proporcji </w:t>
      </w:r>
      <w:r w:rsidR="00A56DB4" w:rsidRPr="002D47F8">
        <w:rPr>
          <w:rFonts w:ascii="Verdana" w:hAnsi="Verdana"/>
          <w:spacing w:val="-3"/>
          <w:w w:val="105"/>
          <w:lang w:val="pl-PL"/>
        </w:rPr>
        <w:t xml:space="preserve">przyznania </w:t>
      </w:r>
      <w:r w:rsidR="0036699D" w:rsidRPr="002D47F8">
        <w:rPr>
          <w:rFonts w:ascii="Verdana" w:hAnsi="Verdana"/>
          <w:spacing w:val="-3"/>
          <w:w w:val="105"/>
          <w:lang w:val="pl-PL"/>
        </w:rPr>
        <w:t xml:space="preserve">części stałej </w:t>
      </w:r>
      <w:r w:rsidRPr="002D47F8">
        <w:rPr>
          <w:rFonts w:ascii="Verdana" w:hAnsi="Verdana"/>
          <w:spacing w:val="-3"/>
          <w:w w:val="105"/>
          <w:lang w:val="pl-PL"/>
        </w:rPr>
        <w:t xml:space="preserve">wynagrodzenia </w:t>
      </w:r>
      <w:r w:rsidR="0036699D" w:rsidRPr="002D47F8">
        <w:rPr>
          <w:rFonts w:ascii="Verdana" w:hAnsi="Verdana"/>
          <w:spacing w:val="-3"/>
          <w:w w:val="105"/>
          <w:lang w:val="pl-PL"/>
        </w:rPr>
        <w:t>i premii likwidacyjnej</w:t>
      </w:r>
      <w:r w:rsidRPr="002D47F8">
        <w:rPr>
          <w:rFonts w:ascii="Verdana" w:hAnsi="Verdana"/>
          <w:spacing w:val="-3"/>
          <w:w w:val="105"/>
          <w:lang w:val="pl-PL"/>
        </w:rPr>
        <w:t>,</w:t>
      </w:r>
      <w:r w:rsidR="0036699D" w:rsidRPr="002D47F8">
        <w:rPr>
          <w:rFonts w:ascii="Verdana" w:hAnsi="Verdana"/>
          <w:spacing w:val="-3"/>
          <w:w w:val="105"/>
          <w:lang w:val="pl-PL"/>
        </w:rPr>
        <w:t xml:space="preserve"> niż określone w </w:t>
      </w:r>
      <w:r w:rsidRPr="002D47F8">
        <w:rPr>
          <w:rFonts w:ascii="Verdana" w:hAnsi="Verdana"/>
          <w:spacing w:val="-3"/>
          <w:w w:val="105"/>
          <w:lang w:val="pl-PL"/>
        </w:rPr>
        <w:t xml:space="preserve">przepisie </w:t>
      </w:r>
      <w:r w:rsidR="0036699D" w:rsidRPr="002D47F8">
        <w:rPr>
          <w:rFonts w:ascii="Verdana" w:hAnsi="Verdana"/>
          <w:spacing w:val="-3"/>
          <w:w w:val="105"/>
          <w:lang w:val="pl-PL"/>
        </w:rPr>
        <w:t xml:space="preserve">art. 9 ust. 2 i 3. </w:t>
      </w:r>
    </w:p>
    <w:p w:rsidR="001A6D64" w:rsidRPr="002D47F8" w:rsidRDefault="00E84DB7" w:rsidP="002D47F8">
      <w:pPr>
        <w:tabs>
          <w:tab w:val="left" w:pos="1635"/>
        </w:tabs>
        <w:spacing w:before="100" w:beforeAutospacing="1" w:line="360" w:lineRule="auto"/>
        <w:rPr>
          <w:rFonts w:ascii="Verdana" w:hAnsi="Verdana"/>
          <w:spacing w:val="-3"/>
          <w:w w:val="105"/>
          <w:lang w:val="pl-PL"/>
        </w:rPr>
      </w:pPr>
      <w:r w:rsidRPr="002D47F8">
        <w:rPr>
          <w:rFonts w:ascii="Verdana" w:hAnsi="Verdana"/>
          <w:w w:val="105"/>
          <w:lang w:val="pl-PL"/>
        </w:rPr>
        <w:t>Prezydent</w:t>
      </w:r>
      <w:r w:rsidRPr="002D47F8">
        <w:rPr>
          <w:rFonts w:ascii="Verdana" w:hAnsi="Verdana"/>
          <w:spacing w:val="-8"/>
          <w:w w:val="105"/>
          <w:lang w:val="pl-PL"/>
        </w:rPr>
        <w:t xml:space="preserve"> </w:t>
      </w:r>
      <w:r w:rsidRPr="002D47F8">
        <w:rPr>
          <w:rFonts w:ascii="Verdana" w:hAnsi="Verdana"/>
          <w:w w:val="105"/>
          <w:lang w:val="pl-PL"/>
        </w:rPr>
        <w:t>Wrocławia</w:t>
      </w:r>
      <w:r w:rsidRPr="002D47F8">
        <w:rPr>
          <w:rFonts w:ascii="Verdana" w:hAnsi="Verdana"/>
          <w:spacing w:val="5"/>
          <w:w w:val="105"/>
          <w:lang w:val="pl-PL"/>
        </w:rPr>
        <w:t xml:space="preserve"> </w:t>
      </w:r>
      <w:r w:rsidRPr="002D47F8">
        <w:rPr>
          <w:rFonts w:ascii="Verdana" w:hAnsi="Verdana"/>
          <w:w w:val="105"/>
          <w:lang w:val="pl-PL"/>
        </w:rPr>
        <w:t>jako podmiot uprawniony do wykonywania praw udziałowych skorzysta</w:t>
      </w:r>
      <w:r w:rsidR="00097325" w:rsidRPr="002D47F8">
        <w:rPr>
          <w:rFonts w:ascii="Verdana" w:hAnsi="Verdana"/>
          <w:w w:val="105"/>
          <w:lang w:val="pl-PL"/>
        </w:rPr>
        <w:t>ł</w:t>
      </w:r>
      <w:r w:rsidRPr="002D47F8">
        <w:rPr>
          <w:rFonts w:ascii="Verdana" w:hAnsi="Verdana"/>
          <w:w w:val="105"/>
          <w:lang w:val="pl-PL"/>
        </w:rPr>
        <w:t xml:space="preserve"> z</w:t>
      </w:r>
      <w:r w:rsidRPr="002D47F8">
        <w:rPr>
          <w:rFonts w:ascii="Verdana" w:hAnsi="Verdana"/>
          <w:spacing w:val="-16"/>
          <w:w w:val="105"/>
          <w:lang w:val="pl-PL"/>
        </w:rPr>
        <w:t xml:space="preserve"> </w:t>
      </w:r>
      <w:r w:rsidRPr="002D47F8">
        <w:rPr>
          <w:rFonts w:ascii="Verdana" w:hAnsi="Verdana"/>
          <w:w w:val="105"/>
          <w:lang w:val="pl-PL"/>
        </w:rPr>
        <w:t>przysługującego</w:t>
      </w:r>
      <w:r w:rsidRPr="002D47F8">
        <w:rPr>
          <w:rFonts w:ascii="Verdana" w:hAnsi="Verdana"/>
          <w:spacing w:val="-21"/>
          <w:w w:val="105"/>
          <w:lang w:val="pl-PL"/>
        </w:rPr>
        <w:t xml:space="preserve"> </w:t>
      </w:r>
      <w:r w:rsidRPr="002D47F8">
        <w:rPr>
          <w:rFonts w:ascii="Verdana" w:hAnsi="Verdana"/>
          <w:w w:val="105"/>
          <w:lang w:val="pl-PL"/>
        </w:rPr>
        <w:t>mu</w:t>
      </w:r>
      <w:r w:rsidRPr="002D47F8">
        <w:rPr>
          <w:rFonts w:ascii="Verdana" w:hAnsi="Verdana"/>
          <w:spacing w:val="-12"/>
          <w:w w:val="105"/>
          <w:lang w:val="pl-PL"/>
        </w:rPr>
        <w:t xml:space="preserve"> </w:t>
      </w:r>
      <w:r w:rsidRPr="002D47F8">
        <w:rPr>
          <w:rFonts w:ascii="Verdana" w:hAnsi="Verdana"/>
          <w:w w:val="105"/>
          <w:lang w:val="pl-PL"/>
        </w:rPr>
        <w:t>uprawnienia</w:t>
      </w:r>
      <w:r w:rsidRPr="002D47F8">
        <w:rPr>
          <w:rFonts w:ascii="Verdana" w:hAnsi="Verdana"/>
          <w:spacing w:val="4"/>
          <w:w w:val="105"/>
          <w:lang w:val="pl-PL"/>
        </w:rPr>
        <w:t xml:space="preserve"> </w:t>
      </w:r>
      <w:r w:rsidRPr="002D47F8">
        <w:rPr>
          <w:rFonts w:ascii="Verdana" w:hAnsi="Verdana"/>
          <w:w w:val="105"/>
          <w:lang w:val="pl-PL"/>
        </w:rPr>
        <w:t>wynikającego</w:t>
      </w:r>
      <w:r w:rsidRPr="002D47F8">
        <w:rPr>
          <w:rFonts w:ascii="Verdana" w:hAnsi="Verdana"/>
          <w:spacing w:val="7"/>
          <w:w w:val="105"/>
          <w:lang w:val="pl-PL"/>
        </w:rPr>
        <w:t xml:space="preserve"> </w:t>
      </w:r>
      <w:r w:rsidRPr="002D47F8">
        <w:rPr>
          <w:rFonts w:ascii="Verdana" w:hAnsi="Verdana"/>
          <w:w w:val="105"/>
          <w:lang w:val="pl-PL"/>
        </w:rPr>
        <w:t>z</w:t>
      </w:r>
      <w:r w:rsidRPr="002D47F8">
        <w:rPr>
          <w:rFonts w:ascii="Verdana" w:hAnsi="Verdana"/>
          <w:spacing w:val="-16"/>
          <w:w w:val="105"/>
          <w:lang w:val="pl-PL"/>
        </w:rPr>
        <w:t xml:space="preserve"> </w:t>
      </w:r>
      <w:r w:rsidRPr="002D47F8">
        <w:rPr>
          <w:rFonts w:ascii="Verdana" w:hAnsi="Verdana"/>
          <w:w w:val="105"/>
          <w:lang w:val="pl-PL"/>
        </w:rPr>
        <w:t>art.</w:t>
      </w:r>
      <w:r w:rsidRPr="002D47F8">
        <w:rPr>
          <w:rFonts w:ascii="Verdana" w:hAnsi="Verdana"/>
          <w:spacing w:val="-9"/>
          <w:w w:val="105"/>
          <w:lang w:val="pl-PL"/>
        </w:rPr>
        <w:t xml:space="preserve"> </w:t>
      </w:r>
      <w:r w:rsidR="006A3DEF" w:rsidRPr="002D47F8">
        <w:rPr>
          <w:rFonts w:ascii="Verdana" w:hAnsi="Verdana"/>
          <w:spacing w:val="-9"/>
          <w:w w:val="105"/>
          <w:lang w:val="pl-PL"/>
        </w:rPr>
        <w:t>9</w:t>
      </w:r>
      <w:r w:rsidRPr="002D47F8">
        <w:rPr>
          <w:rFonts w:ascii="Verdana" w:hAnsi="Verdana"/>
          <w:spacing w:val="-16"/>
          <w:w w:val="105"/>
          <w:lang w:val="pl-PL"/>
        </w:rPr>
        <w:t xml:space="preserve"> </w:t>
      </w:r>
      <w:r w:rsidRPr="002D47F8">
        <w:rPr>
          <w:rFonts w:ascii="Verdana" w:hAnsi="Verdana"/>
          <w:w w:val="105"/>
          <w:lang w:val="pl-PL"/>
        </w:rPr>
        <w:t>ust.</w:t>
      </w:r>
      <w:r w:rsidRPr="002D47F8">
        <w:rPr>
          <w:rFonts w:ascii="Verdana" w:hAnsi="Verdana"/>
          <w:spacing w:val="-20"/>
          <w:w w:val="105"/>
          <w:lang w:val="pl-PL"/>
        </w:rPr>
        <w:t xml:space="preserve"> </w:t>
      </w:r>
      <w:r w:rsidR="006A3DEF" w:rsidRPr="002D47F8">
        <w:rPr>
          <w:rFonts w:ascii="Verdana" w:hAnsi="Verdana"/>
          <w:spacing w:val="-20"/>
          <w:w w:val="105"/>
          <w:lang w:val="pl-PL"/>
        </w:rPr>
        <w:t>4</w:t>
      </w:r>
      <w:r w:rsidRPr="002D47F8">
        <w:rPr>
          <w:rFonts w:ascii="Verdana" w:hAnsi="Verdana"/>
          <w:spacing w:val="-11"/>
          <w:w w:val="105"/>
          <w:lang w:val="pl-PL"/>
        </w:rPr>
        <w:t xml:space="preserve"> </w:t>
      </w:r>
      <w:r w:rsidRPr="002D47F8">
        <w:rPr>
          <w:rFonts w:ascii="Verdana" w:hAnsi="Verdana"/>
          <w:w w:val="105"/>
          <w:lang w:val="pl-PL"/>
        </w:rPr>
        <w:t xml:space="preserve">Ustawy i </w:t>
      </w:r>
      <w:r w:rsidR="0036699D" w:rsidRPr="002D47F8">
        <w:rPr>
          <w:rFonts w:ascii="Verdana" w:hAnsi="Verdana"/>
          <w:w w:val="105"/>
          <w:lang w:val="pl-PL"/>
        </w:rPr>
        <w:t>określił</w:t>
      </w:r>
      <w:r w:rsidR="002D5F82" w:rsidRPr="002D47F8">
        <w:rPr>
          <w:rFonts w:ascii="Verdana" w:hAnsi="Verdana"/>
          <w:w w:val="105"/>
          <w:lang w:val="pl-PL"/>
        </w:rPr>
        <w:t xml:space="preserve">, że </w:t>
      </w:r>
      <w:r w:rsidR="00AC4B0A" w:rsidRPr="002D47F8">
        <w:rPr>
          <w:rFonts w:ascii="Verdana" w:hAnsi="Verdana"/>
          <w:spacing w:val="-3"/>
          <w:w w:val="105"/>
          <w:lang w:val="pl-PL"/>
        </w:rPr>
        <w:t xml:space="preserve">części stała wynagrodzenia stanowić będzie </w:t>
      </w:r>
      <w:r w:rsidR="001A6D64" w:rsidRPr="002D47F8">
        <w:rPr>
          <w:rFonts w:ascii="Verdana" w:hAnsi="Verdana"/>
          <w:spacing w:val="-3"/>
          <w:w w:val="105"/>
          <w:lang w:val="pl-PL"/>
        </w:rPr>
        <w:t xml:space="preserve">90% wysokości części stałej wynagrodzenia przysługującego Członkowi Zarządu Spółki, a premia likwidacyjna stanowić będzie iloczyn 10% wysokości części stałej przysługującej Członkowi Zarządu Spółki oraz liczby pełnych miesięcy liczonych od otwarcia </w:t>
      </w:r>
      <w:r w:rsidR="002D5F82" w:rsidRPr="002D47F8">
        <w:rPr>
          <w:rFonts w:ascii="Verdana" w:hAnsi="Verdana"/>
          <w:spacing w:val="-3"/>
          <w:w w:val="105"/>
          <w:lang w:val="pl-PL"/>
        </w:rPr>
        <w:t xml:space="preserve">likwidacji Spółki </w:t>
      </w:r>
      <w:r w:rsidR="001A6D64" w:rsidRPr="002D47F8">
        <w:rPr>
          <w:rFonts w:ascii="Verdana" w:hAnsi="Verdana"/>
          <w:spacing w:val="-3"/>
          <w:w w:val="105"/>
          <w:lang w:val="pl-PL"/>
        </w:rPr>
        <w:t xml:space="preserve">do przewidzianego w harmonogramie zakończenia </w:t>
      </w:r>
      <w:r w:rsidR="002D5F82" w:rsidRPr="002D47F8">
        <w:rPr>
          <w:rFonts w:ascii="Verdana" w:hAnsi="Verdana"/>
          <w:spacing w:val="-3"/>
          <w:w w:val="105"/>
          <w:lang w:val="pl-PL"/>
        </w:rPr>
        <w:t xml:space="preserve">jej </w:t>
      </w:r>
      <w:r w:rsidR="001A6D64" w:rsidRPr="002D47F8">
        <w:rPr>
          <w:rFonts w:ascii="Verdana" w:hAnsi="Verdana"/>
          <w:spacing w:val="-3"/>
          <w:w w:val="105"/>
          <w:lang w:val="pl-PL"/>
        </w:rPr>
        <w:t>likwidacji.</w:t>
      </w:r>
    </w:p>
    <w:p w:rsidR="0036699D" w:rsidRPr="002D47F8" w:rsidRDefault="00117905" w:rsidP="002D47F8">
      <w:pPr>
        <w:tabs>
          <w:tab w:val="left" w:pos="1635"/>
        </w:tabs>
        <w:spacing w:before="100" w:beforeAutospacing="1" w:line="360" w:lineRule="auto"/>
        <w:rPr>
          <w:rFonts w:ascii="Verdana" w:hAnsi="Verdana"/>
          <w:spacing w:val="-3"/>
          <w:w w:val="105"/>
          <w:lang w:val="pl-PL"/>
        </w:rPr>
      </w:pPr>
      <w:r w:rsidRPr="002D47F8">
        <w:rPr>
          <w:rFonts w:ascii="Verdana" w:hAnsi="Verdana"/>
          <w:spacing w:val="-3"/>
          <w:w w:val="105"/>
          <w:lang w:val="pl-PL"/>
        </w:rPr>
        <w:t>Z</w:t>
      </w:r>
      <w:r w:rsidR="001A6D64" w:rsidRPr="002D47F8">
        <w:rPr>
          <w:rFonts w:ascii="Verdana" w:hAnsi="Verdana"/>
          <w:spacing w:val="-3"/>
          <w:w w:val="105"/>
          <w:lang w:val="pl-PL"/>
        </w:rPr>
        <w:t>mian</w:t>
      </w:r>
      <w:r w:rsidR="00E56530" w:rsidRPr="002D47F8">
        <w:rPr>
          <w:rFonts w:ascii="Verdana" w:hAnsi="Verdana"/>
          <w:spacing w:val="-3"/>
          <w:w w:val="105"/>
          <w:lang w:val="pl-PL"/>
        </w:rPr>
        <w:t>a</w:t>
      </w:r>
      <w:r w:rsidR="001A6D64" w:rsidRPr="002D47F8">
        <w:rPr>
          <w:rFonts w:ascii="Verdana" w:hAnsi="Verdana"/>
          <w:spacing w:val="-3"/>
          <w:w w:val="105"/>
          <w:lang w:val="pl-PL"/>
        </w:rPr>
        <w:t xml:space="preserve"> proporcji </w:t>
      </w:r>
      <w:r w:rsidR="00E56530" w:rsidRPr="002D47F8">
        <w:rPr>
          <w:rFonts w:ascii="Verdana" w:hAnsi="Verdana"/>
          <w:spacing w:val="-3"/>
          <w:w w:val="105"/>
          <w:lang w:val="pl-PL"/>
        </w:rPr>
        <w:t xml:space="preserve">wypłaty </w:t>
      </w:r>
      <w:r w:rsidR="001A6D64" w:rsidRPr="002D47F8">
        <w:rPr>
          <w:rFonts w:ascii="Verdana" w:hAnsi="Verdana"/>
          <w:spacing w:val="-3"/>
          <w:w w:val="105"/>
          <w:lang w:val="pl-PL"/>
        </w:rPr>
        <w:t xml:space="preserve">składników wynagrodzenia Likwidatora </w:t>
      </w:r>
      <w:r w:rsidRPr="002D47F8">
        <w:rPr>
          <w:rFonts w:ascii="Verdana" w:hAnsi="Verdana"/>
          <w:spacing w:val="-3"/>
          <w:w w:val="105"/>
          <w:lang w:val="pl-PL"/>
        </w:rPr>
        <w:t>uzasadnion</w:t>
      </w:r>
      <w:r w:rsidR="00A56DB4" w:rsidRPr="002D47F8">
        <w:rPr>
          <w:rFonts w:ascii="Verdana" w:hAnsi="Verdana"/>
          <w:spacing w:val="-3"/>
          <w:w w:val="105"/>
          <w:lang w:val="pl-PL"/>
        </w:rPr>
        <w:t>a</w:t>
      </w:r>
      <w:r w:rsidRPr="002D47F8">
        <w:rPr>
          <w:rFonts w:ascii="Verdana" w:hAnsi="Verdana"/>
          <w:spacing w:val="-3"/>
          <w:w w:val="105"/>
          <w:lang w:val="pl-PL"/>
        </w:rPr>
        <w:t xml:space="preserve"> jest </w:t>
      </w:r>
      <w:r w:rsidR="00BA55EE" w:rsidRPr="002D47F8">
        <w:rPr>
          <w:rFonts w:ascii="Verdana" w:hAnsi="Verdana"/>
          <w:spacing w:val="-3"/>
          <w:w w:val="105"/>
          <w:lang w:val="pl-PL"/>
        </w:rPr>
        <w:t xml:space="preserve">nie tylko </w:t>
      </w:r>
      <w:r w:rsidRPr="002D47F8">
        <w:rPr>
          <w:rFonts w:ascii="Verdana" w:hAnsi="Verdana"/>
          <w:spacing w:val="-3"/>
          <w:w w:val="105"/>
          <w:lang w:val="pl-PL"/>
        </w:rPr>
        <w:t xml:space="preserve">przeprowadzeniem przez Likwidatora </w:t>
      </w:r>
      <w:r w:rsidR="00BA55EE" w:rsidRPr="002D47F8">
        <w:rPr>
          <w:rFonts w:ascii="Verdana" w:hAnsi="Verdana"/>
          <w:spacing w:val="-3"/>
          <w:w w:val="105"/>
          <w:lang w:val="pl-PL"/>
        </w:rPr>
        <w:t xml:space="preserve">procesu </w:t>
      </w:r>
      <w:r w:rsidRPr="002D47F8">
        <w:rPr>
          <w:rFonts w:ascii="Verdana" w:hAnsi="Verdana"/>
          <w:spacing w:val="-3"/>
          <w:w w:val="105"/>
          <w:lang w:val="pl-PL"/>
        </w:rPr>
        <w:t>likwidacji spółki prawa handlowego</w:t>
      </w:r>
      <w:r w:rsidR="002D5F82" w:rsidRPr="002D47F8">
        <w:rPr>
          <w:rFonts w:ascii="Verdana" w:hAnsi="Verdana"/>
          <w:spacing w:val="-3"/>
          <w:w w:val="105"/>
          <w:lang w:val="pl-PL"/>
        </w:rPr>
        <w:t xml:space="preserve"> w rozumieniu przepisów kodeksu spółek handlowych</w:t>
      </w:r>
      <w:r w:rsidR="00BA55EE" w:rsidRPr="002D47F8">
        <w:rPr>
          <w:rFonts w:ascii="Verdana" w:hAnsi="Verdana"/>
          <w:spacing w:val="-3"/>
          <w:w w:val="105"/>
          <w:lang w:val="pl-PL"/>
        </w:rPr>
        <w:t>, ale</w:t>
      </w:r>
      <w:r w:rsidR="007A0835" w:rsidRPr="002D47F8">
        <w:rPr>
          <w:rFonts w:ascii="Verdana" w:hAnsi="Verdana"/>
          <w:spacing w:val="-3"/>
          <w:w w:val="105"/>
          <w:lang w:val="pl-PL"/>
        </w:rPr>
        <w:t xml:space="preserve"> z uwagi na</w:t>
      </w:r>
      <w:r w:rsidR="00BA55EE" w:rsidRPr="002D47F8">
        <w:rPr>
          <w:rFonts w:ascii="Verdana" w:hAnsi="Verdana"/>
          <w:spacing w:val="-3"/>
          <w:w w:val="105"/>
          <w:lang w:val="pl-PL"/>
        </w:rPr>
        <w:t xml:space="preserve"> równoczesne wdrożenie</w:t>
      </w:r>
      <w:r w:rsidRPr="002D47F8">
        <w:rPr>
          <w:rFonts w:ascii="Verdana" w:hAnsi="Verdana"/>
          <w:spacing w:val="-3"/>
          <w:w w:val="105"/>
          <w:lang w:val="pl-PL"/>
        </w:rPr>
        <w:t xml:space="preserve"> </w:t>
      </w:r>
      <w:r w:rsidR="00BA55EE" w:rsidRPr="002D47F8">
        <w:rPr>
          <w:rFonts w:ascii="Verdana" w:hAnsi="Verdana"/>
          <w:spacing w:val="-3"/>
          <w:w w:val="105"/>
          <w:lang w:val="pl-PL"/>
        </w:rPr>
        <w:t xml:space="preserve">skomplikowanego </w:t>
      </w:r>
      <w:r w:rsidR="007A0835" w:rsidRPr="002D47F8">
        <w:rPr>
          <w:rFonts w:ascii="Verdana" w:hAnsi="Verdana"/>
          <w:spacing w:val="-3"/>
          <w:w w:val="105"/>
          <w:lang w:val="pl-PL"/>
        </w:rPr>
        <w:t xml:space="preserve">procesu </w:t>
      </w:r>
      <w:r w:rsidRPr="002D47F8">
        <w:rPr>
          <w:rFonts w:ascii="Verdana" w:hAnsi="Verdana"/>
          <w:spacing w:val="-3"/>
          <w:w w:val="105"/>
          <w:lang w:val="pl-PL"/>
        </w:rPr>
        <w:t xml:space="preserve">przejęcia </w:t>
      </w:r>
      <w:r w:rsidR="00F326C8" w:rsidRPr="002D47F8">
        <w:rPr>
          <w:rFonts w:ascii="Verdana" w:hAnsi="Verdana"/>
          <w:color w:val="000000"/>
          <w:lang w:val="pl-PL"/>
        </w:rPr>
        <w:t xml:space="preserve">przez </w:t>
      </w:r>
      <w:r w:rsidR="00F326C8" w:rsidRPr="002D47F8">
        <w:rPr>
          <w:rStyle w:val="FontStyle34"/>
          <w:rFonts w:ascii="Verdana" w:hAnsi="Verdana"/>
          <w:sz w:val="22"/>
          <w:szCs w:val="22"/>
          <w:lang w:val="pl-PL"/>
        </w:rPr>
        <w:t xml:space="preserve">Wrocławskie Centrum Zdrowia Samodzielny Publiczny Zakład Opieki Zdrowotnej we Wrocławiu, tj. </w:t>
      </w:r>
      <w:r w:rsidR="00F326C8" w:rsidRPr="002D47F8">
        <w:rPr>
          <w:rFonts w:ascii="Verdana" w:hAnsi="Verdana"/>
          <w:lang w:val="pl-PL"/>
        </w:rPr>
        <w:t>największy, należący do Gminy Wrocław, podmiot leczniczy</w:t>
      </w:r>
      <w:r w:rsidR="00F326C8" w:rsidRPr="002D47F8">
        <w:rPr>
          <w:rStyle w:val="FontStyle34"/>
          <w:rFonts w:ascii="Verdana" w:hAnsi="Verdana"/>
          <w:sz w:val="22"/>
          <w:szCs w:val="22"/>
          <w:lang w:val="pl-PL"/>
        </w:rPr>
        <w:t xml:space="preserve">, </w:t>
      </w:r>
      <w:r w:rsidR="00F326C8" w:rsidRPr="002D47F8">
        <w:rPr>
          <w:rFonts w:ascii="Verdana" w:hAnsi="Verdana"/>
          <w:spacing w:val="-3"/>
          <w:w w:val="105"/>
          <w:lang w:val="pl-PL"/>
        </w:rPr>
        <w:t>d</w:t>
      </w:r>
      <w:r w:rsidR="00F326C8" w:rsidRPr="002D47F8">
        <w:rPr>
          <w:rFonts w:ascii="Verdana" w:hAnsi="Verdana"/>
          <w:color w:val="000000"/>
          <w:lang w:val="pl-PL"/>
        </w:rPr>
        <w:t>otychczasowej działalności operacyjnej Spółki</w:t>
      </w:r>
      <w:r w:rsidR="00F326C8" w:rsidRPr="002D47F8">
        <w:rPr>
          <w:rStyle w:val="FontStyle34"/>
          <w:rFonts w:ascii="Verdana" w:hAnsi="Verdana"/>
          <w:sz w:val="22"/>
          <w:szCs w:val="22"/>
          <w:lang w:val="pl-PL"/>
        </w:rPr>
        <w:t xml:space="preserve"> w szczególności poprzez przejęcie jej pracowników, praw i obowiązków, składników majątkowych oraz aktywów, jakie okażą się konieczne do kontynuowania prowadzonej dotychczas przez </w:t>
      </w:r>
      <w:r w:rsidR="00F326C8" w:rsidRPr="002D47F8">
        <w:rPr>
          <w:rStyle w:val="FontStyle34"/>
          <w:rFonts w:ascii="Verdana" w:hAnsi="Verdana"/>
          <w:sz w:val="22"/>
          <w:szCs w:val="22"/>
          <w:lang w:val="pl-PL"/>
        </w:rPr>
        <w:lastRenderedPageBreak/>
        <w:t>Spółkę działalności.</w:t>
      </w:r>
      <w:r w:rsidR="00F326C8" w:rsidRPr="002D47F8">
        <w:rPr>
          <w:rFonts w:ascii="Verdana" w:hAnsi="Verdana"/>
          <w:color w:val="000000"/>
          <w:lang w:val="pl-PL"/>
        </w:rPr>
        <w:t xml:space="preserve"> </w:t>
      </w:r>
      <w:r w:rsidRPr="002D47F8">
        <w:rPr>
          <w:rFonts w:ascii="Verdana" w:hAnsi="Verdana"/>
          <w:spacing w:val="-3"/>
          <w:w w:val="105"/>
          <w:lang w:val="pl-PL"/>
        </w:rPr>
        <w:t xml:space="preserve">Zatem ciężar </w:t>
      </w:r>
      <w:r w:rsidR="00E56530" w:rsidRPr="002D47F8">
        <w:rPr>
          <w:rFonts w:ascii="Verdana" w:hAnsi="Verdana"/>
          <w:spacing w:val="-3"/>
          <w:w w:val="105"/>
          <w:lang w:val="pl-PL"/>
        </w:rPr>
        <w:t xml:space="preserve">większości </w:t>
      </w:r>
      <w:r w:rsidR="00BA55EE" w:rsidRPr="002D47F8">
        <w:rPr>
          <w:rFonts w:ascii="Verdana" w:hAnsi="Verdana"/>
          <w:spacing w:val="-3"/>
          <w:w w:val="105"/>
          <w:lang w:val="pl-PL"/>
        </w:rPr>
        <w:t xml:space="preserve">zadań postawionych przed Likwidatorem rozpocznie się </w:t>
      </w:r>
      <w:r w:rsidR="00A56DB4" w:rsidRPr="002D47F8">
        <w:rPr>
          <w:rFonts w:ascii="Verdana" w:hAnsi="Verdana"/>
          <w:spacing w:val="-3"/>
          <w:w w:val="105"/>
          <w:lang w:val="pl-PL"/>
        </w:rPr>
        <w:t xml:space="preserve">już </w:t>
      </w:r>
      <w:r w:rsidR="00BA55EE" w:rsidRPr="002D47F8">
        <w:rPr>
          <w:rFonts w:ascii="Verdana" w:hAnsi="Verdana"/>
          <w:spacing w:val="-3"/>
          <w:w w:val="105"/>
          <w:lang w:val="pl-PL"/>
        </w:rPr>
        <w:t>na pierwszym etapie likwidacji</w:t>
      </w:r>
      <w:r w:rsidR="00A56DB4" w:rsidRPr="002D47F8">
        <w:rPr>
          <w:rFonts w:ascii="Verdana" w:hAnsi="Verdana"/>
          <w:spacing w:val="-3"/>
          <w:w w:val="105"/>
          <w:lang w:val="pl-PL"/>
        </w:rPr>
        <w:t xml:space="preserve">. </w:t>
      </w:r>
      <w:r w:rsidR="000E3C2E" w:rsidRPr="002D47F8">
        <w:rPr>
          <w:rFonts w:ascii="Verdana" w:hAnsi="Verdana"/>
          <w:spacing w:val="-3"/>
          <w:w w:val="105"/>
          <w:lang w:val="pl-PL"/>
        </w:rPr>
        <w:t xml:space="preserve">Ponadto, proces likwidacji, musi zostać przeprowadzony w taki sposób, by zachować ciągłość dotychczas świadczonych przez Spółkę usług medycznych i zapewnić do nich nieprzerwany dostęp mieszkańcom Wrocławia. Należy również zauważyć, że koncepcja założeń i przeprowadzenia procesu likwidacji jest koncepcją nowatorską. </w:t>
      </w:r>
      <w:r w:rsidR="00AC4B0A" w:rsidRPr="002D47F8">
        <w:rPr>
          <w:rFonts w:ascii="Verdana" w:eastAsia="Calibri" w:hAnsi="Verdana" w:cs="Times New Roman"/>
          <w:bCs/>
          <w:lang w:val="pl-PL"/>
        </w:rPr>
        <w:t xml:space="preserve">Wobec </w:t>
      </w:r>
      <w:r w:rsidR="00A56DB4" w:rsidRPr="002D47F8">
        <w:rPr>
          <w:rFonts w:ascii="Verdana" w:eastAsia="Calibri" w:hAnsi="Verdana" w:cs="Times New Roman"/>
          <w:bCs/>
          <w:lang w:val="pl-PL"/>
        </w:rPr>
        <w:t>czego</w:t>
      </w:r>
      <w:r w:rsidR="00AC4B0A" w:rsidRPr="002D47F8">
        <w:rPr>
          <w:rFonts w:ascii="Verdana" w:eastAsia="Calibri" w:hAnsi="Verdana" w:cs="Times New Roman"/>
          <w:bCs/>
          <w:lang w:val="pl-PL"/>
        </w:rPr>
        <w:t xml:space="preserve"> </w:t>
      </w:r>
      <w:r w:rsidR="000E3C2E" w:rsidRPr="002D47F8">
        <w:rPr>
          <w:rFonts w:ascii="Verdana" w:eastAsia="Calibri" w:hAnsi="Verdana" w:cs="Times New Roman"/>
          <w:bCs/>
          <w:lang w:val="pl-PL"/>
        </w:rPr>
        <w:t>można</w:t>
      </w:r>
      <w:r w:rsidR="0036699D" w:rsidRPr="002D47F8">
        <w:rPr>
          <w:rFonts w:ascii="Verdana" w:eastAsia="Calibri" w:hAnsi="Verdana" w:cs="Times New Roman"/>
          <w:bCs/>
          <w:lang w:val="pl-PL"/>
        </w:rPr>
        <w:t xml:space="preserve"> stwierdzić, że istnieją wyjątkowe okoliczności, które dają możliwość zastosowanie innej proporcji części stałej wynagrodzenia </w:t>
      </w:r>
      <w:r w:rsidR="00AC4B0A" w:rsidRPr="002D47F8">
        <w:rPr>
          <w:rFonts w:ascii="Verdana" w:eastAsia="Calibri" w:hAnsi="Verdana" w:cs="Times New Roman"/>
          <w:bCs/>
          <w:lang w:val="pl-PL"/>
        </w:rPr>
        <w:t xml:space="preserve">Likwidatora Spółki, </w:t>
      </w:r>
      <w:r w:rsidR="0036699D" w:rsidRPr="002D47F8">
        <w:rPr>
          <w:rFonts w:ascii="Verdana" w:eastAsia="Calibri" w:hAnsi="Verdana" w:cs="Times New Roman"/>
          <w:bCs/>
          <w:lang w:val="pl-PL"/>
        </w:rPr>
        <w:t xml:space="preserve">w stosunku do premii likwidacyjnej. </w:t>
      </w:r>
      <w:bookmarkStart w:id="0" w:name="_GoBack"/>
      <w:bookmarkEnd w:id="0"/>
    </w:p>
    <w:p w:rsidR="00E84DB7" w:rsidRDefault="0036699D" w:rsidP="002D47F8">
      <w:pPr>
        <w:pStyle w:val="Tekstpodstawowy"/>
        <w:spacing w:before="100" w:beforeAutospacing="1" w:line="360" w:lineRule="auto"/>
        <w:ind w:right="108" w:firstLine="11"/>
        <w:jc w:val="left"/>
        <w:rPr>
          <w:rFonts w:ascii="Verdana" w:hAnsi="Verdana"/>
          <w:w w:val="105"/>
          <w:sz w:val="22"/>
          <w:szCs w:val="22"/>
          <w:lang w:val="pl-PL"/>
        </w:rPr>
      </w:pPr>
      <w:r w:rsidRPr="002D47F8">
        <w:rPr>
          <w:rFonts w:ascii="Verdana" w:hAnsi="Verdana"/>
          <w:w w:val="105"/>
          <w:sz w:val="22"/>
          <w:szCs w:val="22"/>
          <w:lang w:val="pl-PL"/>
        </w:rPr>
        <w:t xml:space="preserve">Nadzwyczajne Zgromadzenie </w:t>
      </w:r>
      <w:r w:rsidR="00E84DB7" w:rsidRPr="002D47F8">
        <w:rPr>
          <w:rFonts w:ascii="Verdana" w:hAnsi="Verdana"/>
          <w:w w:val="105"/>
          <w:sz w:val="22"/>
          <w:szCs w:val="22"/>
          <w:lang w:val="pl-PL"/>
        </w:rPr>
        <w:t>Wspólników</w:t>
      </w:r>
      <w:r w:rsidR="00E84DB7" w:rsidRPr="002D47F8">
        <w:rPr>
          <w:rFonts w:ascii="Verdana" w:hAnsi="Verdana"/>
          <w:spacing w:val="-7"/>
          <w:w w:val="105"/>
          <w:sz w:val="22"/>
          <w:szCs w:val="22"/>
          <w:lang w:val="pl-PL"/>
        </w:rPr>
        <w:t xml:space="preserve"> </w:t>
      </w:r>
      <w:r w:rsidRPr="002D47F8">
        <w:rPr>
          <w:rFonts w:ascii="Verdana" w:hAnsi="Verdana"/>
          <w:spacing w:val="-7"/>
          <w:w w:val="105"/>
          <w:sz w:val="22"/>
          <w:szCs w:val="22"/>
          <w:lang w:val="pl-PL"/>
        </w:rPr>
        <w:t xml:space="preserve">w dniu 11 marca 2021 roku </w:t>
      </w:r>
      <w:r w:rsidR="00E84DB7" w:rsidRPr="002D47F8">
        <w:rPr>
          <w:rFonts w:ascii="Verdana" w:hAnsi="Verdana"/>
          <w:w w:val="105"/>
          <w:sz w:val="22"/>
          <w:szCs w:val="22"/>
          <w:lang w:val="pl-PL"/>
        </w:rPr>
        <w:t>podjęło</w:t>
      </w:r>
      <w:r w:rsidR="00E84DB7" w:rsidRPr="002D47F8">
        <w:rPr>
          <w:rFonts w:ascii="Verdana" w:hAnsi="Verdana"/>
          <w:spacing w:val="-6"/>
          <w:w w:val="105"/>
          <w:sz w:val="22"/>
          <w:szCs w:val="22"/>
          <w:lang w:val="pl-PL"/>
        </w:rPr>
        <w:t xml:space="preserve"> </w:t>
      </w:r>
      <w:r w:rsidR="00E84DB7" w:rsidRPr="002D47F8">
        <w:rPr>
          <w:rFonts w:ascii="Verdana" w:hAnsi="Verdana"/>
          <w:w w:val="105"/>
          <w:sz w:val="22"/>
          <w:szCs w:val="22"/>
          <w:lang w:val="pl-PL"/>
        </w:rPr>
        <w:t>uchwalę</w:t>
      </w:r>
      <w:r w:rsidR="00E84DB7" w:rsidRPr="002D47F8">
        <w:rPr>
          <w:rFonts w:ascii="Verdana" w:hAnsi="Verdana"/>
          <w:spacing w:val="-13"/>
          <w:w w:val="105"/>
          <w:sz w:val="22"/>
          <w:szCs w:val="22"/>
          <w:lang w:val="pl-PL"/>
        </w:rPr>
        <w:t xml:space="preserve"> </w:t>
      </w:r>
      <w:r w:rsidR="00E84DB7" w:rsidRPr="002D47F8">
        <w:rPr>
          <w:rFonts w:ascii="Verdana" w:hAnsi="Verdana"/>
          <w:w w:val="105"/>
          <w:sz w:val="22"/>
          <w:szCs w:val="22"/>
          <w:lang w:val="pl-PL"/>
        </w:rPr>
        <w:t>nr</w:t>
      </w:r>
      <w:r w:rsidR="00E84DB7" w:rsidRPr="002D47F8">
        <w:rPr>
          <w:rFonts w:ascii="Verdana" w:hAnsi="Verdana"/>
          <w:spacing w:val="-23"/>
          <w:w w:val="105"/>
          <w:sz w:val="22"/>
          <w:szCs w:val="22"/>
          <w:lang w:val="pl-PL"/>
        </w:rPr>
        <w:t xml:space="preserve"> </w:t>
      </w:r>
      <w:r w:rsidRPr="002D47F8">
        <w:rPr>
          <w:rFonts w:ascii="Verdana" w:hAnsi="Verdana"/>
          <w:w w:val="105"/>
          <w:sz w:val="22"/>
          <w:szCs w:val="22"/>
          <w:lang w:val="pl-PL"/>
        </w:rPr>
        <w:t>6</w:t>
      </w:r>
      <w:r w:rsidR="00E84DB7" w:rsidRPr="002D47F8">
        <w:rPr>
          <w:rFonts w:ascii="Verdana" w:hAnsi="Verdana"/>
          <w:w w:val="105"/>
          <w:sz w:val="22"/>
          <w:szCs w:val="22"/>
          <w:lang w:val="pl-PL"/>
        </w:rPr>
        <w:t>/</w:t>
      </w:r>
      <w:r w:rsidRPr="002D47F8">
        <w:rPr>
          <w:rFonts w:ascii="Verdana" w:hAnsi="Verdana"/>
          <w:w w:val="105"/>
          <w:sz w:val="22"/>
          <w:szCs w:val="22"/>
          <w:lang w:val="pl-PL"/>
        </w:rPr>
        <w:t>2</w:t>
      </w:r>
      <w:r w:rsidR="00E84DB7" w:rsidRPr="002D47F8">
        <w:rPr>
          <w:rFonts w:ascii="Verdana" w:hAnsi="Verdana"/>
          <w:w w:val="105"/>
          <w:sz w:val="22"/>
          <w:szCs w:val="22"/>
          <w:lang w:val="pl-PL"/>
        </w:rPr>
        <w:t>1</w:t>
      </w:r>
      <w:r w:rsidR="00E84DB7" w:rsidRPr="002D47F8">
        <w:rPr>
          <w:rFonts w:ascii="Verdana" w:hAnsi="Verdana"/>
          <w:spacing w:val="-17"/>
          <w:w w:val="105"/>
          <w:sz w:val="22"/>
          <w:szCs w:val="22"/>
          <w:lang w:val="pl-PL"/>
        </w:rPr>
        <w:t xml:space="preserve"> </w:t>
      </w:r>
      <w:r w:rsidR="00E84DB7" w:rsidRPr="002D47F8">
        <w:rPr>
          <w:rFonts w:ascii="Verdana" w:hAnsi="Verdana"/>
          <w:w w:val="105"/>
          <w:sz w:val="22"/>
          <w:szCs w:val="22"/>
          <w:lang w:val="pl-PL"/>
        </w:rPr>
        <w:t>w</w:t>
      </w:r>
      <w:r w:rsidR="00E84DB7" w:rsidRPr="002D47F8">
        <w:rPr>
          <w:rFonts w:ascii="Verdana" w:hAnsi="Verdana"/>
          <w:spacing w:val="-17"/>
          <w:w w:val="105"/>
          <w:sz w:val="22"/>
          <w:szCs w:val="22"/>
          <w:lang w:val="pl-PL"/>
        </w:rPr>
        <w:t xml:space="preserve"> </w:t>
      </w:r>
      <w:r w:rsidR="00E84DB7" w:rsidRPr="002D47F8">
        <w:rPr>
          <w:rFonts w:ascii="Verdana" w:hAnsi="Verdana"/>
          <w:w w:val="105"/>
          <w:sz w:val="22"/>
          <w:szCs w:val="22"/>
          <w:lang w:val="pl-PL"/>
        </w:rPr>
        <w:t>sprawie</w:t>
      </w:r>
      <w:r w:rsidR="00E84DB7" w:rsidRPr="002D47F8">
        <w:rPr>
          <w:rFonts w:ascii="Verdana" w:hAnsi="Verdana"/>
          <w:spacing w:val="-6"/>
          <w:w w:val="105"/>
          <w:sz w:val="22"/>
          <w:szCs w:val="22"/>
          <w:lang w:val="pl-PL"/>
        </w:rPr>
        <w:t xml:space="preserve"> </w:t>
      </w:r>
      <w:r w:rsidR="00E84DB7" w:rsidRPr="002D47F8">
        <w:rPr>
          <w:rFonts w:ascii="Verdana" w:hAnsi="Verdana"/>
          <w:w w:val="105"/>
          <w:sz w:val="22"/>
          <w:szCs w:val="22"/>
          <w:lang w:val="pl-PL"/>
        </w:rPr>
        <w:t>kształtowania</w:t>
      </w:r>
      <w:r w:rsidR="00E84DB7" w:rsidRPr="002D47F8">
        <w:rPr>
          <w:rFonts w:ascii="Verdana" w:hAnsi="Verdana"/>
          <w:spacing w:val="4"/>
          <w:w w:val="105"/>
          <w:sz w:val="22"/>
          <w:szCs w:val="22"/>
          <w:lang w:val="pl-PL"/>
        </w:rPr>
        <w:t xml:space="preserve"> </w:t>
      </w:r>
      <w:r w:rsidR="00E84DB7" w:rsidRPr="002D47F8">
        <w:rPr>
          <w:rFonts w:ascii="Verdana" w:hAnsi="Verdana"/>
          <w:w w:val="105"/>
          <w:sz w:val="22"/>
          <w:szCs w:val="22"/>
          <w:lang w:val="pl-PL"/>
        </w:rPr>
        <w:t xml:space="preserve">wynagrodzenia </w:t>
      </w:r>
      <w:r w:rsidRPr="002D47F8">
        <w:rPr>
          <w:rFonts w:ascii="Verdana" w:hAnsi="Verdana"/>
          <w:w w:val="105"/>
          <w:sz w:val="22"/>
          <w:szCs w:val="22"/>
          <w:lang w:val="pl-PL"/>
        </w:rPr>
        <w:t>Likwidatora S</w:t>
      </w:r>
      <w:r w:rsidR="00E84DB7" w:rsidRPr="002D47F8">
        <w:rPr>
          <w:rFonts w:ascii="Verdana" w:hAnsi="Verdana"/>
          <w:w w:val="105"/>
          <w:sz w:val="22"/>
          <w:szCs w:val="22"/>
          <w:lang w:val="pl-PL"/>
        </w:rPr>
        <w:t>półki</w:t>
      </w:r>
      <w:r w:rsidR="00E84DB7" w:rsidRPr="002D47F8">
        <w:rPr>
          <w:rFonts w:ascii="Verdana" w:hAnsi="Verdana"/>
          <w:spacing w:val="-17"/>
          <w:w w:val="105"/>
          <w:sz w:val="22"/>
          <w:szCs w:val="22"/>
          <w:lang w:val="pl-PL"/>
        </w:rPr>
        <w:t xml:space="preserve"> </w:t>
      </w:r>
      <w:r w:rsidR="00E84DB7" w:rsidRPr="002D47F8">
        <w:rPr>
          <w:rFonts w:ascii="Verdana" w:hAnsi="Verdana"/>
          <w:w w:val="105"/>
          <w:sz w:val="22"/>
          <w:szCs w:val="22"/>
          <w:lang w:val="pl-PL"/>
        </w:rPr>
        <w:t>i zgodnie z przepisami Ustawy konieczn</w:t>
      </w:r>
      <w:r w:rsidRPr="002D47F8">
        <w:rPr>
          <w:rFonts w:ascii="Verdana" w:hAnsi="Verdana"/>
          <w:w w:val="105"/>
          <w:sz w:val="22"/>
          <w:szCs w:val="22"/>
          <w:lang w:val="pl-PL"/>
        </w:rPr>
        <w:t>ym</w:t>
      </w:r>
      <w:r w:rsidR="00E84DB7" w:rsidRPr="002D47F8">
        <w:rPr>
          <w:rFonts w:ascii="Verdana" w:hAnsi="Verdana"/>
          <w:w w:val="105"/>
          <w:sz w:val="22"/>
          <w:szCs w:val="22"/>
          <w:lang w:val="pl-PL"/>
        </w:rPr>
        <w:t xml:space="preserve"> było sporządzenie niniejszego uzasadnienia i opublikowanie go w Biuletynie Informacji Publicznej Miasta Wrocławia</w:t>
      </w:r>
      <w:r w:rsidR="00AC4B0A" w:rsidRPr="002D47F8">
        <w:rPr>
          <w:rFonts w:ascii="Verdana" w:hAnsi="Verdana"/>
          <w:w w:val="105"/>
          <w:sz w:val="22"/>
          <w:szCs w:val="22"/>
          <w:lang w:val="pl-PL"/>
        </w:rPr>
        <w:t xml:space="preserve"> zgodnie z art. 4 ust 3 Ustawy</w:t>
      </w:r>
      <w:r w:rsidR="00E84DB7" w:rsidRPr="002D47F8">
        <w:rPr>
          <w:rFonts w:ascii="Verdana" w:hAnsi="Verdana"/>
          <w:w w:val="105"/>
          <w:sz w:val="22"/>
          <w:szCs w:val="22"/>
          <w:lang w:val="pl-PL"/>
        </w:rPr>
        <w:t>.</w:t>
      </w:r>
    </w:p>
    <w:p w:rsidR="002D47F8" w:rsidRDefault="002D47F8" w:rsidP="002D47F8">
      <w:pPr>
        <w:pStyle w:val="Tekstpodstawowy"/>
        <w:spacing w:before="100" w:beforeAutospacing="1" w:line="360" w:lineRule="auto"/>
        <w:ind w:right="108" w:firstLine="11"/>
        <w:jc w:val="left"/>
        <w:rPr>
          <w:rFonts w:ascii="Verdana" w:hAnsi="Verdana"/>
          <w:w w:val="105"/>
          <w:sz w:val="22"/>
          <w:szCs w:val="22"/>
          <w:lang w:val="pl-PL"/>
        </w:rPr>
      </w:pPr>
      <w:r>
        <w:rPr>
          <w:rFonts w:ascii="Verdana" w:hAnsi="Verdana"/>
          <w:w w:val="105"/>
          <w:sz w:val="22"/>
          <w:szCs w:val="22"/>
          <w:lang w:val="pl-PL"/>
        </w:rPr>
        <w:t>dokument podpisał:</w:t>
      </w:r>
    </w:p>
    <w:p w:rsidR="002D47F8" w:rsidRPr="002D47F8" w:rsidRDefault="002D47F8" w:rsidP="002D47F8">
      <w:pPr>
        <w:pStyle w:val="Tekstpodstawowy"/>
        <w:spacing w:line="360" w:lineRule="auto"/>
        <w:ind w:right="108" w:firstLine="11"/>
        <w:jc w:val="left"/>
        <w:rPr>
          <w:rFonts w:ascii="Verdana" w:hAnsi="Verdana"/>
          <w:w w:val="105"/>
          <w:sz w:val="22"/>
          <w:szCs w:val="22"/>
          <w:lang w:val="pl-PL"/>
        </w:rPr>
      </w:pPr>
      <w:r>
        <w:rPr>
          <w:rFonts w:ascii="Verdana" w:hAnsi="Verdana"/>
          <w:w w:val="105"/>
          <w:sz w:val="22"/>
          <w:szCs w:val="22"/>
          <w:lang w:val="pl-PL"/>
        </w:rPr>
        <w:t xml:space="preserve">Prezydent Wrocławia Jacek </w:t>
      </w:r>
      <w:proofErr w:type="spellStart"/>
      <w:r>
        <w:rPr>
          <w:rFonts w:ascii="Verdana" w:hAnsi="Verdana"/>
          <w:w w:val="105"/>
          <w:sz w:val="22"/>
          <w:szCs w:val="22"/>
          <w:lang w:val="pl-PL"/>
        </w:rPr>
        <w:t>Sutryk</w:t>
      </w:r>
      <w:proofErr w:type="spellEnd"/>
    </w:p>
    <w:sectPr w:rsidR="002D47F8" w:rsidRPr="002D47F8" w:rsidSect="00B20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a Hejda">
    <w15:presenceInfo w15:providerId="AD" w15:userId="S::266282@uwr.edu.pl::203718de-4be4-4861-9bb2-3dcb2a62ef8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4DB7"/>
    <w:rsid w:val="00092A4E"/>
    <w:rsid w:val="00097325"/>
    <w:rsid w:val="000D4EBA"/>
    <w:rsid w:val="000E3C2E"/>
    <w:rsid w:val="00117905"/>
    <w:rsid w:val="00155E8A"/>
    <w:rsid w:val="001A6D64"/>
    <w:rsid w:val="002D47F8"/>
    <w:rsid w:val="002D5F82"/>
    <w:rsid w:val="00323E46"/>
    <w:rsid w:val="0036699D"/>
    <w:rsid w:val="00577D39"/>
    <w:rsid w:val="005A33B1"/>
    <w:rsid w:val="005F02CC"/>
    <w:rsid w:val="006A3DEF"/>
    <w:rsid w:val="006F4D19"/>
    <w:rsid w:val="00715873"/>
    <w:rsid w:val="007613A1"/>
    <w:rsid w:val="00790866"/>
    <w:rsid w:val="007A0835"/>
    <w:rsid w:val="008770FC"/>
    <w:rsid w:val="008D562B"/>
    <w:rsid w:val="009B08E3"/>
    <w:rsid w:val="00A076DF"/>
    <w:rsid w:val="00A56DB4"/>
    <w:rsid w:val="00AC4B0A"/>
    <w:rsid w:val="00B030E0"/>
    <w:rsid w:val="00B20137"/>
    <w:rsid w:val="00B4324F"/>
    <w:rsid w:val="00BA55EE"/>
    <w:rsid w:val="00BE2BD7"/>
    <w:rsid w:val="00BF3DE3"/>
    <w:rsid w:val="00C52C87"/>
    <w:rsid w:val="00C55A10"/>
    <w:rsid w:val="00CE63C7"/>
    <w:rsid w:val="00D15FDD"/>
    <w:rsid w:val="00D5092D"/>
    <w:rsid w:val="00DD6BD9"/>
    <w:rsid w:val="00E56530"/>
    <w:rsid w:val="00E84DB7"/>
    <w:rsid w:val="00F326C8"/>
    <w:rsid w:val="00FB1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Times New Roman" w:hAnsi="Verdana" w:cs="Arial"/>
        <w:sz w:val="22"/>
        <w:szCs w:val="22"/>
        <w:lang w:val="pl-PL" w:eastAsia="pl-PL" w:bidi="ar-SA"/>
      </w:rPr>
    </w:rPrDefault>
    <w:pPrDefault>
      <w:pPr>
        <w:spacing w:before="100" w:beforeAutospacing="1"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84DB7"/>
    <w:pPr>
      <w:widowControl w:val="0"/>
      <w:autoSpaceDE w:val="0"/>
      <w:autoSpaceDN w:val="0"/>
      <w:spacing w:before="0" w:beforeAutospacing="0" w:after="0" w:line="240" w:lineRule="auto"/>
    </w:pPr>
    <w:rPr>
      <w:rFonts w:ascii="Arial" w:eastAsia="Arial" w:hAnsi="Arial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562B"/>
    <w:pPr>
      <w:keepNext/>
      <w:widowControl/>
      <w:autoSpaceDE/>
      <w:autoSpaceDN/>
      <w:spacing w:before="100" w:beforeAutospacing="1" w:after="120" w:line="360" w:lineRule="auto"/>
      <w:jc w:val="center"/>
      <w:outlineLvl w:val="0"/>
    </w:pPr>
    <w:rPr>
      <w:rFonts w:ascii="Verdana" w:eastAsia="Arial Unicode MS" w:hAnsi="Verdana"/>
      <w:b/>
      <w:bCs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562B"/>
    <w:rPr>
      <w:rFonts w:eastAsia="Arial Unicode MS"/>
      <w:b/>
      <w:bCs/>
      <w:sz w:val="24"/>
      <w:szCs w:val="24"/>
    </w:rPr>
  </w:style>
  <w:style w:type="paragraph" w:styleId="Bezodstpw">
    <w:name w:val="No Spacing"/>
    <w:uiPriority w:val="1"/>
    <w:qFormat/>
    <w:rsid w:val="008D562B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8D562B"/>
    <w:pPr>
      <w:suppressAutoHyphens/>
      <w:autoSpaceDE/>
      <w:autoSpaceDN/>
      <w:spacing w:before="100" w:beforeAutospacing="1" w:after="120" w:line="360" w:lineRule="auto"/>
      <w:ind w:left="708"/>
    </w:pPr>
    <w:rPr>
      <w:rFonts w:ascii="Liberation Serif" w:eastAsia="SimSun" w:hAnsi="Liberation Serif" w:cs="Mangal"/>
      <w:kern w:val="1"/>
      <w:sz w:val="24"/>
      <w:szCs w:val="21"/>
      <w:lang w:val="pl-PL" w:eastAsia="zh-CN" w:bidi="hi-IN"/>
    </w:rPr>
  </w:style>
  <w:style w:type="paragraph" w:styleId="Tekstpodstawowy">
    <w:name w:val="Body Text"/>
    <w:basedOn w:val="Normalny"/>
    <w:link w:val="TekstpodstawowyZnak"/>
    <w:uiPriority w:val="1"/>
    <w:qFormat/>
    <w:rsid w:val="00E84DB7"/>
    <w:pPr>
      <w:jc w:val="both"/>
    </w:pPr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84DB7"/>
    <w:rPr>
      <w:rFonts w:ascii="Arial" w:eastAsia="Arial" w:hAnsi="Arial"/>
      <w:sz w:val="23"/>
      <w:szCs w:val="23"/>
      <w:lang w:val="en-US" w:eastAsia="en-US"/>
    </w:rPr>
  </w:style>
  <w:style w:type="character" w:customStyle="1" w:styleId="FontStyle34">
    <w:name w:val="Font Style34"/>
    <w:rsid w:val="00F326C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835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835"/>
    <w:rPr>
      <w:rFonts w:ascii="Times New Roman" w:eastAsia="Arial" w:hAnsi="Times New Roman" w:cs="Times New Roman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umelja04</dc:creator>
  <cp:lastModifiedBy>umelja04</cp:lastModifiedBy>
  <cp:revision>4</cp:revision>
  <dcterms:created xsi:type="dcterms:W3CDTF">2021-04-09T11:08:00Z</dcterms:created>
  <dcterms:modified xsi:type="dcterms:W3CDTF">2021-04-09T11:27:00Z</dcterms:modified>
</cp:coreProperties>
</file>