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36" w:rsidRPr="00426293" w:rsidRDefault="003C1836" w:rsidP="00426293">
      <w:pPr>
        <w:pStyle w:val="Heading1"/>
        <w:spacing w:before="115" w:line="360" w:lineRule="auto"/>
        <w:ind w:left="0" w:right="-16"/>
        <w:contextualSpacing/>
        <w:jc w:val="center"/>
        <w:rPr>
          <w:rFonts w:ascii="Verdana" w:hAnsi="Verdana"/>
          <w:w w:val="120"/>
          <w:sz w:val="22"/>
          <w:szCs w:val="22"/>
          <w:lang w:val="pl-PL"/>
        </w:rPr>
      </w:pPr>
      <w:r w:rsidRPr="00426293">
        <w:rPr>
          <w:rFonts w:ascii="Verdana" w:hAnsi="Verdana"/>
          <w:w w:val="120"/>
          <w:sz w:val="22"/>
          <w:szCs w:val="22"/>
          <w:lang w:val="pl-PL"/>
        </w:rPr>
        <w:t>Uchwała nr 20/19</w:t>
      </w:r>
    </w:p>
    <w:p w:rsidR="005C72E1" w:rsidRPr="00426293" w:rsidRDefault="003C1836" w:rsidP="00426293">
      <w:pPr>
        <w:pStyle w:val="Heading1"/>
        <w:spacing w:before="115" w:line="360" w:lineRule="auto"/>
        <w:ind w:left="0" w:right="-16"/>
        <w:contextualSpacing/>
        <w:jc w:val="center"/>
        <w:rPr>
          <w:rFonts w:ascii="Verdana" w:hAnsi="Verdana"/>
          <w:sz w:val="22"/>
          <w:szCs w:val="22"/>
          <w:lang w:val="pl-PL"/>
        </w:rPr>
      </w:pPr>
      <w:r w:rsidRPr="00426293">
        <w:rPr>
          <w:rFonts w:ascii="Verdana" w:hAnsi="Verdana"/>
          <w:w w:val="115"/>
          <w:sz w:val="22"/>
          <w:szCs w:val="22"/>
          <w:lang w:val="pl-PL"/>
        </w:rPr>
        <w:t>Zwyczajnego Zgromadzenia Wspólników</w:t>
      </w:r>
    </w:p>
    <w:p w:rsidR="003C1836" w:rsidRPr="00426293" w:rsidRDefault="003C1836" w:rsidP="00426293">
      <w:pPr>
        <w:spacing w:before="9" w:line="360" w:lineRule="auto"/>
        <w:ind w:right="-16"/>
        <w:contextualSpacing/>
        <w:jc w:val="center"/>
        <w:rPr>
          <w:rFonts w:ascii="Verdana" w:hAnsi="Verdana"/>
          <w:b/>
          <w:w w:val="115"/>
          <w:lang w:val="pl-PL"/>
        </w:rPr>
      </w:pPr>
      <w:r w:rsidRPr="00426293">
        <w:rPr>
          <w:rFonts w:ascii="Verdana" w:hAnsi="Verdana"/>
          <w:b/>
          <w:w w:val="115"/>
          <w:lang w:val="pl-PL"/>
        </w:rPr>
        <w:t xml:space="preserve">Towarzystwa Budownictwa Społecznego Wrocław </w:t>
      </w:r>
    </w:p>
    <w:p w:rsidR="005C72E1" w:rsidRPr="00426293" w:rsidRDefault="003C1836" w:rsidP="00426293">
      <w:pPr>
        <w:spacing w:before="9" w:line="360" w:lineRule="auto"/>
        <w:ind w:right="-16"/>
        <w:contextualSpacing/>
        <w:jc w:val="center"/>
        <w:rPr>
          <w:rFonts w:ascii="Verdana" w:hAnsi="Verdana"/>
          <w:b/>
          <w:lang w:val="pl-PL"/>
        </w:rPr>
      </w:pPr>
      <w:r w:rsidRPr="00426293">
        <w:rPr>
          <w:rFonts w:ascii="Verdana" w:hAnsi="Verdana"/>
          <w:b/>
          <w:w w:val="115"/>
          <w:lang w:val="pl-PL"/>
        </w:rPr>
        <w:t>Spółka z ograniczoną odpowiedzialnością</w:t>
      </w:r>
    </w:p>
    <w:p w:rsidR="005C72E1" w:rsidRPr="00426293" w:rsidRDefault="003C1836" w:rsidP="00426293">
      <w:pPr>
        <w:spacing w:before="100" w:beforeAutospacing="1" w:after="100" w:afterAutospacing="1" w:line="360" w:lineRule="auto"/>
        <w:ind w:right="-17"/>
        <w:contextualSpacing/>
        <w:jc w:val="center"/>
        <w:rPr>
          <w:rFonts w:ascii="Verdana" w:hAnsi="Verdana"/>
          <w:b/>
          <w:lang w:val="pl-PL"/>
        </w:rPr>
      </w:pPr>
      <w:r w:rsidRPr="00426293">
        <w:rPr>
          <w:rFonts w:ascii="Verdana" w:hAnsi="Verdana"/>
          <w:b/>
          <w:w w:val="120"/>
          <w:lang w:val="pl-PL"/>
        </w:rPr>
        <w:t>z dnia 24 maja 2019 r.</w:t>
      </w:r>
    </w:p>
    <w:p w:rsidR="005C72E1" w:rsidRPr="00426293" w:rsidRDefault="003C1836" w:rsidP="00426293">
      <w:pPr>
        <w:spacing w:before="100" w:beforeAutospacing="1" w:after="100" w:afterAutospacing="1" w:line="360" w:lineRule="auto"/>
        <w:ind w:right="-34" w:firstLine="11"/>
        <w:contextualSpacing/>
        <w:rPr>
          <w:rFonts w:ascii="Verdana" w:hAnsi="Verdana"/>
          <w:i/>
          <w:lang w:val="pl-PL"/>
        </w:rPr>
      </w:pPr>
      <w:r w:rsidRPr="00426293">
        <w:rPr>
          <w:rFonts w:ascii="Verdana" w:hAnsi="Verdana"/>
          <w:i/>
          <w:w w:val="120"/>
          <w:lang w:val="pl-PL"/>
        </w:rPr>
        <w:t>w sprawie: zmiany uchwały nr 18/17 Zwyczajnego Zgromadzenia Wspólników spółki Towarzystwo Budownictwa Społecznego Wrocław spółka z ograniczoną odpowiedzialnością z dnia 29 czerwca 2017 roku w sprawie zasad kształtowania wynagrodzenia Członków Zarządu spółki Towarzystwo Budownictwa Społecznego Wrocław spółka z ograniczoną odpowiedzialnością</w:t>
      </w:r>
    </w:p>
    <w:p w:rsidR="003C1836" w:rsidRPr="00426293" w:rsidRDefault="003C1836" w:rsidP="00426293">
      <w:pPr>
        <w:pStyle w:val="Tekstpodstawowy"/>
        <w:spacing w:before="81" w:line="360" w:lineRule="auto"/>
        <w:ind w:right="-34"/>
        <w:rPr>
          <w:rFonts w:ascii="Verdana" w:hAnsi="Verdana"/>
          <w:sz w:val="22"/>
          <w:szCs w:val="22"/>
          <w:lang w:val="pl-PL"/>
        </w:rPr>
      </w:pPr>
      <w:r w:rsidRPr="00426293">
        <w:rPr>
          <w:rFonts w:ascii="Verdana" w:hAnsi="Verdana"/>
          <w:sz w:val="22"/>
          <w:szCs w:val="22"/>
          <w:lang w:val="pl-PL"/>
        </w:rPr>
        <w:t xml:space="preserve">Załącznik nr 10 do Protokołu nr 1/2019 Zwyczajnego Zgromadzenia Wspólników </w:t>
      </w:r>
      <w:r w:rsidRPr="00426293">
        <w:rPr>
          <w:rFonts w:ascii="Verdana" w:hAnsi="Verdana"/>
          <w:w w:val="105"/>
          <w:sz w:val="22"/>
          <w:szCs w:val="22"/>
          <w:lang w:val="pl-PL"/>
        </w:rPr>
        <w:t>z dnia 24 maja 2019 r.</w:t>
      </w:r>
    </w:p>
    <w:p w:rsidR="005C72E1" w:rsidRPr="00426293" w:rsidRDefault="003C1836" w:rsidP="00426293">
      <w:pPr>
        <w:pStyle w:val="Tekstpodstawowy"/>
        <w:spacing w:before="100" w:beforeAutospacing="1" w:line="360" w:lineRule="auto"/>
        <w:ind w:right="-34" w:firstLine="17"/>
        <w:rPr>
          <w:rFonts w:ascii="Verdana" w:hAnsi="Verdana"/>
          <w:sz w:val="22"/>
          <w:szCs w:val="22"/>
          <w:lang w:val="pl-PL"/>
        </w:rPr>
      </w:pPr>
      <w:r w:rsidRPr="00426293">
        <w:rPr>
          <w:rFonts w:ascii="Verdana" w:hAnsi="Verdana"/>
          <w:w w:val="110"/>
          <w:sz w:val="22"/>
          <w:szCs w:val="22"/>
          <w:lang w:val="pl-PL"/>
        </w:rPr>
        <w:t xml:space="preserve">Na podstawie art. 2 ust. 2 </w:t>
      </w:r>
      <w:proofErr w:type="spellStart"/>
      <w:r w:rsidRPr="00426293">
        <w:rPr>
          <w:rFonts w:ascii="Verdana" w:hAnsi="Verdana"/>
          <w:w w:val="110"/>
          <w:sz w:val="22"/>
          <w:szCs w:val="22"/>
          <w:lang w:val="pl-PL"/>
        </w:rPr>
        <w:t>pkt</w:t>
      </w:r>
      <w:proofErr w:type="spellEnd"/>
      <w:r w:rsidRPr="00426293">
        <w:rPr>
          <w:rFonts w:ascii="Verdana" w:hAnsi="Verdana"/>
          <w:w w:val="110"/>
          <w:sz w:val="22"/>
          <w:szCs w:val="22"/>
          <w:lang w:val="pl-PL"/>
        </w:rPr>
        <w:t xml:space="preserve"> 1, art. 4 - 7 ustawy z dnia 9 czerwca 2016 r. o zasadach kształtowania wynagrodzeń osób kierujących niektórymi spółkami (Dz. U. z 2017r. poz. 2190ze zm.), oraz § 16 </w:t>
      </w:r>
      <w:proofErr w:type="spellStart"/>
      <w:r w:rsidRPr="00426293">
        <w:rPr>
          <w:rFonts w:ascii="Verdana" w:hAnsi="Verdana"/>
          <w:w w:val="110"/>
          <w:sz w:val="22"/>
          <w:szCs w:val="22"/>
          <w:lang w:val="pl-PL"/>
        </w:rPr>
        <w:t>pkt</w:t>
      </w:r>
      <w:proofErr w:type="spellEnd"/>
      <w:r w:rsidRPr="00426293">
        <w:rPr>
          <w:rFonts w:ascii="Verdana" w:hAnsi="Verdana"/>
          <w:w w:val="110"/>
          <w:sz w:val="22"/>
          <w:szCs w:val="22"/>
          <w:lang w:val="pl-PL"/>
        </w:rPr>
        <w:t xml:space="preserve"> 16 aktu założycielskiego Spółki z ograniczoną odpowiedzialnością z dnia 9 października 1998 r. (w brzmieniu tekstu jednolitego przyjętego uchwalą nr N0.0022.23.2019 Zarządu TBS Wrocław Sp. z o. o. z dnia 06 lutego 2019 roku, po zmianach wprowadzonych uchwalą nr 8/19 Nadzwyczajnego Zgromadzenia Wspólników  Towarzystwa Budownictwa Społecznego Wrocław spółka z ograniczoną odpowiedzialnością z dnia 04 lutego 2019 r. w sprawie zmiany aktu założycielskiego spółki z ograniczoną odpowiedzialnością - akt notarialny Repertorium A nr 443/2019), Zgromadzenie Wspólników Towarzystwa Budownictwa Społecznego Wrocław spółki z ograniczoną odpowiedzialnością uchwala, co</w:t>
      </w:r>
      <w:r w:rsidRPr="00426293">
        <w:rPr>
          <w:rFonts w:ascii="Verdana" w:hAnsi="Verdana"/>
          <w:spacing w:val="22"/>
          <w:w w:val="110"/>
          <w:sz w:val="22"/>
          <w:szCs w:val="22"/>
          <w:lang w:val="pl-PL"/>
        </w:rPr>
        <w:t xml:space="preserve"> </w:t>
      </w:r>
      <w:r w:rsidRPr="00426293">
        <w:rPr>
          <w:rFonts w:ascii="Verdana" w:hAnsi="Verdana"/>
          <w:w w:val="110"/>
          <w:sz w:val="22"/>
          <w:szCs w:val="22"/>
          <w:lang w:val="pl-PL"/>
        </w:rPr>
        <w:t>następuje:</w:t>
      </w:r>
    </w:p>
    <w:p w:rsidR="005C72E1" w:rsidRPr="00426293" w:rsidRDefault="003C1836" w:rsidP="00426293">
      <w:pPr>
        <w:spacing w:before="100" w:beforeAutospacing="1" w:after="100" w:afterAutospacing="1" w:line="360" w:lineRule="auto"/>
        <w:ind w:right="272"/>
        <w:rPr>
          <w:rFonts w:ascii="Verdana" w:hAnsi="Verdana"/>
          <w:lang w:val="pl-PL"/>
        </w:rPr>
      </w:pPr>
      <w:r w:rsidRPr="00426293">
        <w:rPr>
          <w:rFonts w:ascii="Verdana" w:hAnsi="Verdana"/>
          <w:w w:val="115"/>
          <w:lang w:val="pl-PL"/>
        </w:rPr>
        <w:t>§ 1</w:t>
      </w:r>
    </w:p>
    <w:p w:rsidR="005C72E1" w:rsidRPr="00426293" w:rsidRDefault="003C1836" w:rsidP="00426293">
      <w:pPr>
        <w:spacing w:line="360" w:lineRule="auto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>W uchwale nr 18/17 Zwyczajnego Zgromadzenia Wspólników spółki Towarzystwo Budownictwa Społecznego Wrocław spółka z ograniczoną odpowiedzialnością z dnia 29 czerwca 2017 roku w sprawie zasad kształtowania wynagrodzenia Członków Zarządu spółki Towarzystwo Budownictwa Społecznego Wrocław spółka z ograniczoną odpowiedzialnością (zmienionej uchwalą nr 2/18 z dnia 15 marca 2018 roku), wprowadza się następujące zmiany:</w:t>
      </w:r>
    </w:p>
    <w:p w:rsidR="005C72E1" w:rsidRPr="00C34E6E" w:rsidRDefault="003C1836" w:rsidP="00426293">
      <w:pPr>
        <w:spacing w:line="360" w:lineRule="auto"/>
        <w:rPr>
          <w:rFonts w:ascii="Verdana" w:hAnsi="Verdana"/>
          <w:b/>
          <w:lang w:val="pl-PL"/>
        </w:rPr>
      </w:pPr>
      <w:r w:rsidRPr="00C34E6E">
        <w:rPr>
          <w:rFonts w:ascii="Verdana" w:hAnsi="Verdana"/>
          <w:w w:val="120"/>
          <w:lang w:val="pl-PL"/>
        </w:rPr>
        <w:lastRenderedPageBreak/>
        <w:t>§ 3 otrzymuje następujące</w:t>
      </w:r>
      <w:r w:rsidRPr="00C34E6E">
        <w:rPr>
          <w:rFonts w:ascii="Verdana" w:hAnsi="Verdana"/>
          <w:spacing w:val="38"/>
          <w:w w:val="120"/>
          <w:lang w:val="pl-PL"/>
        </w:rPr>
        <w:t xml:space="preserve"> </w:t>
      </w:r>
      <w:r w:rsidRPr="00C34E6E">
        <w:rPr>
          <w:rFonts w:ascii="Verdana" w:hAnsi="Verdana"/>
          <w:w w:val="120"/>
          <w:lang w:val="pl-PL"/>
        </w:rPr>
        <w:t>brzmienie:</w:t>
      </w:r>
    </w:p>
    <w:p w:rsidR="005C72E1" w:rsidRPr="00426293" w:rsidRDefault="003C1836" w:rsidP="00426293">
      <w:pPr>
        <w:spacing w:line="360" w:lineRule="auto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>,,Wynagrodzenie podstawowe dla Członków Zarządu wynosi nie więcej niż:</w:t>
      </w:r>
    </w:p>
    <w:p w:rsidR="00D76C23" w:rsidRPr="00426293" w:rsidRDefault="003C1836" w:rsidP="00426293">
      <w:pPr>
        <w:pStyle w:val="Akapitzlist"/>
        <w:numPr>
          <w:ilvl w:val="1"/>
          <w:numId w:val="2"/>
        </w:numPr>
        <w:tabs>
          <w:tab w:val="left" w:pos="1191"/>
        </w:tabs>
        <w:spacing w:line="360" w:lineRule="auto"/>
        <w:ind w:right="136" w:hanging="361"/>
        <w:jc w:val="left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 xml:space="preserve">Prezes Zarządu </w:t>
      </w:r>
      <w:r w:rsidR="00D76C23" w:rsidRPr="00426293">
        <w:rPr>
          <w:rFonts w:ascii="Verdana" w:hAnsi="Verdana"/>
          <w:w w:val="110"/>
          <w:lang w:val="pl-PL"/>
        </w:rPr>
        <w:t>–</w:t>
      </w:r>
      <w:r w:rsidRPr="00426293">
        <w:rPr>
          <w:rFonts w:ascii="Verdana" w:hAnsi="Verdana"/>
          <w:w w:val="110"/>
          <w:lang w:val="pl-PL"/>
        </w:rPr>
        <w:t xml:space="preserve"> 20</w:t>
      </w:r>
      <w:r w:rsidR="00D76C23" w:rsidRPr="00426293">
        <w:rPr>
          <w:rFonts w:ascii="Verdana" w:hAnsi="Verdana"/>
          <w:w w:val="110"/>
          <w:lang w:val="pl-PL"/>
        </w:rPr>
        <w:t xml:space="preserve"> </w:t>
      </w:r>
      <w:r w:rsidRPr="00426293">
        <w:rPr>
          <w:rFonts w:ascii="Verdana" w:hAnsi="Verdana"/>
          <w:w w:val="110"/>
          <w:lang w:val="pl-PL"/>
        </w:rPr>
        <w:t xml:space="preserve">000 z/ (słownie: dwadzieścia tysiące złotych) brutto miesięcznie; </w:t>
      </w:r>
    </w:p>
    <w:p w:rsidR="005C72E1" w:rsidRPr="00426293" w:rsidRDefault="003C1836" w:rsidP="00426293">
      <w:pPr>
        <w:pStyle w:val="Akapitzlist"/>
        <w:numPr>
          <w:ilvl w:val="1"/>
          <w:numId w:val="2"/>
        </w:numPr>
        <w:tabs>
          <w:tab w:val="left" w:pos="1191"/>
        </w:tabs>
        <w:spacing w:line="360" w:lineRule="auto"/>
        <w:ind w:right="136" w:hanging="361"/>
        <w:jc w:val="left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>Wiceprezes Zarządu - 19.000 zł (słownie: dziewiętnaście tysięcy złotych) brutto miesięcznie"</w:t>
      </w:r>
    </w:p>
    <w:p w:rsidR="005C72E1" w:rsidRPr="00C34E6E" w:rsidRDefault="003C1836" w:rsidP="00426293">
      <w:pPr>
        <w:spacing w:line="360" w:lineRule="auto"/>
        <w:rPr>
          <w:rFonts w:ascii="Verdana" w:hAnsi="Verdana"/>
          <w:lang w:val="pl-PL"/>
        </w:rPr>
      </w:pPr>
      <w:r w:rsidRPr="00C34E6E">
        <w:rPr>
          <w:rFonts w:ascii="Verdana" w:hAnsi="Verdana"/>
          <w:w w:val="120"/>
          <w:lang w:val="pl-PL"/>
        </w:rPr>
        <w:t>w§ 4 ust. 1 i ust. 2 otrzymują następujące</w:t>
      </w:r>
      <w:r w:rsidRPr="00C34E6E">
        <w:rPr>
          <w:rFonts w:ascii="Verdana" w:hAnsi="Verdana"/>
          <w:spacing w:val="-26"/>
          <w:w w:val="120"/>
          <w:lang w:val="pl-PL"/>
        </w:rPr>
        <w:t xml:space="preserve"> </w:t>
      </w:r>
      <w:r w:rsidRPr="00C34E6E">
        <w:rPr>
          <w:rFonts w:ascii="Verdana" w:hAnsi="Verdana"/>
          <w:w w:val="120"/>
          <w:lang w:val="pl-PL"/>
        </w:rPr>
        <w:t>brzmienie:</w:t>
      </w:r>
    </w:p>
    <w:p w:rsidR="005C72E1" w:rsidRPr="00426293" w:rsidRDefault="003C1836" w:rsidP="00426293">
      <w:pPr>
        <w:spacing w:line="360" w:lineRule="auto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>„ 1. Wynagrodzenie uzupełniające uzależnione jest od poziomu realizacji celów zarządczych i nie może przekroczyć 25% Wynagrodzenia podstawowego Członka Zarządu w poprzednim roku</w:t>
      </w:r>
      <w:r w:rsidRPr="00426293">
        <w:rPr>
          <w:rFonts w:ascii="Verdana" w:hAnsi="Verdana"/>
          <w:spacing w:val="24"/>
          <w:w w:val="110"/>
          <w:lang w:val="pl-PL"/>
        </w:rPr>
        <w:t xml:space="preserve"> </w:t>
      </w:r>
      <w:r w:rsidRPr="00426293">
        <w:rPr>
          <w:rFonts w:ascii="Verdana" w:hAnsi="Verdana"/>
          <w:w w:val="110"/>
          <w:lang w:val="pl-PL"/>
        </w:rPr>
        <w:t>obrotowym.</w:t>
      </w:r>
    </w:p>
    <w:p w:rsidR="005C72E1" w:rsidRPr="00426293" w:rsidRDefault="003C1836" w:rsidP="00426293">
      <w:pPr>
        <w:spacing w:line="360" w:lineRule="auto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>2. Wskaźnik procentowy Wynagrodzenia uzupełniającego na dany rok obrotowy określa</w:t>
      </w:r>
      <w:r w:rsidR="00D76C23" w:rsidRPr="00426293">
        <w:rPr>
          <w:rFonts w:ascii="Verdana" w:hAnsi="Verdana"/>
          <w:w w:val="110"/>
          <w:lang w:val="pl-PL"/>
        </w:rPr>
        <w:t xml:space="preserve"> </w:t>
      </w:r>
      <w:r w:rsidRPr="00426293">
        <w:rPr>
          <w:rFonts w:ascii="Verdana" w:hAnsi="Verdana"/>
          <w:w w:val="105"/>
          <w:lang w:val="pl-PL"/>
        </w:rPr>
        <w:t>Rada Nadzorcza.";</w:t>
      </w:r>
    </w:p>
    <w:p w:rsidR="005C72E1" w:rsidRPr="00426293" w:rsidRDefault="003C1836" w:rsidP="00426293">
      <w:pPr>
        <w:spacing w:line="360" w:lineRule="auto"/>
        <w:rPr>
          <w:rFonts w:ascii="Verdana" w:hAnsi="Verdana"/>
        </w:rPr>
      </w:pPr>
      <w:r w:rsidRPr="00426293">
        <w:rPr>
          <w:rFonts w:ascii="Verdana" w:hAnsi="Verdana"/>
          <w:w w:val="110"/>
        </w:rPr>
        <w:t xml:space="preserve">w§ 6 w </w:t>
      </w:r>
      <w:proofErr w:type="spellStart"/>
      <w:r w:rsidRPr="00426293">
        <w:rPr>
          <w:rFonts w:ascii="Verdana" w:hAnsi="Verdana"/>
          <w:w w:val="110"/>
        </w:rPr>
        <w:t>ust</w:t>
      </w:r>
      <w:proofErr w:type="spellEnd"/>
      <w:r w:rsidRPr="00426293">
        <w:rPr>
          <w:rFonts w:ascii="Verdana" w:hAnsi="Verdana"/>
          <w:w w:val="110"/>
        </w:rPr>
        <w:t>.</w:t>
      </w:r>
      <w:r w:rsidRPr="00426293">
        <w:rPr>
          <w:rFonts w:ascii="Verdana" w:hAnsi="Verdana"/>
          <w:spacing w:val="-7"/>
          <w:w w:val="110"/>
        </w:rPr>
        <w:t xml:space="preserve"> </w:t>
      </w:r>
      <w:r w:rsidRPr="00426293">
        <w:rPr>
          <w:rFonts w:ascii="Verdana" w:hAnsi="Verdana"/>
          <w:w w:val="110"/>
        </w:rPr>
        <w:t>1:</w:t>
      </w:r>
    </w:p>
    <w:p w:rsidR="005C72E1" w:rsidRPr="00426293" w:rsidRDefault="003C1836" w:rsidP="00426293">
      <w:pPr>
        <w:pStyle w:val="Akapitzlist"/>
        <w:numPr>
          <w:ilvl w:val="2"/>
          <w:numId w:val="2"/>
        </w:numPr>
        <w:tabs>
          <w:tab w:val="left" w:pos="1077"/>
        </w:tabs>
        <w:spacing w:line="360" w:lineRule="auto"/>
        <w:ind w:hanging="253"/>
        <w:rPr>
          <w:rFonts w:ascii="Verdana" w:hAnsi="Verdana"/>
        </w:rPr>
      </w:pPr>
      <w:proofErr w:type="spellStart"/>
      <w:r w:rsidRPr="00426293">
        <w:rPr>
          <w:rFonts w:ascii="Verdana" w:hAnsi="Verdana"/>
          <w:w w:val="115"/>
        </w:rPr>
        <w:t>pkt</w:t>
      </w:r>
      <w:proofErr w:type="spellEnd"/>
      <w:r w:rsidRPr="00426293">
        <w:rPr>
          <w:rFonts w:ascii="Verdana" w:hAnsi="Verdana"/>
          <w:w w:val="115"/>
        </w:rPr>
        <w:t xml:space="preserve"> 5) </w:t>
      </w:r>
      <w:proofErr w:type="spellStart"/>
      <w:r w:rsidRPr="00426293">
        <w:rPr>
          <w:rFonts w:ascii="Verdana" w:hAnsi="Verdana"/>
          <w:w w:val="115"/>
        </w:rPr>
        <w:t>otrzymuje</w:t>
      </w:r>
      <w:proofErr w:type="spellEnd"/>
      <w:r w:rsidRPr="00426293">
        <w:rPr>
          <w:rFonts w:ascii="Verdana" w:hAnsi="Verdana"/>
          <w:w w:val="115"/>
        </w:rPr>
        <w:t xml:space="preserve"> </w:t>
      </w:r>
      <w:proofErr w:type="spellStart"/>
      <w:r w:rsidRPr="00426293">
        <w:rPr>
          <w:rFonts w:ascii="Verdana" w:hAnsi="Verdana"/>
          <w:w w:val="115"/>
        </w:rPr>
        <w:t>następujące</w:t>
      </w:r>
      <w:proofErr w:type="spellEnd"/>
      <w:r w:rsidRPr="00426293">
        <w:rPr>
          <w:rFonts w:ascii="Verdana" w:hAnsi="Verdana"/>
          <w:w w:val="115"/>
        </w:rPr>
        <w:t xml:space="preserve"> </w:t>
      </w:r>
      <w:proofErr w:type="spellStart"/>
      <w:r w:rsidRPr="00426293">
        <w:rPr>
          <w:rFonts w:ascii="Verdana" w:hAnsi="Verdana"/>
          <w:w w:val="115"/>
        </w:rPr>
        <w:t>brzmienie</w:t>
      </w:r>
      <w:proofErr w:type="spellEnd"/>
      <w:r w:rsidRPr="00426293">
        <w:rPr>
          <w:rFonts w:ascii="Verdana" w:hAnsi="Verdana"/>
          <w:w w:val="115"/>
        </w:rPr>
        <w:t>:</w:t>
      </w:r>
    </w:p>
    <w:p w:rsidR="00D76C23" w:rsidRPr="00426293" w:rsidRDefault="003C1836" w:rsidP="00426293">
      <w:pPr>
        <w:pStyle w:val="Tekstpodstawowy"/>
        <w:tabs>
          <w:tab w:val="left" w:pos="1274"/>
        </w:tabs>
        <w:spacing w:before="116" w:line="360" w:lineRule="auto"/>
        <w:ind w:left="809"/>
        <w:rPr>
          <w:rFonts w:ascii="Verdana" w:hAnsi="Verdana"/>
          <w:sz w:val="22"/>
          <w:szCs w:val="22"/>
          <w:lang w:val="pl-PL"/>
        </w:rPr>
      </w:pPr>
      <w:r w:rsidRPr="00426293">
        <w:rPr>
          <w:rFonts w:ascii="Verdana" w:hAnsi="Verdana"/>
          <w:w w:val="110"/>
          <w:sz w:val="22"/>
          <w:szCs w:val="22"/>
          <w:lang w:val="pl-PL"/>
        </w:rPr>
        <w:t>„5)</w:t>
      </w:r>
      <w:r w:rsidRPr="00426293">
        <w:rPr>
          <w:rFonts w:ascii="Verdana" w:hAnsi="Verdana"/>
          <w:w w:val="110"/>
          <w:sz w:val="22"/>
          <w:szCs w:val="22"/>
          <w:lang w:val="pl-PL"/>
        </w:rPr>
        <w:tab/>
        <w:t>Spółka może wypowiedzieć Umowę z zachowaniem jednomiesięcznego okresu</w:t>
      </w:r>
      <w:r w:rsidR="00D76C23" w:rsidRPr="00426293">
        <w:rPr>
          <w:rFonts w:ascii="Verdana" w:hAnsi="Verdana"/>
          <w:w w:val="110"/>
          <w:sz w:val="22"/>
          <w:szCs w:val="22"/>
          <w:lang w:val="pl-PL"/>
        </w:rPr>
        <w:t xml:space="preserve"> </w:t>
      </w:r>
      <w:r w:rsidRPr="00426293">
        <w:rPr>
          <w:rFonts w:ascii="Verdana" w:hAnsi="Verdana"/>
          <w:sz w:val="22"/>
          <w:szCs w:val="22"/>
          <w:lang w:val="pl-PL"/>
        </w:rPr>
        <w:t>wypowiedzenia</w:t>
      </w:r>
      <w:r w:rsidRPr="00426293">
        <w:rPr>
          <w:rFonts w:ascii="Verdana" w:hAnsi="Verdana"/>
          <w:i/>
          <w:sz w:val="22"/>
          <w:szCs w:val="22"/>
          <w:lang w:val="pl-PL"/>
        </w:rPr>
        <w:t>,</w:t>
      </w:r>
      <w:r w:rsidR="00D76C23" w:rsidRPr="00426293">
        <w:rPr>
          <w:rFonts w:ascii="Verdana" w:hAnsi="Verdana"/>
          <w:i/>
          <w:sz w:val="22"/>
          <w:szCs w:val="22"/>
          <w:lang w:val="pl-PL"/>
        </w:rPr>
        <w:t>”,</w:t>
      </w:r>
      <w:r w:rsidR="00D76C23" w:rsidRPr="00426293">
        <w:rPr>
          <w:rFonts w:ascii="Verdana" w:hAnsi="Verdana"/>
          <w:sz w:val="22"/>
          <w:szCs w:val="22"/>
          <w:lang w:val="pl-PL"/>
        </w:rPr>
        <w:t xml:space="preserve"> </w:t>
      </w:r>
    </w:p>
    <w:p w:rsidR="005C72E1" w:rsidRPr="00426293" w:rsidRDefault="003C1836" w:rsidP="00426293">
      <w:pPr>
        <w:pStyle w:val="Heading1"/>
        <w:numPr>
          <w:ilvl w:val="2"/>
          <w:numId w:val="2"/>
        </w:numPr>
        <w:spacing w:before="123" w:line="360" w:lineRule="auto"/>
        <w:rPr>
          <w:rFonts w:ascii="Verdana" w:hAnsi="Verdana"/>
          <w:b w:val="0"/>
          <w:sz w:val="22"/>
          <w:szCs w:val="22"/>
          <w:lang w:val="pl-PL"/>
        </w:rPr>
      </w:pPr>
      <w:proofErr w:type="spellStart"/>
      <w:r w:rsidRPr="00426293">
        <w:rPr>
          <w:rFonts w:ascii="Verdana" w:hAnsi="Verdana"/>
          <w:b w:val="0"/>
          <w:sz w:val="22"/>
          <w:szCs w:val="22"/>
          <w:lang w:val="pl-PL"/>
        </w:rPr>
        <w:t>pkt</w:t>
      </w:r>
      <w:proofErr w:type="spellEnd"/>
      <w:r w:rsidRPr="00426293">
        <w:rPr>
          <w:rFonts w:ascii="Verdana" w:hAnsi="Verdana"/>
          <w:b w:val="0"/>
          <w:sz w:val="22"/>
          <w:szCs w:val="22"/>
          <w:lang w:val="pl-PL"/>
        </w:rPr>
        <w:t xml:space="preserve"> 7) i 8) otrzymują następujące</w:t>
      </w:r>
      <w:r w:rsidRPr="00426293">
        <w:rPr>
          <w:rFonts w:ascii="Verdana" w:hAnsi="Verdana"/>
          <w:b w:val="0"/>
          <w:spacing w:val="49"/>
          <w:sz w:val="22"/>
          <w:szCs w:val="22"/>
          <w:lang w:val="pl-PL"/>
        </w:rPr>
        <w:t xml:space="preserve"> </w:t>
      </w:r>
      <w:r w:rsidRPr="00426293">
        <w:rPr>
          <w:rFonts w:ascii="Verdana" w:hAnsi="Verdana"/>
          <w:b w:val="0"/>
          <w:sz w:val="22"/>
          <w:szCs w:val="22"/>
          <w:lang w:val="pl-PL"/>
        </w:rPr>
        <w:t>brzmienie:</w:t>
      </w:r>
    </w:p>
    <w:p w:rsidR="005C72E1" w:rsidRPr="00426293" w:rsidRDefault="003C1836" w:rsidP="00426293">
      <w:pPr>
        <w:pStyle w:val="Tekstpodstawowy"/>
        <w:spacing w:before="124" w:line="360" w:lineRule="auto"/>
        <w:ind w:left="847" w:right="101" w:firstLine="8"/>
        <w:rPr>
          <w:rFonts w:ascii="Verdana" w:hAnsi="Verdana"/>
          <w:sz w:val="22"/>
          <w:szCs w:val="22"/>
          <w:lang w:val="pl-PL"/>
        </w:rPr>
      </w:pPr>
      <w:r w:rsidRPr="00426293">
        <w:rPr>
          <w:rFonts w:ascii="Verdana" w:hAnsi="Verdana"/>
          <w:w w:val="110"/>
          <w:sz w:val="22"/>
          <w:szCs w:val="22"/>
          <w:lang w:val="pl-PL"/>
        </w:rPr>
        <w:t>„7) W przypadku rozwiązania albo wypowiedzenia Umowy przez Spółkę z innych przyczyn niż naruszenie przez Członka Zarządu podstawowych obowiązków wynikających z Umowy, Rada Nadzorcza może mu przyznać odprawę w wysokości nie  wyższej niż dwukrotność Wynagrodzenia podstawowego, pod warunkiem pełnienia  przez  niego funkcji w Zarządzie Spółki przez okres co najmniej 12 miesięcy przed rozwiązaniem Umowy.</w:t>
      </w:r>
    </w:p>
    <w:p w:rsidR="005C72E1" w:rsidRPr="00426293" w:rsidRDefault="003C1836" w:rsidP="00426293">
      <w:pPr>
        <w:pStyle w:val="Akapitzlist"/>
        <w:numPr>
          <w:ilvl w:val="0"/>
          <w:numId w:val="1"/>
        </w:numPr>
        <w:tabs>
          <w:tab w:val="left" w:pos="1107"/>
        </w:tabs>
        <w:spacing w:before="0" w:line="360" w:lineRule="auto"/>
        <w:ind w:hanging="259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 xml:space="preserve">Rada Nadzorcza nie może przyznać odprawy, o której mowa w </w:t>
      </w:r>
      <w:proofErr w:type="spellStart"/>
      <w:r w:rsidRPr="00426293">
        <w:rPr>
          <w:rFonts w:ascii="Verdana" w:hAnsi="Verdana"/>
          <w:w w:val="110"/>
          <w:lang w:val="pl-PL"/>
        </w:rPr>
        <w:t>pkt</w:t>
      </w:r>
      <w:proofErr w:type="spellEnd"/>
      <w:r w:rsidRPr="00426293">
        <w:rPr>
          <w:rFonts w:ascii="Verdana" w:hAnsi="Verdana"/>
          <w:w w:val="110"/>
          <w:lang w:val="pl-PL"/>
        </w:rPr>
        <w:t xml:space="preserve"> 7) w przypadku:</w:t>
      </w:r>
    </w:p>
    <w:p w:rsidR="005C72E1" w:rsidRPr="00426293" w:rsidRDefault="003C1836" w:rsidP="00426293">
      <w:pPr>
        <w:pStyle w:val="Akapitzlist"/>
        <w:numPr>
          <w:ilvl w:val="1"/>
          <w:numId w:val="1"/>
        </w:numPr>
        <w:tabs>
          <w:tab w:val="left" w:pos="1557"/>
        </w:tabs>
        <w:spacing w:before="124" w:line="360" w:lineRule="auto"/>
        <w:ind w:hanging="355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>zmiany funkcji pełnionej przez Członka Zarządu w składzie Zarządu Spółki,</w:t>
      </w:r>
    </w:p>
    <w:p w:rsidR="005C72E1" w:rsidRPr="00426293" w:rsidRDefault="003C1836" w:rsidP="00426293">
      <w:pPr>
        <w:pStyle w:val="Akapitzlist"/>
        <w:numPr>
          <w:ilvl w:val="1"/>
          <w:numId w:val="1"/>
        </w:numPr>
        <w:tabs>
          <w:tab w:val="left" w:pos="1556"/>
        </w:tabs>
        <w:spacing w:before="124" w:line="360" w:lineRule="auto"/>
        <w:ind w:hanging="353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 xml:space="preserve">powołania Członka Zarządu na kolejną kadencję </w:t>
      </w:r>
      <w:r w:rsidRPr="00426293">
        <w:rPr>
          <w:rFonts w:ascii="Verdana" w:hAnsi="Verdana"/>
          <w:spacing w:val="13"/>
          <w:w w:val="110"/>
          <w:lang w:val="pl-PL"/>
        </w:rPr>
        <w:t xml:space="preserve"> </w:t>
      </w:r>
      <w:r w:rsidRPr="00426293">
        <w:rPr>
          <w:rFonts w:ascii="Verdana" w:hAnsi="Verdana"/>
          <w:w w:val="110"/>
          <w:lang w:val="pl-PL"/>
        </w:rPr>
        <w:t>Zarządu,</w:t>
      </w:r>
    </w:p>
    <w:p w:rsidR="005C72E1" w:rsidRPr="00426293" w:rsidRDefault="003C1836" w:rsidP="00426293">
      <w:pPr>
        <w:pStyle w:val="Akapitzlist"/>
        <w:numPr>
          <w:ilvl w:val="1"/>
          <w:numId w:val="1"/>
        </w:numPr>
        <w:tabs>
          <w:tab w:val="left" w:pos="1556"/>
        </w:tabs>
        <w:spacing w:before="117" w:line="360" w:lineRule="auto"/>
        <w:ind w:hanging="355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>powołania Członka Zarządu do składu zarządu innej w spółki z udziałem Gminy</w:t>
      </w:r>
    </w:p>
    <w:p w:rsidR="005C72E1" w:rsidRPr="00426293" w:rsidRDefault="003C1836" w:rsidP="00426293">
      <w:pPr>
        <w:pStyle w:val="Heading1"/>
        <w:spacing w:before="131" w:line="360" w:lineRule="auto"/>
        <w:ind w:left="1566"/>
        <w:rPr>
          <w:rFonts w:ascii="Verdana" w:hAnsi="Verdana"/>
          <w:b w:val="0"/>
          <w:sz w:val="22"/>
          <w:szCs w:val="22"/>
        </w:rPr>
      </w:pPr>
      <w:proofErr w:type="spellStart"/>
      <w:r w:rsidRPr="00426293">
        <w:rPr>
          <w:rFonts w:ascii="Verdana" w:hAnsi="Verdana"/>
          <w:b w:val="0"/>
          <w:w w:val="105"/>
          <w:sz w:val="22"/>
          <w:szCs w:val="22"/>
        </w:rPr>
        <w:t>Wrocław</w:t>
      </w:r>
      <w:proofErr w:type="spellEnd"/>
      <w:r w:rsidRPr="00426293">
        <w:rPr>
          <w:rFonts w:ascii="Verdana" w:hAnsi="Verdana"/>
          <w:b w:val="0"/>
          <w:w w:val="105"/>
          <w:sz w:val="22"/>
          <w:szCs w:val="22"/>
        </w:rPr>
        <w:t>,</w:t>
      </w:r>
    </w:p>
    <w:p w:rsidR="005C72E1" w:rsidRPr="00426293" w:rsidRDefault="003C1836" w:rsidP="00426293">
      <w:pPr>
        <w:pStyle w:val="Akapitzlist"/>
        <w:numPr>
          <w:ilvl w:val="1"/>
          <w:numId w:val="1"/>
        </w:numPr>
        <w:tabs>
          <w:tab w:val="left" w:pos="1550"/>
        </w:tabs>
        <w:spacing w:before="109" w:line="360" w:lineRule="auto"/>
        <w:ind w:left="1549" w:hanging="348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 xml:space="preserve">zatrudnienia Członka  Zarządu w Spółce lub innej spółce z </w:t>
      </w:r>
      <w:r w:rsidRPr="00426293">
        <w:rPr>
          <w:rFonts w:ascii="Verdana" w:hAnsi="Verdana"/>
          <w:w w:val="110"/>
          <w:lang w:val="pl-PL"/>
        </w:rPr>
        <w:lastRenderedPageBreak/>
        <w:t>udziałem Gminy Wrocław,</w:t>
      </w:r>
    </w:p>
    <w:p w:rsidR="005C72E1" w:rsidRPr="00426293" w:rsidRDefault="003C1836" w:rsidP="00426293">
      <w:pPr>
        <w:pStyle w:val="Akapitzlist"/>
        <w:numPr>
          <w:ilvl w:val="1"/>
          <w:numId w:val="1"/>
        </w:numPr>
        <w:tabs>
          <w:tab w:val="left" w:pos="1543"/>
        </w:tabs>
        <w:spacing w:line="360" w:lineRule="auto"/>
        <w:ind w:left="1542" w:hanging="349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>zatrudnienia Członka Zarządu w strukturze Urzędu Miejskiego Wrocławia,</w:t>
      </w:r>
    </w:p>
    <w:p w:rsidR="005C72E1" w:rsidRPr="00426293" w:rsidRDefault="003C1836" w:rsidP="00426293">
      <w:pPr>
        <w:pStyle w:val="Akapitzlist"/>
        <w:numPr>
          <w:ilvl w:val="1"/>
          <w:numId w:val="1"/>
        </w:numPr>
        <w:tabs>
          <w:tab w:val="left" w:pos="1548"/>
          <w:tab w:val="left" w:pos="1549"/>
        </w:tabs>
        <w:spacing w:line="360" w:lineRule="auto"/>
        <w:ind w:left="1548" w:hanging="363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>rezygnacji Członka Zarządu z pełnienia</w:t>
      </w:r>
      <w:r w:rsidRPr="00426293">
        <w:rPr>
          <w:rFonts w:ascii="Verdana" w:hAnsi="Verdana"/>
          <w:spacing w:val="22"/>
          <w:w w:val="110"/>
          <w:lang w:val="pl-PL"/>
        </w:rPr>
        <w:t xml:space="preserve"> </w:t>
      </w:r>
      <w:r w:rsidRPr="00426293">
        <w:rPr>
          <w:rFonts w:ascii="Verdana" w:hAnsi="Verdana"/>
          <w:w w:val="110"/>
          <w:lang w:val="pl-PL"/>
        </w:rPr>
        <w:t>funkcji,</w:t>
      </w:r>
    </w:p>
    <w:p w:rsidR="005C72E1" w:rsidRPr="00426293" w:rsidRDefault="003C1836" w:rsidP="00426293">
      <w:pPr>
        <w:pStyle w:val="Akapitzlist"/>
        <w:numPr>
          <w:ilvl w:val="1"/>
          <w:numId w:val="1"/>
        </w:numPr>
        <w:tabs>
          <w:tab w:val="left" w:pos="1546"/>
        </w:tabs>
        <w:spacing w:before="115" w:line="360" w:lineRule="auto"/>
        <w:ind w:right="120" w:hanging="361"/>
        <w:rPr>
          <w:rFonts w:ascii="Verdana" w:hAnsi="Verdana"/>
          <w:lang w:val="pl-PL"/>
        </w:rPr>
      </w:pPr>
      <w:r w:rsidRPr="00426293">
        <w:rPr>
          <w:rFonts w:ascii="Verdana" w:hAnsi="Verdana"/>
          <w:w w:val="110"/>
          <w:lang w:val="pl-PL"/>
        </w:rPr>
        <w:t>wygaśnięcia mandatu Członka Zarządu na skutek podjęcia uchwały przez Zgromadzenie Wspólników w sprawie rozwiązania Spółki i przeprowadzenia jej likwidacji.".</w:t>
      </w:r>
    </w:p>
    <w:p w:rsidR="005C72E1" w:rsidRPr="00426293" w:rsidRDefault="003C1836" w:rsidP="00426293">
      <w:pPr>
        <w:spacing w:before="94" w:line="360" w:lineRule="auto"/>
        <w:ind w:right="4483"/>
        <w:rPr>
          <w:rFonts w:ascii="Verdana" w:hAnsi="Verdana"/>
          <w:lang w:val="pl-PL"/>
        </w:rPr>
      </w:pPr>
      <w:r w:rsidRPr="00426293">
        <w:rPr>
          <w:rFonts w:ascii="Verdana" w:hAnsi="Verdana"/>
          <w:w w:val="120"/>
          <w:lang w:val="pl-PL"/>
        </w:rPr>
        <w:t>§ 2</w:t>
      </w:r>
    </w:p>
    <w:p w:rsidR="005C72E1" w:rsidRPr="00426293" w:rsidRDefault="003C1836" w:rsidP="00426293">
      <w:pPr>
        <w:pStyle w:val="Tekstpodstawowy"/>
        <w:spacing w:before="133" w:line="360" w:lineRule="auto"/>
        <w:ind w:left="112"/>
        <w:rPr>
          <w:rFonts w:ascii="Verdana" w:hAnsi="Verdana"/>
          <w:sz w:val="22"/>
          <w:szCs w:val="22"/>
          <w:lang w:val="pl-PL"/>
        </w:rPr>
      </w:pPr>
      <w:r w:rsidRPr="00426293">
        <w:rPr>
          <w:rFonts w:ascii="Verdana" w:hAnsi="Verdana"/>
          <w:w w:val="110"/>
          <w:sz w:val="22"/>
          <w:szCs w:val="22"/>
          <w:lang w:val="pl-PL"/>
        </w:rPr>
        <w:t>Uchwala wchodzi w życie z dniem podjęcia.</w:t>
      </w:r>
    </w:p>
    <w:p w:rsidR="005C72E1" w:rsidRPr="00426293" w:rsidRDefault="003C1836" w:rsidP="00426293">
      <w:pPr>
        <w:pStyle w:val="Tekstpodstawowy"/>
        <w:spacing w:before="100" w:beforeAutospacing="1" w:line="360" w:lineRule="auto"/>
        <w:rPr>
          <w:rFonts w:ascii="Verdana" w:hAnsi="Verdana"/>
          <w:sz w:val="22"/>
          <w:szCs w:val="22"/>
          <w:lang w:val="pl-PL"/>
        </w:rPr>
      </w:pPr>
      <w:r w:rsidRPr="00426293">
        <w:rPr>
          <w:rFonts w:ascii="Verdana" w:hAnsi="Verdana"/>
          <w:sz w:val="22"/>
          <w:szCs w:val="22"/>
          <w:lang w:val="pl-PL"/>
        </w:rPr>
        <w:t>dokument podpisał:</w:t>
      </w:r>
    </w:p>
    <w:p w:rsidR="003C1836" w:rsidRPr="00426293" w:rsidRDefault="00426293" w:rsidP="00426293">
      <w:pPr>
        <w:pStyle w:val="Tekstpodstawowy"/>
        <w:spacing w:line="360" w:lineRule="auto"/>
        <w:rPr>
          <w:rFonts w:ascii="Verdana" w:hAnsi="Verdana"/>
          <w:sz w:val="22"/>
          <w:szCs w:val="22"/>
          <w:lang w:val="pl-PL"/>
        </w:rPr>
      </w:pPr>
      <w:r w:rsidRPr="00426293">
        <w:rPr>
          <w:rFonts w:ascii="Verdana" w:hAnsi="Verdana"/>
          <w:sz w:val="22"/>
          <w:szCs w:val="22"/>
          <w:lang w:val="pl-PL"/>
        </w:rPr>
        <w:t>Przewodniczący</w:t>
      </w:r>
      <w:r w:rsidR="003C1836" w:rsidRPr="00426293">
        <w:rPr>
          <w:rFonts w:ascii="Verdana" w:hAnsi="Verdana"/>
          <w:sz w:val="22"/>
          <w:szCs w:val="22"/>
          <w:lang w:val="pl-PL"/>
        </w:rPr>
        <w:t xml:space="preserve"> Zgromadzenia Wspólników Marcin Urban</w:t>
      </w:r>
    </w:p>
    <w:sectPr w:rsidR="003C1836" w:rsidRPr="00426293" w:rsidSect="001D4E7A">
      <w:pgSz w:w="11760" w:h="16820"/>
      <w:pgMar w:top="993" w:right="1300" w:bottom="993" w:left="1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F7EB1"/>
    <w:multiLevelType w:val="hybridMultilevel"/>
    <w:tmpl w:val="C0FC25E4"/>
    <w:lvl w:ilvl="0" w:tplc="14320826">
      <w:start w:val="8"/>
      <w:numFmt w:val="decimal"/>
      <w:lvlText w:val="%1)"/>
      <w:lvlJc w:val="left"/>
      <w:pPr>
        <w:ind w:left="1106" w:hanging="260"/>
      </w:pPr>
      <w:rPr>
        <w:rFonts w:ascii="Verdana" w:eastAsia="Arial" w:hAnsi="Verdana" w:cs="Arial" w:hint="default"/>
        <w:w w:val="111"/>
        <w:sz w:val="22"/>
        <w:szCs w:val="22"/>
      </w:rPr>
    </w:lvl>
    <w:lvl w:ilvl="1" w:tplc="152CB1BA">
      <w:start w:val="1"/>
      <w:numFmt w:val="lowerLetter"/>
      <w:lvlText w:val="%2)"/>
      <w:lvlJc w:val="left"/>
      <w:pPr>
        <w:ind w:left="1555" w:hanging="356"/>
      </w:pPr>
      <w:rPr>
        <w:rFonts w:hint="default"/>
        <w:w w:val="114"/>
      </w:rPr>
    </w:lvl>
    <w:lvl w:ilvl="2" w:tplc="C4C652B4">
      <w:numFmt w:val="bullet"/>
      <w:lvlText w:val="•"/>
      <w:lvlJc w:val="left"/>
      <w:pPr>
        <w:ind w:left="2421" w:hanging="356"/>
      </w:pPr>
      <w:rPr>
        <w:rFonts w:hint="default"/>
      </w:rPr>
    </w:lvl>
    <w:lvl w:ilvl="3" w:tplc="539E27B6">
      <w:numFmt w:val="bullet"/>
      <w:lvlText w:val="•"/>
      <w:lvlJc w:val="left"/>
      <w:pPr>
        <w:ind w:left="3282" w:hanging="356"/>
      </w:pPr>
      <w:rPr>
        <w:rFonts w:hint="default"/>
      </w:rPr>
    </w:lvl>
    <w:lvl w:ilvl="4" w:tplc="EA3EE142">
      <w:numFmt w:val="bullet"/>
      <w:lvlText w:val="•"/>
      <w:lvlJc w:val="left"/>
      <w:pPr>
        <w:ind w:left="4143" w:hanging="356"/>
      </w:pPr>
      <w:rPr>
        <w:rFonts w:hint="default"/>
      </w:rPr>
    </w:lvl>
    <w:lvl w:ilvl="5" w:tplc="1DACA5B0">
      <w:numFmt w:val="bullet"/>
      <w:lvlText w:val="•"/>
      <w:lvlJc w:val="left"/>
      <w:pPr>
        <w:ind w:left="5004" w:hanging="356"/>
      </w:pPr>
      <w:rPr>
        <w:rFonts w:hint="default"/>
      </w:rPr>
    </w:lvl>
    <w:lvl w:ilvl="6" w:tplc="EA8EE04C">
      <w:numFmt w:val="bullet"/>
      <w:lvlText w:val="•"/>
      <w:lvlJc w:val="left"/>
      <w:pPr>
        <w:ind w:left="5865" w:hanging="356"/>
      </w:pPr>
      <w:rPr>
        <w:rFonts w:hint="default"/>
      </w:rPr>
    </w:lvl>
    <w:lvl w:ilvl="7" w:tplc="6038990E">
      <w:numFmt w:val="bullet"/>
      <w:lvlText w:val="•"/>
      <w:lvlJc w:val="left"/>
      <w:pPr>
        <w:ind w:left="6726" w:hanging="356"/>
      </w:pPr>
      <w:rPr>
        <w:rFonts w:hint="default"/>
      </w:rPr>
    </w:lvl>
    <w:lvl w:ilvl="8" w:tplc="4ED22BDA">
      <w:numFmt w:val="bullet"/>
      <w:lvlText w:val="•"/>
      <w:lvlJc w:val="left"/>
      <w:pPr>
        <w:ind w:left="7588" w:hanging="356"/>
      </w:pPr>
      <w:rPr>
        <w:rFonts w:hint="default"/>
      </w:rPr>
    </w:lvl>
  </w:abstractNum>
  <w:abstractNum w:abstractNumId="1">
    <w:nsid w:val="661F0417"/>
    <w:multiLevelType w:val="hybridMultilevel"/>
    <w:tmpl w:val="A59E244E"/>
    <w:lvl w:ilvl="0" w:tplc="1C704240">
      <w:start w:val="1"/>
      <w:numFmt w:val="decimal"/>
      <w:lvlText w:val="%1)"/>
      <w:lvlJc w:val="left"/>
      <w:pPr>
        <w:ind w:left="398" w:hanging="287"/>
      </w:pPr>
      <w:rPr>
        <w:rFonts w:ascii="Verdana" w:eastAsia="Arial" w:hAnsi="Verdana" w:cs="Arial" w:hint="default"/>
        <w:w w:val="116"/>
        <w:sz w:val="22"/>
        <w:szCs w:val="22"/>
      </w:rPr>
    </w:lvl>
    <w:lvl w:ilvl="1" w:tplc="19BC8E70">
      <w:start w:val="1"/>
      <w:numFmt w:val="decimal"/>
      <w:lvlText w:val="%2)"/>
      <w:lvlJc w:val="left"/>
      <w:pPr>
        <w:ind w:left="1192" w:hanging="359"/>
        <w:jc w:val="right"/>
      </w:pPr>
      <w:rPr>
        <w:rFonts w:hint="default"/>
        <w:w w:val="117"/>
      </w:rPr>
    </w:lvl>
    <w:lvl w:ilvl="2" w:tplc="A53EA3F8">
      <w:start w:val="1"/>
      <w:numFmt w:val="lowerLetter"/>
      <w:lvlText w:val="%3)"/>
      <w:lvlJc w:val="left"/>
      <w:pPr>
        <w:ind w:left="1076" w:hanging="254"/>
      </w:pPr>
      <w:rPr>
        <w:rFonts w:ascii="Verdana" w:eastAsia="Arial" w:hAnsi="Verdana" w:cs="Arial" w:hint="default"/>
        <w:w w:val="119"/>
        <w:sz w:val="22"/>
        <w:szCs w:val="22"/>
      </w:rPr>
    </w:lvl>
    <w:lvl w:ilvl="3" w:tplc="39001CEE">
      <w:numFmt w:val="bullet"/>
      <w:lvlText w:val="•"/>
      <w:lvlJc w:val="left"/>
      <w:pPr>
        <w:ind w:left="1200" w:hanging="254"/>
      </w:pPr>
      <w:rPr>
        <w:rFonts w:hint="default"/>
      </w:rPr>
    </w:lvl>
    <w:lvl w:ilvl="4" w:tplc="4F446D5C">
      <w:numFmt w:val="bullet"/>
      <w:lvlText w:val="•"/>
      <w:lvlJc w:val="left"/>
      <w:pPr>
        <w:ind w:left="2361" w:hanging="254"/>
      </w:pPr>
      <w:rPr>
        <w:rFonts w:hint="default"/>
      </w:rPr>
    </w:lvl>
    <w:lvl w:ilvl="5" w:tplc="CD164A88">
      <w:numFmt w:val="bullet"/>
      <w:lvlText w:val="•"/>
      <w:lvlJc w:val="left"/>
      <w:pPr>
        <w:ind w:left="3522" w:hanging="254"/>
      </w:pPr>
      <w:rPr>
        <w:rFonts w:hint="default"/>
      </w:rPr>
    </w:lvl>
    <w:lvl w:ilvl="6" w:tplc="A5F2E348">
      <w:numFmt w:val="bullet"/>
      <w:lvlText w:val="•"/>
      <w:lvlJc w:val="left"/>
      <w:pPr>
        <w:ind w:left="4684" w:hanging="254"/>
      </w:pPr>
      <w:rPr>
        <w:rFonts w:hint="default"/>
      </w:rPr>
    </w:lvl>
    <w:lvl w:ilvl="7" w:tplc="E62E30A6">
      <w:numFmt w:val="bullet"/>
      <w:lvlText w:val="•"/>
      <w:lvlJc w:val="left"/>
      <w:pPr>
        <w:ind w:left="5845" w:hanging="254"/>
      </w:pPr>
      <w:rPr>
        <w:rFonts w:hint="default"/>
      </w:rPr>
    </w:lvl>
    <w:lvl w:ilvl="8" w:tplc="B66CC890">
      <w:numFmt w:val="bullet"/>
      <w:lvlText w:val="•"/>
      <w:lvlJc w:val="left"/>
      <w:pPr>
        <w:ind w:left="7007" w:hanging="25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5C72E1"/>
    <w:rsid w:val="001D4E7A"/>
    <w:rsid w:val="003C1836"/>
    <w:rsid w:val="00426293"/>
    <w:rsid w:val="005C72E1"/>
    <w:rsid w:val="00796E97"/>
    <w:rsid w:val="00B418E1"/>
    <w:rsid w:val="00C34E6E"/>
    <w:rsid w:val="00CD2E96"/>
    <w:rsid w:val="00D7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C72E1"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2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C72E1"/>
    <w:rPr>
      <w:sz w:val="18"/>
      <w:szCs w:val="18"/>
    </w:rPr>
  </w:style>
  <w:style w:type="paragraph" w:customStyle="1" w:styleId="Heading1">
    <w:name w:val="Heading 1"/>
    <w:basedOn w:val="Normalny"/>
    <w:uiPriority w:val="1"/>
    <w:qFormat/>
    <w:rsid w:val="005C72E1"/>
    <w:pPr>
      <w:ind w:left="141"/>
      <w:outlineLvl w:val="1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rsid w:val="005C72E1"/>
    <w:pPr>
      <w:spacing w:before="123"/>
      <w:ind w:left="1555" w:hanging="361"/>
    </w:pPr>
  </w:style>
  <w:style w:type="paragraph" w:customStyle="1" w:styleId="TableParagraph">
    <w:name w:val="Table Paragraph"/>
    <w:basedOn w:val="Normalny"/>
    <w:uiPriority w:val="1"/>
    <w:qFormat/>
    <w:rsid w:val="005C72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umelja04</cp:lastModifiedBy>
  <cp:revision>4</cp:revision>
  <dcterms:created xsi:type="dcterms:W3CDTF">2021-03-09T15:34:00Z</dcterms:created>
  <dcterms:modified xsi:type="dcterms:W3CDTF">2021-03-30T07:50:00Z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KMBT_361</vt:lpwstr>
  </property>
  <property fmtid="{D5CDD505-2E9C-101B-9397-08002B2CF9AE}" pid="4" name="LastSaved">
    <vt:filetime>2021-03-09T00:00:00Z</vt:filetime>
  </property>
</Properties>
</file>