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EB" w:rsidRPr="00D05D60" w:rsidRDefault="00982BEB" w:rsidP="00D05D60">
      <w:pPr>
        <w:pStyle w:val="Nagwek1"/>
        <w:ind w:left="1134"/>
        <w:contextualSpacing/>
        <w:jc w:val="center"/>
        <w:rPr>
          <w:rFonts w:ascii="Verdana" w:hAnsi="Verdana"/>
          <w:color w:val="auto"/>
          <w:w w:val="110"/>
          <w:sz w:val="22"/>
          <w:szCs w:val="22"/>
          <w:lang w:val="pl-PL"/>
        </w:rPr>
      </w:pPr>
      <w:r w:rsidRPr="00D05D60">
        <w:rPr>
          <w:rFonts w:ascii="Verdana" w:hAnsi="Verdana"/>
          <w:color w:val="auto"/>
          <w:w w:val="110"/>
          <w:sz w:val="22"/>
          <w:szCs w:val="22"/>
          <w:lang w:val="pl-PL"/>
        </w:rPr>
        <w:t>Uchwała nr 18/17</w:t>
      </w:r>
    </w:p>
    <w:p w:rsidR="00982BEB" w:rsidRPr="00D05D60" w:rsidRDefault="0043457F" w:rsidP="00982BEB">
      <w:pPr>
        <w:pStyle w:val="Nagwek1"/>
        <w:contextualSpacing/>
        <w:jc w:val="center"/>
        <w:rPr>
          <w:rFonts w:ascii="Verdana" w:hAnsi="Verdana"/>
          <w:color w:val="auto"/>
          <w:w w:val="110"/>
          <w:sz w:val="22"/>
          <w:szCs w:val="22"/>
          <w:lang w:val="pl-PL"/>
        </w:rPr>
      </w:pPr>
      <w:r w:rsidRPr="00D05D60">
        <w:rPr>
          <w:rFonts w:ascii="Verdana" w:hAnsi="Verdana"/>
          <w:color w:val="auto"/>
          <w:w w:val="110"/>
          <w:sz w:val="22"/>
          <w:szCs w:val="22"/>
          <w:lang w:val="pl-PL"/>
        </w:rPr>
        <w:t>Zwyczajnego Zgromadzenia Wspólników</w:t>
      </w:r>
      <w:r w:rsidR="00982BEB" w:rsidRPr="00D05D60">
        <w:rPr>
          <w:rFonts w:ascii="Verdana" w:hAnsi="Verdana"/>
          <w:color w:val="auto"/>
          <w:w w:val="110"/>
          <w:sz w:val="22"/>
          <w:szCs w:val="22"/>
          <w:lang w:val="pl-PL"/>
        </w:rPr>
        <w:t xml:space="preserve"> </w:t>
      </w:r>
    </w:p>
    <w:p w:rsidR="00982BEB" w:rsidRPr="00D05D60" w:rsidRDefault="0043457F" w:rsidP="00982BEB">
      <w:pPr>
        <w:pStyle w:val="Nagwek1"/>
        <w:contextualSpacing/>
        <w:jc w:val="center"/>
        <w:rPr>
          <w:rFonts w:ascii="Verdana" w:hAnsi="Verdana"/>
          <w:color w:val="auto"/>
          <w:w w:val="110"/>
          <w:sz w:val="22"/>
          <w:szCs w:val="22"/>
          <w:lang w:val="pl-PL"/>
        </w:rPr>
      </w:pPr>
      <w:r w:rsidRPr="00D05D60">
        <w:rPr>
          <w:rFonts w:ascii="Verdana" w:hAnsi="Verdana"/>
          <w:color w:val="auto"/>
          <w:w w:val="110"/>
          <w:sz w:val="22"/>
          <w:szCs w:val="22"/>
          <w:lang w:val="pl-PL"/>
        </w:rPr>
        <w:t xml:space="preserve">Towarzystwa Budownictwa Społecznego Wrocław </w:t>
      </w:r>
    </w:p>
    <w:p w:rsidR="00982BEB" w:rsidRPr="00D05D60" w:rsidRDefault="0043457F" w:rsidP="00982BEB">
      <w:pPr>
        <w:pStyle w:val="Nagwek1"/>
        <w:contextualSpacing/>
        <w:jc w:val="center"/>
        <w:rPr>
          <w:rFonts w:ascii="Verdana" w:hAnsi="Verdana"/>
          <w:color w:val="auto"/>
          <w:w w:val="110"/>
          <w:sz w:val="22"/>
          <w:szCs w:val="22"/>
          <w:lang w:val="pl-PL"/>
        </w:rPr>
      </w:pPr>
      <w:r w:rsidRPr="00D05D60">
        <w:rPr>
          <w:rFonts w:ascii="Verdana" w:hAnsi="Verdana"/>
          <w:color w:val="auto"/>
          <w:w w:val="110"/>
          <w:sz w:val="22"/>
          <w:szCs w:val="22"/>
          <w:lang w:val="pl-PL"/>
        </w:rPr>
        <w:t>spółka z ograniczoną odpowiedzialnością</w:t>
      </w:r>
    </w:p>
    <w:p w:rsidR="008727FF" w:rsidRPr="00D05D60" w:rsidRDefault="0043457F" w:rsidP="00982BEB">
      <w:pPr>
        <w:pStyle w:val="Nagwek1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D05D60">
        <w:rPr>
          <w:rFonts w:ascii="Verdana" w:hAnsi="Verdana"/>
          <w:color w:val="auto"/>
          <w:w w:val="110"/>
          <w:sz w:val="22"/>
          <w:szCs w:val="22"/>
          <w:lang w:val="pl-PL"/>
        </w:rPr>
        <w:t>z dnia 29 czerwca 2017</w:t>
      </w:r>
      <w:r w:rsidRPr="00D05D60">
        <w:rPr>
          <w:rFonts w:ascii="Verdana" w:hAnsi="Verdana"/>
          <w:color w:val="auto"/>
          <w:spacing w:val="52"/>
          <w:w w:val="110"/>
          <w:sz w:val="22"/>
          <w:szCs w:val="22"/>
          <w:lang w:val="pl-PL"/>
        </w:rPr>
        <w:t xml:space="preserve"> </w:t>
      </w:r>
      <w:r w:rsidRPr="00D05D60">
        <w:rPr>
          <w:rFonts w:ascii="Verdana" w:hAnsi="Verdana"/>
          <w:color w:val="auto"/>
          <w:w w:val="110"/>
          <w:sz w:val="22"/>
          <w:szCs w:val="22"/>
          <w:lang w:val="pl-PL"/>
        </w:rPr>
        <w:t>roku</w:t>
      </w:r>
    </w:p>
    <w:p w:rsidR="008727FF" w:rsidRPr="00D05D60" w:rsidRDefault="0043457F" w:rsidP="00982BEB">
      <w:pPr>
        <w:spacing w:before="100" w:beforeAutospacing="1" w:after="100" w:afterAutospacing="1" w:line="360" w:lineRule="auto"/>
        <w:ind w:right="136"/>
        <w:contextualSpacing/>
        <w:rPr>
          <w:rFonts w:ascii="Verdana" w:hAnsi="Verdana"/>
          <w:i/>
          <w:lang w:val="pl-PL"/>
        </w:rPr>
      </w:pPr>
      <w:r w:rsidRPr="00D05D60">
        <w:rPr>
          <w:rFonts w:ascii="Verdana" w:hAnsi="Verdana"/>
          <w:i/>
          <w:w w:val="110"/>
          <w:lang w:val="pl-PL"/>
        </w:rPr>
        <w:t>w sprawie zasad kształtowania wynagrodzeń Członków Zarządu Towarzystwa Budownictwa Społecznego Wrocław spółka z ograniczoną</w:t>
      </w:r>
      <w:r w:rsidRPr="00D05D60">
        <w:rPr>
          <w:rFonts w:ascii="Verdana" w:hAnsi="Verdana"/>
          <w:i/>
          <w:spacing w:val="55"/>
          <w:w w:val="110"/>
          <w:lang w:val="pl-PL"/>
        </w:rPr>
        <w:t xml:space="preserve"> </w:t>
      </w:r>
      <w:r w:rsidRPr="00D05D60">
        <w:rPr>
          <w:rFonts w:ascii="Verdana" w:hAnsi="Verdana"/>
          <w:i/>
          <w:w w:val="110"/>
          <w:lang w:val="pl-PL"/>
        </w:rPr>
        <w:t>odpowiedzialnością</w:t>
      </w:r>
    </w:p>
    <w:p w:rsidR="005E418B" w:rsidRPr="00D05D60" w:rsidRDefault="00982BEB" w:rsidP="005E418B">
      <w:pPr>
        <w:pStyle w:val="Tekstpodstawowy"/>
        <w:spacing w:before="100" w:beforeAutospacing="1" w:after="100" w:afterAutospacing="1" w:line="360" w:lineRule="auto"/>
        <w:contextualSpacing/>
        <w:rPr>
          <w:rFonts w:ascii="Verdana" w:hAnsi="Verdana"/>
          <w:sz w:val="22"/>
          <w:szCs w:val="22"/>
          <w:lang w:val="pl-PL"/>
        </w:rPr>
      </w:pPr>
      <w:r w:rsidRPr="00D05D60">
        <w:rPr>
          <w:rFonts w:ascii="Verdana" w:hAnsi="Verdana"/>
          <w:sz w:val="22"/>
          <w:szCs w:val="22"/>
          <w:lang w:val="pl-PL"/>
        </w:rPr>
        <w:t xml:space="preserve">Załącznik nr 13 do Protokołu nr 1/2017 </w:t>
      </w:r>
      <w:r w:rsidRPr="00D05D60">
        <w:rPr>
          <w:rFonts w:ascii="Verdana" w:hAnsi="Verdana"/>
          <w:w w:val="95"/>
          <w:sz w:val="22"/>
          <w:szCs w:val="22"/>
          <w:lang w:val="pl-PL"/>
        </w:rPr>
        <w:t xml:space="preserve">Zwyczajnego Zgromadzenia Wspólników </w:t>
      </w:r>
      <w:r w:rsidRPr="00D05D60">
        <w:rPr>
          <w:rFonts w:ascii="Verdana" w:hAnsi="Verdana"/>
          <w:sz w:val="22"/>
          <w:szCs w:val="22"/>
          <w:lang w:val="pl-PL"/>
        </w:rPr>
        <w:t>z dnia 29 maja 2017 r. i 29 czerwca 2017r.</w:t>
      </w:r>
    </w:p>
    <w:p w:rsidR="008727FF" w:rsidRPr="00D05D60" w:rsidRDefault="0043457F" w:rsidP="005E418B">
      <w:pPr>
        <w:pStyle w:val="Tekstpodstawowy"/>
        <w:spacing w:before="100" w:beforeAutospacing="1" w:after="100" w:afterAutospacing="1" w:line="360" w:lineRule="auto"/>
        <w:contextualSpacing/>
        <w:rPr>
          <w:rFonts w:ascii="Verdana" w:hAnsi="Verdana"/>
          <w:sz w:val="22"/>
          <w:szCs w:val="22"/>
          <w:lang w:val="pl-PL"/>
        </w:rPr>
      </w:pPr>
      <w:r w:rsidRPr="00D05D60">
        <w:rPr>
          <w:rFonts w:ascii="Verdana" w:hAnsi="Verdana"/>
          <w:w w:val="105"/>
          <w:sz w:val="22"/>
          <w:szCs w:val="22"/>
          <w:lang w:val="pl-PL"/>
        </w:rPr>
        <w:t xml:space="preserve">Działając na podstawie art. 2 ust. 2 </w:t>
      </w:r>
      <w:proofErr w:type="spellStart"/>
      <w:r w:rsidRPr="00D05D60">
        <w:rPr>
          <w:rFonts w:ascii="Verdana" w:hAnsi="Verdana"/>
          <w:w w:val="105"/>
          <w:sz w:val="22"/>
          <w:szCs w:val="22"/>
          <w:lang w:val="pl-PL"/>
        </w:rPr>
        <w:t>pkt</w:t>
      </w:r>
      <w:proofErr w:type="spellEnd"/>
      <w:r w:rsidRPr="00D05D60">
        <w:rPr>
          <w:rFonts w:ascii="Verdana" w:hAnsi="Verdana"/>
          <w:w w:val="105"/>
          <w:sz w:val="22"/>
          <w:szCs w:val="22"/>
          <w:lang w:val="pl-PL"/>
        </w:rPr>
        <w:t xml:space="preserve"> 1, art. 4, art. 5, art. 6, art. 7 ustawy z dnia 9 czerwca 2016 r. o zasadach kształtowania wynagrodzeń osób kierujących niektórymi spółkami (Dz.</w:t>
      </w:r>
      <w:r w:rsidR="00982BEB" w:rsidRPr="00D05D60">
        <w:rPr>
          <w:rFonts w:ascii="Verdana" w:hAnsi="Verdana"/>
          <w:w w:val="105"/>
          <w:sz w:val="22"/>
          <w:szCs w:val="22"/>
          <w:lang w:val="pl-PL"/>
        </w:rPr>
        <w:t xml:space="preserve"> U. </w:t>
      </w:r>
      <w:r w:rsidRPr="00D05D60">
        <w:rPr>
          <w:rFonts w:ascii="Verdana" w:hAnsi="Verdana"/>
          <w:w w:val="105"/>
          <w:sz w:val="22"/>
          <w:szCs w:val="22"/>
          <w:lang w:val="pl-PL"/>
        </w:rPr>
        <w:t>z 2016 r. poz. 1202 i 2260), Zgromadzenie Wspólników uchwala, co</w:t>
      </w:r>
      <w:r w:rsidRPr="00D05D60">
        <w:rPr>
          <w:rFonts w:ascii="Verdana" w:hAnsi="Verdana"/>
          <w:spacing w:val="29"/>
          <w:w w:val="105"/>
          <w:sz w:val="22"/>
          <w:szCs w:val="22"/>
          <w:lang w:val="pl-PL"/>
        </w:rPr>
        <w:t xml:space="preserve"> </w:t>
      </w:r>
      <w:r w:rsidRPr="00D05D60">
        <w:rPr>
          <w:rFonts w:ascii="Verdana" w:hAnsi="Verdana"/>
          <w:w w:val="105"/>
          <w:sz w:val="22"/>
          <w:szCs w:val="22"/>
          <w:lang w:val="pl-PL"/>
        </w:rPr>
        <w:t>następuje:</w:t>
      </w:r>
    </w:p>
    <w:p w:rsidR="008727FF" w:rsidRPr="00D05D60" w:rsidRDefault="0043457F" w:rsidP="005E418B">
      <w:pPr>
        <w:spacing w:before="100" w:beforeAutospacing="1" w:line="360" w:lineRule="auto"/>
        <w:ind w:right="2149"/>
        <w:contextualSpacing/>
        <w:rPr>
          <w:rFonts w:ascii="Verdana" w:hAnsi="Verdana"/>
        </w:rPr>
      </w:pPr>
      <w:r w:rsidRPr="00D05D60">
        <w:rPr>
          <w:rFonts w:ascii="Verdana" w:hAnsi="Verdana"/>
          <w:w w:val="110"/>
        </w:rPr>
        <w:t>§ 1</w:t>
      </w:r>
    </w:p>
    <w:p w:rsidR="008727FF" w:rsidRPr="00D05D60" w:rsidRDefault="0043457F" w:rsidP="005E418B">
      <w:pPr>
        <w:pStyle w:val="Akapitzlist"/>
        <w:numPr>
          <w:ilvl w:val="0"/>
          <w:numId w:val="6"/>
        </w:numPr>
        <w:tabs>
          <w:tab w:val="left" w:pos="419"/>
        </w:tabs>
        <w:spacing w:before="151" w:line="360" w:lineRule="auto"/>
        <w:ind w:right="128" w:hanging="289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Z Członkami Zarządu Spółki zawierana jest umowa o świadczenie usług zarządzania na czas pełnienia funkcji (,,Umowa"), z obowiązkiem osobistego świadczenia, bez względu na to, czy działa on w zakresie prowadzonej działalności</w:t>
      </w:r>
      <w:r w:rsidRPr="00D05D60">
        <w:rPr>
          <w:rFonts w:ascii="Verdana" w:hAnsi="Verdana"/>
          <w:spacing w:val="25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gospodarczej.</w:t>
      </w:r>
    </w:p>
    <w:p w:rsidR="008727FF" w:rsidRPr="00D05D60" w:rsidRDefault="0043457F" w:rsidP="005E418B">
      <w:pPr>
        <w:pStyle w:val="Akapitzlist"/>
        <w:numPr>
          <w:ilvl w:val="0"/>
          <w:numId w:val="6"/>
        </w:numPr>
        <w:tabs>
          <w:tab w:val="left" w:pos="404"/>
        </w:tabs>
        <w:spacing w:before="123" w:line="360" w:lineRule="auto"/>
        <w:ind w:left="408" w:right="122" w:hanging="287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Treść Umowy określa Rada Nadzorcza na warunkach wskazanych w Ustawie z dnia 9 czerwca 2016 r. o zasadach kształtowania wynagrodzeń osób kierujących niektórymi spółkami (</w:t>
      </w:r>
      <w:proofErr w:type="spellStart"/>
      <w:r w:rsidRPr="00D05D60">
        <w:rPr>
          <w:rFonts w:ascii="Verdana" w:hAnsi="Verdana"/>
          <w:w w:val="105"/>
          <w:lang w:val="pl-PL"/>
        </w:rPr>
        <w:t>Dz.U</w:t>
      </w:r>
      <w:proofErr w:type="spellEnd"/>
      <w:r w:rsidRPr="00D05D60">
        <w:rPr>
          <w:rFonts w:ascii="Verdana" w:hAnsi="Verdana"/>
          <w:w w:val="105"/>
          <w:lang w:val="pl-PL"/>
        </w:rPr>
        <w:t xml:space="preserve">. z 2016 </w:t>
      </w:r>
      <w:r w:rsidR="008B0A75" w:rsidRPr="00D05D60">
        <w:rPr>
          <w:rFonts w:ascii="Verdana" w:hAnsi="Verdana"/>
          <w:w w:val="105"/>
          <w:lang w:val="pl-PL"/>
        </w:rPr>
        <w:t xml:space="preserve">r. </w:t>
      </w:r>
      <w:r w:rsidRPr="00D05D60">
        <w:rPr>
          <w:rFonts w:ascii="Verdana" w:hAnsi="Verdana"/>
          <w:w w:val="105"/>
          <w:lang w:val="pl-PL"/>
        </w:rPr>
        <w:t>poz. 1202 2260) (,,Ustawa") oraz zgodnie z postanowieniami niniejszej</w:t>
      </w:r>
      <w:r w:rsidRPr="00D05D60">
        <w:rPr>
          <w:rFonts w:ascii="Verdana" w:hAnsi="Verdana"/>
          <w:spacing w:val="48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uchwały.</w:t>
      </w:r>
    </w:p>
    <w:p w:rsidR="008727FF" w:rsidRPr="00D05D60" w:rsidRDefault="0043457F" w:rsidP="005E418B">
      <w:pPr>
        <w:spacing w:before="136" w:line="360" w:lineRule="auto"/>
        <w:ind w:right="2157"/>
        <w:contextualSpacing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§2</w:t>
      </w:r>
    </w:p>
    <w:p w:rsidR="008727FF" w:rsidRPr="00D05D60" w:rsidRDefault="0043457F" w:rsidP="005E418B">
      <w:pPr>
        <w:pStyle w:val="Tekstpodstawowy"/>
        <w:spacing w:before="158" w:line="360" w:lineRule="auto"/>
        <w:contextualSpacing/>
        <w:rPr>
          <w:rFonts w:ascii="Verdana" w:hAnsi="Verdana"/>
          <w:sz w:val="22"/>
          <w:szCs w:val="22"/>
          <w:lang w:val="pl-PL"/>
        </w:rPr>
      </w:pPr>
      <w:r w:rsidRPr="00D05D60">
        <w:rPr>
          <w:rFonts w:ascii="Verdana" w:hAnsi="Verdana"/>
          <w:w w:val="105"/>
          <w:sz w:val="22"/>
          <w:szCs w:val="22"/>
          <w:lang w:val="pl-PL"/>
        </w:rPr>
        <w:t>Wynagrodzenie całkowite Członków Zarządu składa się z:</w:t>
      </w:r>
    </w:p>
    <w:p w:rsidR="008727FF" w:rsidRPr="00D05D60" w:rsidRDefault="0043457F" w:rsidP="005E418B">
      <w:pPr>
        <w:pStyle w:val="Akapitzlist"/>
        <w:numPr>
          <w:ilvl w:val="0"/>
          <w:numId w:val="5"/>
        </w:numPr>
        <w:tabs>
          <w:tab w:val="left" w:pos="407"/>
        </w:tabs>
        <w:spacing w:before="168" w:line="360" w:lineRule="auto"/>
        <w:ind w:right="134" w:hanging="285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części stałej, stanowiącej wynagrodzenie miesięczne podstawowe, określone kwotowo, zwane dalej „Wynagrodzeniem</w:t>
      </w:r>
      <w:r w:rsidRPr="00D05D60">
        <w:rPr>
          <w:rFonts w:ascii="Verdana" w:hAnsi="Verdana"/>
          <w:spacing w:val="3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podstawowym",</w:t>
      </w:r>
    </w:p>
    <w:p w:rsidR="008727FF" w:rsidRPr="00D05D60" w:rsidRDefault="0043457F" w:rsidP="005E418B">
      <w:pPr>
        <w:pStyle w:val="Akapitzlist"/>
        <w:numPr>
          <w:ilvl w:val="0"/>
          <w:numId w:val="5"/>
        </w:numPr>
        <w:tabs>
          <w:tab w:val="left" w:pos="407"/>
        </w:tabs>
        <w:spacing w:before="122" w:line="360" w:lineRule="auto"/>
        <w:ind w:right="171" w:hanging="276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części zmiennej, stanowiącej wynagrodzenie uzupełniające za rok obrotowy Spółki - zwane dalej „Wynagrodzeniem</w:t>
      </w:r>
      <w:r w:rsidRPr="00D05D60">
        <w:rPr>
          <w:rFonts w:ascii="Verdana" w:hAnsi="Verdana"/>
          <w:spacing w:val="30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uzupełniającym".</w:t>
      </w:r>
    </w:p>
    <w:p w:rsidR="008727FF" w:rsidRPr="00D05D60" w:rsidRDefault="0043457F" w:rsidP="005E418B">
      <w:pPr>
        <w:pStyle w:val="Heading1"/>
        <w:spacing w:line="360" w:lineRule="auto"/>
        <w:ind w:left="0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10"/>
          <w:lang w:val="pl-PL"/>
        </w:rPr>
        <w:t>§3</w:t>
      </w:r>
    </w:p>
    <w:p w:rsidR="008727FF" w:rsidRPr="00D05D60" w:rsidRDefault="0043457F" w:rsidP="005E418B">
      <w:pPr>
        <w:pStyle w:val="Tekstpodstawowy"/>
        <w:spacing w:before="158" w:line="360" w:lineRule="auto"/>
        <w:ind w:left="131"/>
        <w:contextualSpacing/>
        <w:rPr>
          <w:rFonts w:ascii="Verdana" w:hAnsi="Verdana"/>
          <w:sz w:val="22"/>
          <w:szCs w:val="22"/>
          <w:lang w:val="pl-PL"/>
        </w:rPr>
      </w:pPr>
      <w:r w:rsidRPr="00D05D60">
        <w:rPr>
          <w:rFonts w:ascii="Verdana" w:hAnsi="Verdana"/>
          <w:w w:val="105"/>
          <w:sz w:val="22"/>
          <w:szCs w:val="22"/>
          <w:lang w:val="pl-PL"/>
        </w:rPr>
        <w:t>Wynagrodzenie podstawowe dla Członków Zarządu wynosi nie więcej niż:</w:t>
      </w:r>
    </w:p>
    <w:p w:rsidR="008727FF" w:rsidRPr="00D05D60" w:rsidRDefault="0043457F" w:rsidP="005E418B">
      <w:pPr>
        <w:pStyle w:val="Akapitzlist"/>
        <w:numPr>
          <w:ilvl w:val="0"/>
          <w:numId w:val="4"/>
        </w:numPr>
        <w:tabs>
          <w:tab w:val="left" w:pos="486"/>
          <w:tab w:val="left" w:pos="2576"/>
        </w:tabs>
        <w:spacing w:before="161" w:line="360" w:lineRule="auto"/>
        <w:ind w:right="133" w:hanging="364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Prezes Zarządu -</w:t>
      </w:r>
      <w:r w:rsidRPr="00D05D60">
        <w:rPr>
          <w:rFonts w:ascii="Verdana" w:hAnsi="Verdana"/>
          <w:w w:val="105"/>
          <w:lang w:val="pl-PL"/>
        </w:rPr>
        <w:tab/>
        <w:t>22</w:t>
      </w:r>
      <w:r w:rsidR="00982BEB" w:rsidRPr="00D05D60">
        <w:rPr>
          <w:rFonts w:ascii="Verdana" w:hAnsi="Verdana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018,90 zł (słownie: dwadzieścia dwa</w:t>
      </w:r>
      <w:r w:rsidRPr="00D05D60">
        <w:rPr>
          <w:rFonts w:ascii="Verdana" w:hAnsi="Verdana"/>
          <w:spacing w:val="28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tysiące</w:t>
      </w:r>
      <w:r w:rsidRPr="00D05D60">
        <w:rPr>
          <w:rFonts w:ascii="Verdana" w:hAnsi="Verdana"/>
          <w:spacing w:val="49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lastRenderedPageBreak/>
        <w:t>osiemnaście</w:t>
      </w:r>
      <w:r w:rsidRPr="00D05D60">
        <w:rPr>
          <w:rFonts w:ascii="Verdana" w:hAnsi="Verdana"/>
          <w:w w:val="103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złotych 90/100)</w:t>
      </w:r>
      <w:r w:rsidRPr="00D05D60">
        <w:rPr>
          <w:rFonts w:ascii="Verdana" w:hAnsi="Verdana"/>
          <w:spacing w:val="49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miesięcznie;</w:t>
      </w:r>
    </w:p>
    <w:p w:rsidR="008727FF" w:rsidRPr="00D05D60" w:rsidRDefault="0043457F" w:rsidP="005E418B">
      <w:pPr>
        <w:pStyle w:val="Akapitzlist"/>
        <w:numPr>
          <w:ilvl w:val="0"/>
          <w:numId w:val="4"/>
        </w:numPr>
        <w:tabs>
          <w:tab w:val="left" w:pos="492"/>
        </w:tabs>
        <w:spacing w:line="360" w:lineRule="auto"/>
        <w:ind w:right="133" w:hanging="355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 xml:space="preserve">Wiceprezes Zarządu </w:t>
      </w:r>
      <w:r w:rsidR="00982BEB" w:rsidRPr="00D05D60">
        <w:rPr>
          <w:rFonts w:ascii="Verdana" w:hAnsi="Verdana"/>
          <w:w w:val="105"/>
          <w:lang w:val="pl-PL"/>
        </w:rPr>
        <w:t>–</w:t>
      </w:r>
      <w:r w:rsidRPr="00D05D60">
        <w:rPr>
          <w:rFonts w:ascii="Verdana" w:hAnsi="Verdana"/>
          <w:w w:val="105"/>
          <w:lang w:val="pl-PL"/>
        </w:rPr>
        <w:t xml:space="preserve"> 22</w:t>
      </w:r>
      <w:r w:rsidR="00982BEB" w:rsidRPr="00D05D60">
        <w:rPr>
          <w:rFonts w:ascii="Verdana" w:hAnsi="Verdana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018,90 zł (słownie: dwadzieścia dwa tysiące osiemnaście złotych 90/100)</w:t>
      </w:r>
      <w:r w:rsidRPr="00D05D60">
        <w:rPr>
          <w:rFonts w:ascii="Verdana" w:hAnsi="Verdana"/>
          <w:spacing w:val="37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miesięcznie.</w:t>
      </w:r>
    </w:p>
    <w:p w:rsidR="008727FF" w:rsidRPr="00D05D60" w:rsidRDefault="0043457F" w:rsidP="005E418B">
      <w:pPr>
        <w:pStyle w:val="Tekstpodstawowy"/>
        <w:spacing w:before="124" w:line="360" w:lineRule="auto"/>
        <w:ind w:right="2157"/>
        <w:contextualSpacing/>
        <w:rPr>
          <w:rFonts w:ascii="Verdana" w:hAnsi="Verdana"/>
          <w:sz w:val="22"/>
          <w:szCs w:val="22"/>
        </w:rPr>
      </w:pPr>
      <w:r w:rsidRPr="00D05D60">
        <w:rPr>
          <w:rFonts w:ascii="Verdana" w:hAnsi="Verdana"/>
          <w:w w:val="105"/>
          <w:sz w:val="22"/>
          <w:szCs w:val="22"/>
        </w:rPr>
        <w:t>§4</w:t>
      </w:r>
    </w:p>
    <w:p w:rsidR="008727FF" w:rsidRPr="00D05D60" w:rsidRDefault="0043457F" w:rsidP="005E418B">
      <w:pPr>
        <w:pStyle w:val="Akapitzlist"/>
        <w:numPr>
          <w:ilvl w:val="0"/>
          <w:numId w:val="3"/>
        </w:numPr>
        <w:tabs>
          <w:tab w:val="left" w:pos="557"/>
        </w:tabs>
        <w:spacing w:before="153" w:line="360" w:lineRule="auto"/>
        <w:ind w:right="126" w:hanging="363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Wynagrodzenie uzupełniające uzależnione jest od poziomu realizacji celów zarządczych i nie może przekroczyć 35 % Wynagrodzenia podstawowego przysługującego w poprzednim roku obrotowym z zastrzeżeniem ust.</w:t>
      </w:r>
      <w:r w:rsidRPr="00D05D60">
        <w:rPr>
          <w:rFonts w:ascii="Verdana" w:hAnsi="Verdana"/>
          <w:spacing w:val="60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2.</w:t>
      </w:r>
    </w:p>
    <w:p w:rsidR="008727FF" w:rsidRPr="00D05D60" w:rsidRDefault="0043457F" w:rsidP="005E418B">
      <w:pPr>
        <w:pStyle w:val="Akapitzlist"/>
        <w:numPr>
          <w:ilvl w:val="0"/>
          <w:numId w:val="3"/>
        </w:numPr>
        <w:tabs>
          <w:tab w:val="left" w:pos="557"/>
        </w:tabs>
        <w:spacing w:before="110" w:line="360" w:lineRule="auto"/>
        <w:ind w:right="126" w:hanging="352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Wynagrodzenie uzupełniające za rok 2017 nie może przekroczyć 35 % sumy miesięcznych wynagrodzeń podstawowych Członków Zarządu w roku obrotowym 2017.</w:t>
      </w:r>
    </w:p>
    <w:p w:rsidR="008727FF" w:rsidRPr="00D05D60" w:rsidRDefault="0043457F" w:rsidP="005E418B">
      <w:pPr>
        <w:pStyle w:val="Akapitzlist"/>
        <w:numPr>
          <w:ilvl w:val="0"/>
          <w:numId w:val="3"/>
        </w:numPr>
        <w:tabs>
          <w:tab w:val="left" w:pos="557"/>
        </w:tabs>
        <w:spacing w:line="360" w:lineRule="auto"/>
        <w:ind w:left="556" w:hanging="359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Wynagrodzenie uzupełniające może być wypłacone po:</w:t>
      </w:r>
    </w:p>
    <w:p w:rsidR="008727FF" w:rsidRPr="00D05D60" w:rsidRDefault="0043457F" w:rsidP="005E418B">
      <w:pPr>
        <w:pStyle w:val="Akapitzlist"/>
        <w:numPr>
          <w:ilvl w:val="1"/>
          <w:numId w:val="3"/>
        </w:numPr>
        <w:tabs>
          <w:tab w:val="left" w:pos="836"/>
        </w:tabs>
        <w:spacing w:before="139" w:line="360" w:lineRule="auto"/>
        <w:ind w:right="150" w:hanging="359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zatwierdzeniu sprawozdania Zarządu z działalności Spółki oraz sprawozdania finansowego Spółki za ubiegły rok</w:t>
      </w:r>
      <w:r w:rsidRPr="00D05D60">
        <w:rPr>
          <w:rFonts w:ascii="Verdana" w:hAnsi="Verdana"/>
          <w:spacing w:val="14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obrotowy,</w:t>
      </w:r>
    </w:p>
    <w:p w:rsidR="008727FF" w:rsidRPr="00D05D60" w:rsidRDefault="0043457F" w:rsidP="005E418B">
      <w:pPr>
        <w:pStyle w:val="Akapitzlist"/>
        <w:numPr>
          <w:ilvl w:val="1"/>
          <w:numId w:val="3"/>
        </w:numPr>
        <w:tabs>
          <w:tab w:val="left" w:pos="834"/>
        </w:tabs>
        <w:spacing w:before="128" w:line="360" w:lineRule="auto"/>
        <w:ind w:left="847" w:right="139" w:hanging="352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udzieleniu Czł</w:t>
      </w:r>
      <w:r w:rsidR="005E418B" w:rsidRPr="00D05D60">
        <w:rPr>
          <w:rFonts w:ascii="Verdana" w:hAnsi="Verdana"/>
          <w:w w:val="105"/>
          <w:lang w:val="pl-PL"/>
        </w:rPr>
        <w:t>o</w:t>
      </w:r>
      <w:r w:rsidRPr="00D05D60">
        <w:rPr>
          <w:rFonts w:ascii="Verdana" w:hAnsi="Verdana"/>
          <w:w w:val="105"/>
          <w:lang w:val="pl-PL"/>
        </w:rPr>
        <w:t>nkom Zarządu absolutorium z wykonania przez niego obowiązków przez Zwyczajne Zgromadzenie Wspólników,</w:t>
      </w:r>
      <w:r w:rsidR="00982BEB" w:rsidRPr="00D05D60">
        <w:rPr>
          <w:rFonts w:ascii="Verdana" w:hAnsi="Verdana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- pod warunkiem stwierdzenia przez Radę Nadzorczą realizacji  przez Członków Zarządu celów zarządczych i określeniu należnej kwoty wypłaty.</w:t>
      </w:r>
    </w:p>
    <w:p w:rsidR="008727FF" w:rsidRPr="00D05D60" w:rsidRDefault="0043457F" w:rsidP="005E418B">
      <w:pPr>
        <w:pStyle w:val="Akapitzlist"/>
        <w:numPr>
          <w:ilvl w:val="0"/>
          <w:numId w:val="3"/>
        </w:numPr>
        <w:tabs>
          <w:tab w:val="left" w:pos="588"/>
        </w:tabs>
        <w:spacing w:line="360" w:lineRule="auto"/>
        <w:ind w:left="583" w:right="214" w:hanging="356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W przypadku sprawowania mandatu przez Członka Zarządu tylko przez część danego roku obrotowego, wysokość Wynagrodzenia uzup</w:t>
      </w:r>
      <w:r w:rsidR="00656D5D" w:rsidRPr="00D05D60">
        <w:rPr>
          <w:rFonts w:ascii="Verdana" w:hAnsi="Verdana"/>
          <w:w w:val="105"/>
          <w:lang w:val="pl-PL"/>
        </w:rPr>
        <w:t xml:space="preserve">ełniającego przysługującego za </w:t>
      </w:r>
      <w:r w:rsidRPr="00D05D60">
        <w:rPr>
          <w:rFonts w:ascii="Verdana" w:hAnsi="Verdana"/>
          <w:w w:val="105"/>
          <w:lang w:val="pl-PL"/>
        </w:rPr>
        <w:t>ten rok jest ustalana propo</w:t>
      </w:r>
      <w:r w:rsidR="00656D5D" w:rsidRPr="00D05D60">
        <w:rPr>
          <w:rFonts w:ascii="Verdana" w:hAnsi="Verdana"/>
          <w:w w:val="105"/>
          <w:lang w:val="pl-PL"/>
        </w:rPr>
        <w:t xml:space="preserve">rcjonalnie do okresu pełnienia </w:t>
      </w:r>
      <w:r w:rsidRPr="00D05D60">
        <w:rPr>
          <w:rFonts w:ascii="Verdana" w:hAnsi="Verdana"/>
          <w:w w:val="105"/>
          <w:lang w:val="pl-PL"/>
        </w:rPr>
        <w:t>funkcji przez Członka Zarządu w tym roku.</w:t>
      </w:r>
    </w:p>
    <w:p w:rsidR="008727FF" w:rsidRPr="00D05D60" w:rsidRDefault="0043457F" w:rsidP="005E418B">
      <w:pPr>
        <w:pStyle w:val="Akapitzlist"/>
        <w:numPr>
          <w:ilvl w:val="0"/>
          <w:numId w:val="3"/>
        </w:numPr>
        <w:tabs>
          <w:tab w:val="left" w:pos="588"/>
        </w:tabs>
        <w:spacing w:before="99" w:line="360" w:lineRule="auto"/>
        <w:ind w:left="583" w:right="215" w:hanging="347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Wygaśnięcie mandatu Członka Zarządu w trakcie albo po upływie roku obrotowego ocenianego pod względem wykonania celów zarządczych nie powoduje utraty prawa do Wynagrodzenia</w:t>
      </w:r>
      <w:r w:rsidRPr="00D05D60">
        <w:rPr>
          <w:rFonts w:ascii="Verdana" w:hAnsi="Verdana"/>
          <w:spacing w:val="42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uzupełniającego.</w:t>
      </w:r>
    </w:p>
    <w:p w:rsidR="008727FF" w:rsidRPr="00D05D60" w:rsidRDefault="0043457F" w:rsidP="005E418B">
      <w:pPr>
        <w:spacing w:before="121" w:line="360" w:lineRule="auto"/>
        <w:ind w:right="4530"/>
        <w:contextualSpacing/>
        <w:rPr>
          <w:rFonts w:ascii="Verdana" w:hAnsi="Verdana"/>
        </w:rPr>
      </w:pPr>
      <w:r w:rsidRPr="00D05D60">
        <w:rPr>
          <w:rFonts w:ascii="Verdana" w:hAnsi="Verdana"/>
          <w:w w:val="105"/>
        </w:rPr>
        <w:t>§ 5</w:t>
      </w:r>
    </w:p>
    <w:p w:rsidR="008727FF" w:rsidRPr="00D05D60" w:rsidRDefault="0043457F" w:rsidP="005E418B">
      <w:pPr>
        <w:pStyle w:val="Akapitzlist"/>
        <w:numPr>
          <w:ilvl w:val="0"/>
          <w:numId w:val="2"/>
        </w:numPr>
        <w:tabs>
          <w:tab w:val="left" w:pos="445"/>
        </w:tabs>
        <w:spacing w:before="171" w:line="360" w:lineRule="auto"/>
        <w:ind w:hanging="288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Ustala się następujące cele</w:t>
      </w:r>
      <w:r w:rsidRPr="00D05D60">
        <w:rPr>
          <w:rFonts w:ascii="Verdana" w:hAnsi="Verdana"/>
          <w:spacing w:val="11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zarządcze:</w:t>
      </w:r>
    </w:p>
    <w:p w:rsidR="008727FF" w:rsidRPr="00D05D60" w:rsidRDefault="0043457F" w:rsidP="005E418B">
      <w:pPr>
        <w:spacing w:before="123" w:line="360" w:lineRule="auto"/>
        <w:ind w:left="107" w:right="115" w:firstLine="7"/>
        <w:contextualSpacing/>
        <w:rPr>
          <w:rFonts w:ascii="Verdana" w:hAnsi="Verdana"/>
          <w:i/>
          <w:lang w:val="pl-PL"/>
        </w:rPr>
      </w:pPr>
      <w:r w:rsidRPr="00D05D60">
        <w:rPr>
          <w:rFonts w:ascii="Verdana" w:hAnsi="Verdana"/>
          <w:i/>
          <w:w w:val="110"/>
          <w:lang w:val="pl-PL"/>
        </w:rPr>
        <w:t xml:space="preserve">Do publikacji w BIP, </w:t>
      </w:r>
      <w:r w:rsidR="00656D5D" w:rsidRPr="00D05D60">
        <w:rPr>
          <w:rFonts w:ascii="Verdana" w:hAnsi="Verdana"/>
          <w:i/>
          <w:w w:val="110"/>
          <w:lang w:val="pl-PL"/>
        </w:rPr>
        <w:t xml:space="preserve">wyłączenia </w:t>
      </w:r>
      <w:r w:rsidRPr="00D05D60">
        <w:rPr>
          <w:rFonts w:ascii="Verdana" w:hAnsi="Verdana"/>
          <w:i/>
          <w:w w:val="110"/>
          <w:lang w:val="pl-PL"/>
        </w:rPr>
        <w:t xml:space="preserve">jawności informacji </w:t>
      </w:r>
      <w:r w:rsidRPr="00D05D60">
        <w:rPr>
          <w:rFonts w:ascii="Verdana" w:hAnsi="Verdana"/>
          <w:w w:val="110"/>
          <w:lang w:val="pl-PL"/>
        </w:rPr>
        <w:t xml:space="preserve">o </w:t>
      </w:r>
      <w:r w:rsidRPr="00D05D60">
        <w:rPr>
          <w:rFonts w:ascii="Verdana" w:hAnsi="Verdana"/>
          <w:i/>
          <w:w w:val="110"/>
          <w:lang w:val="pl-PL"/>
        </w:rPr>
        <w:t xml:space="preserve">celach zarządczych, wagach tych celów, a także kryteriach ich realizacji </w:t>
      </w:r>
      <w:r w:rsidRPr="00D05D60">
        <w:rPr>
          <w:rFonts w:ascii="Verdana" w:hAnsi="Verdana"/>
          <w:w w:val="110"/>
          <w:lang w:val="pl-PL"/>
        </w:rPr>
        <w:t xml:space="preserve">i </w:t>
      </w:r>
      <w:r w:rsidRPr="00D05D60">
        <w:rPr>
          <w:rFonts w:ascii="Verdana" w:hAnsi="Verdana"/>
          <w:i/>
          <w:w w:val="110"/>
          <w:lang w:val="pl-PL"/>
        </w:rPr>
        <w:t>rozliczania dokonano na podstawie art. 11 ust. 1 ustawy z dnia</w:t>
      </w:r>
      <w:r w:rsidR="00656D5D" w:rsidRPr="00D05D60">
        <w:rPr>
          <w:rFonts w:ascii="Verdana" w:hAnsi="Verdana"/>
          <w:i/>
          <w:w w:val="110"/>
          <w:lang w:val="pl-PL"/>
        </w:rPr>
        <w:t xml:space="preserve"> </w:t>
      </w:r>
      <w:r w:rsidRPr="00D05D60">
        <w:rPr>
          <w:rFonts w:ascii="Verdana" w:hAnsi="Verdana"/>
          <w:w w:val="115"/>
          <w:lang w:val="pl-PL"/>
        </w:rPr>
        <w:t xml:space="preserve">9 </w:t>
      </w:r>
      <w:r w:rsidRPr="00D05D60">
        <w:rPr>
          <w:rFonts w:ascii="Verdana" w:hAnsi="Verdana"/>
          <w:i/>
          <w:w w:val="115"/>
          <w:lang w:val="pl-PL"/>
        </w:rPr>
        <w:t xml:space="preserve">czerwca 2016r. </w:t>
      </w:r>
      <w:r w:rsidRPr="00D05D60">
        <w:rPr>
          <w:rFonts w:ascii="Verdana" w:hAnsi="Verdana"/>
          <w:w w:val="115"/>
          <w:lang w:val="pl-PL"/>
        </w:rPr>
        <w:t xml:space="preserve">o </w:t>
      </w:r>
      <w:r w:rsidRPr="00D05D60">
        <w:rPr>
          <w:rFonts w:ascii="Verdana" w:hAnsi="Verdana"/>
          <w:i/>
          <w:w w:val="115"/>
          <w:lang w:val="pl-PL"/>
        </w:rPr>
        <w:t>zasadach kształtowania wynagrodzeń osób kierujących niektórymi spółkami</w:t>
      </w:r>
      <w:r w:rsidRPr="00D05D60">
        <w:rPr>
          <w:rFonts w:ascii="Verdana" w:hAnsi="Verdana"/>
          <w:i/>
          <w:spacing w:val="57"/>
          <w:w w:val="115"/>
          <w:lang w:val="pl-PL"/>
        </w:rPr>
        <w:t xml:space="preserve"> </w:t>
      </w:r>
      <w:r w:rsidRPr="00D05D60">
        <w:rPr>
          <w:rFonts w:ascii="Verdana" w:hAnsi="Verdana"/>
          <w:i/>
          <w:w w:val="115"/>
          <w:lang w:val="pl-PL"/>
        </w:rPr>
        <w:t>(</w:t>
      </w:r>
      <w:proofErr w:type="spellStart"/>
      <w:r w:rsidRPr="00D05D60">
        <w:rPr>
          <w:rFonts w:ascii="Verdana" w:hAnsi="Verdana"/>
          <w:i/>
          <w:w w:val="115"/>
          <w:lang w:val="pl-PL"/>
        </w:rPr>
        <w:t>Dz</w:t>
      </w:r>
      <w:proofErr w:type="spellEnd"/>
      <w:r w:rsidRPr="00D05D60">
        <w:rPr>
          <w:rFonts w:ascii="Verdana" w:hAnsi="Verdana"/>
          <w:i/>
          <w:w w:val="115"/>
          <w:lang w:val="pl-PL"/>
        </w:rPr>
        <w:t xml:space="preserve"> .U. z 2016 r. poz. 1202 z </w:t>
      </w:r>
      <w:proofErr w:type="spellStart"/>
      <w:r w:rsidRPr="00D05D60">
        <w:rPr>
          <w:rFonts w:ascii="Verdana" w:hAnsi="Verdana"/>
          <w:i/>
          <w:w w:val="115"/>
          <w:lang w:val="pl-PL"/>
        </w:rPr>
        <w:t>późn</w:t>
      </w:r>
      <w:proofErr w:type="spellEnd"/>
      <w:r w:rsidRPr="00D05D60">
        <w:rPr>
          <w:rFonts w:ascii="Verdana" w:hAnsi="Verdana"/>
          <w:i/>
          <w:w w:val="115"/>
          <w:lang w:val="pl-PL"/>
        </w:rPr>
        <w:t>.</w:t>
      </w:r>
      <w:r w:rsidRPr="00D05D60">
        <w:rPr>
          <w:rFonts w:ascii="Verdana" w:hAnsi="Verdana"/>
          <w:i/>
          <w:spacing w:val="7"/>
          <w:w w:val="115"/>
          <w:lang w:val="pl-PL"/>
        </w:rPr>
        <w:t xml:space="preserve"> </w:t>
      </w:r>
      <w:r w:rsidRPr="00D05D60">
        <w:rPr>
          <w:rFonts w:ascii="Verdana" w:hAnsi="Verdana"/>
          <w:i/>
          <w:w w:val="115"/>
          <w:lang w:val="pl-PL"/>
        </w:rPr>
        <w:t>zm.).</w:t>
      </w:r>
    </w:p>
    <w:p w:rsidR="008727FF" w:rsidRPr="00D05D60" w:rsidRDefault="0043457F" w:rsidP="005E418B">
      <w:pPr>
        <w:tabs>
          <w:tab w:val="left" w:pos="2296"/>
          <w:tab w:val="left" w:pos="6500"/>
        </w:tabs>
        <w:spacing w:before="3" w:line="360" w:lineRule="auto"/>
        <w:ind w:left="121" w:right="115" w:hanging="8"/>
        <w:contextualSpacing/>
        <w:rPr>
          <w:rFonts w:ascii="Verdana" w:hAnsi="Verdana"/>
          <w:i/>
          <w:lang w:val="pl-PL"/>
        </w:rPr>
      </w:pPr>
      <w:r w:rsidRPr="00D05D60">
        <w:rPr>
          <w:rFonts w:ascii="Verdana" w:hAnsi="Verdana"/>
          <w:i/>
          <w:w w:val="110"/>
          <w:lang w:val="pl-PL"/>
        </w:rPr>
        <w:t>Wyłączenia dokona</w:t>
      </w:r>
      <w:r w:rsidR="00656D5D" w:rsidRPr="00D05D60">
        <w:rPr>
          <w:rFonts w:ascii="Verdana" w:hAnsi="Verdana"/>
          <w:i/>
          <w:w w:val="110"/>
          <w:lang w:val="pl-PL"/>
        </w:rPr>
        <w:t>ł</w:t>
      </w:r>
      <w:r w:rsidRPr="00D05D60">
        <w:rPr>
          <w:rFonts w:ascii="Verdana" w:hAnsi="Verdana"/>
          <w:i/>
          <w:w w:val="110"/>
          <w:lang w:val="pl-PL"/>
        </w:rPr>
        <w:t>a</w:t>
      </w:r>
      <w:r w:rsidR="00982BEB" w:rsidRPr="00D05D60">
        <w:rPr>
          <w:rFonts w:ascii="Verdana" w:hAnsi="Verdana"/>
          <w:i/>
          <w:w w:val="110"/>
          <w:lang w:val="pl-PL"/>
        </w:rPr>
        <w:t xml:space="preserve"> </w:t>
      </w:r>
      <w:r w:rsidRPr="00D05D60">
        <w:rPr>
          <w:rFonts w:ascii="Verdana" w:hAnsi="Verdana"/>
          <w:i/>
          <w:w w:val="110"/>
          <w:lang w:val="pl-PL"/>
        </w:rPr>
        <w:t xml:space="preserve">Pani Beata </w:t>
      </w:r>
      <w:proofErr w:type="spellStart"/>
      <w:r w:rsidRPr="00D05D60">
        <w:rPr>
          <w:rFonts w:ascii="Verdana" w:hAnsi="Verdana"/>
          <w:i/>
          <w:w w:val="110"/>
          <w:lang w:val="pl-PL"/>
        </w:rPr>
        <w:t>Kryś-Malcewicz</w:t>
      </w:r>
      <w:proofErr w:type="spellEnd"/>
      <w:r w:rsidRPr="00D05D60">
        <w:rPr>
          <w:rFonts w:ascii="Verdana" w:hAnsi="Verdana"/>
          <w:i/>
          <w:w w:val="110"/>
          <w:lang w:val="pl-PL"/>
        </w:rPr>
        <w:t>, Koordynator</w:t>
      </w:r>
      <w:r w:rsidR="00982BEB" w:rsidRPr="00D05D60">
        <w:rPr>
          <w:rFonts w:ascii="Verdana" w:hAnsi="Verdana"/>
          <w:i/>
          <w:w w:val="110"/>
          <w:lang w:val="pl-PL"/>
        </w:rPr>
        <w:t xml:space="preserve"> </w:t>
      </w:r>
      <w:r w:rsidRPr="00D05D60">
        <w:rPr>
          <w:rFonts w:ascii="Verdana" w:hAnsi="Verdana"/>
          <w:i/>
          <w:w w:val="110"/>
          <w:lang w:val="pl-PL"/>
        </w:rPr>
        <w:t xml:space="preserve">Projektu w </w:t>
      </w:r>
      <w:r w:rsidRPr="00D05D60">
        <w:rPr>
          <w:rFonts w:ascii="Verdana" w:hAnsi="Verdana"/>
          <w:i/>
          <w:w w:val="110"/>
          <w:lang w:val="pl-PL"/>
        </w:rPr>
        <w:lastRenderedPageBreak/>
        <w:t>Biurze</w:t>
      </w:r>
      <w:r w:rsidRPr="00D05D60">
        <w:rPr>
          <w:rFonts w:ascii="Verdana" w:hAnsi="Verdana"/>
          <w:i/>
          <w:spacing w:val="27"/>
          <w:w w:val="110"/>
          <w:lang w:val="pl-PL"/>
        </w:rPr>
        <w:t xml:space="preserve"> </w:t>
      </w:r>
      <w:r w:rsidRPr="00D05D60">
        <w:rPr>
          <w:rFonts w:ascii="Verdana" w:hAnsi="Verdana"/>
          <w:i/>
          <w:w w:val="110"/>
          <w:lang w:val="pl-PL"/>
        </w:rPr>
        <w:t>Nadzoru</w:t>
      </w:r>
      <w:r w:rsidRPr="00D05D60">
        <w:rPr>
          <w:rFonts w:ascii="Verdana" w:hAnsi="Verdana"/>
          <w:i/>
          <w:w w:val="107"/>
          <w:lang w:val="pl-PL"/>
        </w:rPr>
        <w:t xml:space="preserve"> </w:t>
      </w:r>
      <w:r w:rsidRPr="00D05D60">
        <w:rPr>
          <w:rFonts w:ascii="Verdana" w:hAnsi="Verdana"/>
          <w:i/>
          <w:w w:val="110"/>
          <w:lang w:val="pl-PL"/>
        </w:rPr>
        <w:t>Właścicielskiego Urzędu Miejskiego</w:t>
      </w:r>
      <w:r w:rsidRPr="00D05D60">
        <w:rPr>
          <w:rFonts w:ascii="Verdana" w:hAnsi="Verdana"/>
          <w:i/>
          <w:spacing w:val="8"/>
          <w:w w:val="110"/>
          <w:lang w:val="pl-PL"/>
        </w:rPr>
        <w:t xml:space="preserve"> </w:t>
      </w:r>
      <w:r w:rsidRPr="00D05D60">
        <w:rPr>
          <w:rFonts w:ascii="Verdana" w:hAnsi="Verdana"/>
          <w:i/>
          <w:w w:val="110"/>
          <w:lang w:val="pl-PL"/>
        </w:rPr>
        <w:t>Wrocławia.</w:t>
      </w:r>
    </w:p>
    <w:p w:rsidR="008727FF" w:rsidRPr="00D05D60" w:rsidRDefault="0043457F" w:rsidP="005E418B">
      <w:pPr>
        <w:pStyle w:val="Akapitzlist"/>
        <w:numPr>
          <w:ilvl w:val="0"/>
          <w:numId w:val="2"/>
        </w:numPr>
        <w:tabs>
          <w:tab w:val="left" w:pos="452"/>
        </w:tabs>
        <w:spacing w:before="0" w:line="360" w:lineRule="auto"/>
        <w:ind w:right="185" w:hanging="269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Upoważnia się Radę Nadzorczą do ustalenia szczegółowych celów zarządczych, wag tych celów oraz obiektywnych i mierzalnych kryteriów (wskaźników) ich realizacji i rozliczenia w terminie do końca pierwszego kwartału roku obrotowego, na który cele są ustalane, z zastrzeżeniem roku 2017, w którym w/w ustalenia nastąpią niezwłocznie po ukształtowaniu w Spółce zasad wynagradzania zgodnie z Ustawą.</w:t>
      </w:r>
    </w:p>
    <w:p w:rsidR="008727FF" w:rsidRPr="00D05D60" w:rsidRDefault="0043457F" w:rsidP="005E418B">
      <w:pPr>
        <w:pStyle w:val="Heading1"/>
        <w:spacing w:before="115" w:line="360" w:lineRule="auto"/>
        <w:ind w:left="0" w:right="4551"/>
        <w:contextualSpacing/>
        <w:jc w:val="left"/>
        <w:rPr>
          <w:rFonts w:ascii="Verdana" w:hAnsi="Verdana"/>
        </w:rPr>
      </w:pPr>
      <w:r w:rsidRPr="00D05D60">
        <w:rPr>
          <w:rFonts w:ascii="Verdana" w:hAnsi="Verdana"/>
          <w:w w:val="105"/>
        </w:rPr>
        <w:t>§6</w:t>
      </w:r>
    </w:p>
    <w:p w:rsidR="008727FF" w:rsidRPr="00D05D60" w:rsidRDefault="0043457F" w:rsidP="005E418B">
      <w:pPr>
        <w:pStyle w:val="Akapitzlist"/>
        <w:numPr>
          <w:ilvl w:val="0"/>
          <w:numId w:val="1"/>
        </w:numPr>
        <w:tabs>
          <w:tab w:val="left" w:pos="452"/>
        </w:tabs>
        <w:spacing w:before="158" w:line="360" w:lineRule="auto"/>
        <w:ind w:hanging="1393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Umowa powinna zawierać w szczególności następujące</w:t>
      </w:r>
      <w:r w:rsidRPr="00D05D60">
        <w:rPr>
          <w:rFonts w:ascii="Verdana" w:hAnsi="Verdana"/>
          <w:spacing w:val="37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zapisy:</w:t>
      </w:r>
    </w:p>
    <w:p w:rsidR="008727FF" w:rsidRPr="00D05D60" w:rsidRDefault="0043457F" w:rsidP="005E418B">
      <w:pPr>
        <w:pStyle w:val="Akapitzlist"/>
        <w:numPr>
          <w:ilvl w:val="1"/>
          <w:numId w:val="1"/>
        </w:numPr>
        <w:tabs>
          <w:tab w:val="left" w:pos="876"/>
        </w:tabs>
        <w:spacing w:before="109" w:line="360" w:lineRule="auto"/>
        <w:ind w:right="196" w:hanging="359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10"/>
          <w:lang w:val="pl-PL"/>
        </w:rPr>
        <w:t xml:space="preserve">Członek Zarządu zobowiązuje się nie pobierać wynagrodzenia z tytułu pełnienia funkcji członka organu w podmiotach zależnych od Spółki w ramach grupy kapitałowej w rozumieniu art. 4 </w:t>
      </w:r>
      <w:proofErr w:type="spellStart"/>
      <w:r w:rsidRPr="00D05D60">
        <w:rPr>
          <w:rFonts w:ascii="Verdana" w:hAnsi="Verdana"/>
          <w:w w:val="110"/>
          <w:lang w:val="pl-PL"/>
        </w:rPr>
        <w:t>pkt</w:t>
      </w:r>
      <w:proofErr w:type="spellEnd"/>
      <w:r w:rsidRPr="00D05D60">
        <w:rPr>
          <w:rFonts w:ascii="Verdana" w:hAnsi="Verdana"/>
          <w:w w:val="110"/>
          <w:lang w:val="pl-PL"/>
        </w:rPr>
        <w:t xml:space="preserve"> 14 ustawy z dnia 16 lutego 2007 r. o ochronie konkurencji i konsumentów (Dz. U. z 2017r., poz.</w:t>
      </w:r>
      <w:r w:rsidRPr="00D05D60">
        <w:rPr>
          <w:rFonts w:ascii="Verdana" w:hAnsi="Verdana"/>
          <w:spacing w:val="-14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229).</w:t>
      </w:r>
    </w:p>
    <w:p w:rsidR="008727FF" w:rsidRPr="00D05D60" w:rsidRDefault="0043457F" w:rsidP="005E418B">
      <w:pPr>
        <w:pStyle w:val="Akapitzlist"/>
        <w:numPr>
          <w:ilvl w:val="1"/>
          <w:numId w:val="1"/>
        </w:numPr>
        <w:tabs>
          <w:tab w:val="left" w:pos="883"/>
        </w:tabs>
        <w:spacing w:before="108" w:line="360" w:lineRule="auto"/>
        <w:ind w:left="893" w:right="193" w:hanging="345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Członek Zarządu jest zobowiązany do informowania Spółki w terminie co najmniej z 14-dniowym wyprzedzeniem o planowanym zamiarze pełnienia funkcji w organie spółki handlowej innej niż Spółka oraz o nabyciu w takiej spółce handlowej udziału/ów lub</w:t>
      </w:r>
      <w:r w:rsidRPr="00D05D60">
        <w:rPr>
          <w:rFonts w:ascii="Verdana" w:hAnsi="Verdana"/>
          <w:spacing w:val="47"/>
          <w:w w:val="105"/>
          <w:lang w:val="pl-PL"/>
        </w:rPr>
        <w:t xml:space="preserve"> </w:t>
      </w:r>
      <w:r w:rsidRPr="00D05D60">
        <w:rPr>
          <w:rFonts w:ascii="Verdana" w:hAnsi="Verdana"/>
          <w:w w:val="105"/>
          <w:lang w:val="pl-PL"/>
        </w:rPr>
        <w:t>akcji.</w:t>
      </w:r>
    </w:p>
    <w:p w:rsidR="008727FF" w:rsidRPr="00D05D60" w:rsidRDefault="0043457F" w:rsidP="005E418B">
      <w:pPr>
        <w:pStyle w:val="Akapitzlist"/>
        <w:numPr>
          <w:ilvl w:val="1"/>
          <w:numId w:val="1"/>
        </w:numPr>
        <w:tabs>
          <w:tab w:val="left" w:pos="883"/>
        </w:tabs>
        <w:spacing w:before="104" w:line="360" w:lineRule="auto"/>
        <w:ind w:left="900" w:right="194" w:hanging="355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Członek Zarządu zobowiązuje się, że w okresie obowiązywania Umowy - bez zgody Rady Nadzorczej Spółki - nie będzie świadczył jakichkolwiek usług, ani też pracy lub wykonywał na rzecz podmiotu innego niż Spółka bezpośrednio lub pośrednio jakichkolwiek czynności faktycznych lub prawnych.</w:t>
      </w:r>
    </w:p>
    <w:p w:rsidR="008727FF" w:rsidRPr="00D05D60" w:rsidRDefault="0043457F" w:rsidP="005E418B">
      <w:pPr>
        <w:pStyle w:val="Akapitzlist"/>
        <w:numPr>
          <w:ilvl w:val="1"/>
          <w:numId w:val="1"/>
        </w:numPr>
        <w:tabs>
          <w:tab w:val="left" w:pos="883"/>
        </w:tabs>
        <w:spacing w:line="360" w:lineRule="auto"/>
        <w:ind w:left="900" w:right="189" w:hanging="356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10"/>
          <w:lang w:val="pl-PL"/>
        </w:rPr>
        <w:t>Członek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organu. Zakaz obejmuje także udział w konkurencyjnej spółce kapitałowej w przypadku posiadania w niej przez Członka Zarządu co najmniej 10% (dziesięć procent) udziałów lub akcji tej spółki bądź</w:t>
      </w:r>
      <w:r w:rsidRPr="00D05D60">
        <w:rPr>
          <w:rFonts w:ascii="Verdana" w:hAnsi="Verdana"/>
          <w:spacing w:val="-26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prawa</w:t>
      </w:r>
      <w:r w:rsidRPr="00D05D60">
        <w:rPr>
          <w:rFonts w:ascii="Verdana" w:hAnsi="Verdana"/>
          <w:spacing w:val="-25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do</w:t>
      </w:r>
      <w:r w:rsidRPr="00D05D60">
        <w:rPr>
          <w:rFonts w:ascii="Verdana" w:hAnsi="Verdana"/>
          <w:spacing w:val="-27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powołania</w:t>
      </w:r>
      <w:r w:rsidRPr="00D05D60">
        <w:rPr>
          <w:rFonts w:ascii="Verdana" w:hAnsi="Verdana"/>
          <w:spacing w:val="-19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co</w:t>
      </w:r>
      <w:r w:rsidRPr="00D05D60">
        <w:rPr>
          <w:rFonts w:ascii="Verdana" w:hAnsi="Verdana"/>
          <w:spacing w:val="-29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najmniej</w:t>
      </w:r>
      <w:r w:rsidRPr="00D05D60">
        <w:rPr>
          <w:rFonts w:ascii="Verdana" w:hAnsi="Verdana"/>
          <w:spacing w:val="-21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jednego</w:t>
      </w:r>
      <w:r w:rsidRPr="00D05D60">
        <w:rPr>
          <w:rFonts w:ascii="Verdana" w:hAnsi="Verdana"/>
          <w:spacing w:val="-27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Członka</w:t>
      </w:r>
      <w:r w:rsidRPr="00D05D60">
        <w:rPr>
          <w:rFonts w:ascii="Verdana" w:hAnsi="Verdana"/>
          <w:spacing w:val="-19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Zarządu.</w:t>
      </w:r>
    </w:p>
    <w:p w:rsidR="008727FF" w:rsidRPr="00D05D60" w:rsidRDefault="0043457F" w:rsidP="005E418B">
      <w:pPr>
        <w:pStyle w:val="Akapitzlist"/>
        <w:numPr>
          <w:ilvl w:val="1"/>
          <w:numId w:val="1"/>
        </w:numPr>
        <w:tabs>
          <w:tab w:val="left" w:pos="892"/>
        </w:tabs>
        <w:spacing w:line="360" w:lineRule="auto"/>
        <w:ind w:left="903" w:right="203" w:hanging="351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05"/>
          <w:lang w:val="pl-PL"/>
        </w:rPr>
        <w:t>Każda ze Stron jest uprawniona do wypowiedzenia Umowy z zachowaniem trzymiesięcznego okresu wypowiedzenia, ze skutkiem na koniec miesiąca kalendarzowego.</w:t>
      </w:r>
    </w:p>
    <w:p w:rsidR="008727FF" w:rsidRPr="00D05D60" w:rsidRDefault="0043457F" w:rsidP="005E418B">
      <w:pPr>
        <w:pStyle w:val="Akapitzlist"/>
        <w:numPr>
          <w:ilvl w:val="1"/>
          <w:numId w:val="1"/>
        </w:numPr>
        <w:spacing w:before="66" w:line="360" w:lineRule="auto"/>
        <w:ind w:left="993" w:right="110" w:hanging="426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10"/>
          <w:lang w:val="pl-PL"/>
        </w:rPr>
        <w:t>Każda</w:t>
      </w:r>
      <w:r w:rsidRPr="00D05D60">
        <w:rPr>
          <w:rFonts w:ascii="Verdana" w:hAnsi="Verdana"/>
          <w:spacing w:val="-20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ze</w:t>
      </w:r>
      <w:r w:rsidRPr="00D05D60">
        <w:rPr>
          <w:rFonts w:ascii="Verdana" w:hAnsi="Verdana"/>
          <w:spacing w:val="-36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Stron</w:t>
      </w:r>
      <w:r w:rsidRPr="00D05D60">
        <w:rPr>
          <w:rFonts w:ascii="Verdana" w:hAnsi="Verdana"/>
          <w:spacing w:val="-30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jest</w:t>
      </w:r>
      <w:r w:rsidRPr="00D05D60">
        <w:rPr>
          <w:rFonts w:ascii="Verdana" w:hAnsi="Verdana"/>
          <w:spacing w:val="-26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uprawniona</w:t>
      </w:r>
      <w:r w:rsidRPr="00D05D60">
        <w:rPr>
          <w:rFonts w:ascii="Verdana" w:hAnsi="Verdana"/>
          <w:spacing w:val="-19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do</w:t>
      </w:r>
      <w:r w:rsidRPr="00D05D60">
        <w:rPr>
          <w:rFonts w:ascii="Verdana" w:hAnsi="Verdana"/>
          <w:spacing w:val="-26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wypowiedzenia</w:t>
      </w:r>
      <w:r w:rsidRPr="00D05D60">
        <w:rPr>
          <w:rFonts w:ascii="Verdana" w:hAnsi="Verdana"/>
          <w:spacing w:val="-15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Umowy</w:t>
      </w:r>
      <w:r w:rsidRPr="00D05D60">
        <w:rPr>
          <w:rFonts w:ascii="Verdana" w:hAnsi="Verdana"/>
          <w:spacing w:val="-21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bez</w:t>
      </w:r>
      <w:r w:rsidRPr="00D05D60">
        <w:rPr>
          <w:rFonts w:ascii="Verdana" w:hAnsi="Verdana"/>
          <w:spacing w:val="-24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lastRenderedPageBreak/>
        <w:t>zachowania</w:t>
      </w:r>
      <w:r w:rsidRPr="00D05D60">
        <w:rPr>
          <w:rFonts w:ascii="Verdana" w:hAnsi="Verdana"/>
          <w:spacing w:val="-16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okresu wypowiedze</w:t>
      </w:r>
      <w:r w:rsidR="00656D5D" w:rsidRPr="00D05D60">
        <w:rPr>
          <w:rFonts w:ascii="Verdana" w:hAnsi="Verdana"/>
          <w:w w:val="110"/>
          <w:lang w:val="pl-PL"/>
        </w:rPr>
        <w:t>n</w:t>
      </w:r>
      <w:r w:rsidRPr="00D05D60">
        <w:rPr>
          <w:rFonts w:ascii="Verdana" w:hAnsi="Verdana"/>
          <w:w w:val="110"/>
          <w:lang w:val="pl-PL"/>
        </w:rPr>
        <w:t>ia (ze skutkiem natychmiastowym) w przypadku naruszenia istotnego</w:t>
      </w:r>
      <w:r w:rsidRPr="00D05D60">
        <w:rPr>
          <w:rFonts w:ascii="Verdana" w:hAnsi="Verdana"/>
          <w:spacing w:val="-23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postanowienia</w:t>
      </w:r>
      <w:r w:rsidRPr="00D05D60">
        <w:rPr>
          <w:rFonts w:ascii="Verdana" w:hAnsi="Verdana"/>
          <w:spacing w:val="-17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Umowy</w:t>
      </w:r>
      <w:r w:rsidRPr="00D05D60">
        <w:rPr>
          <w:rFonts w:ascii="Verdana" w:hAnsi="Verdana"/>
          <w:spacing w:val="-22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przez</w:t>
      </w:r>
      <w:r w:rsidRPr="00D05D60">
        <w:rPr>
          <w:rFonts w:ascii="Verdana" w:hAnsi="Verdana"/>
          <w:spacing w:val="-23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drugą</w:t>
      </w:r>
      <w:r w:rsidRPr="00D05D60">
        <w:rPr>
          <w:rFonts w:ascii="Verdana" w:hAnsi="Verdana"/>
          <w:spacing w:val="-32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Stronę</w:t>
      </w:r>
      <w:r w:rsidRPr="00D05D60">
        <w:rPr>
          <w:rFonts w:ascii="Verdana" w:hAnsi="Verdana"/>
          <w:spacing w:val="-25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(ważne</w:t>
      </w:r>
      <w:r w:rsidRPr="00D05D60">
        <w:rPr>
          <w:rFonts w:ascii="Verdana" w:hAnsi="Verdana"/>
          <w:spacing w:val="-24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powody).</w:t>
      </w:r>
      <w:r w:rsidR="00982BEB" w:rsidRPr="00D05D60">
        <w:rPr>
          <w:rFonts w:ascii="Verdana" w:hAnsi="Verdana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 xml:space="preserve">W przypadku rozwiązania albo wypowiedzenia Umowy przez Spółkę z innych przyczyn niż naruszenie przez Członka Zarządu podstawowych obowiązków wynikających z Umowy, przysługuje mu odprawa w wysokości odpowiadającej trzykrotności Wynagrodzenia Podstawowego pod warunkiem pełnienie przez niego funkcji w zarządzie Spółki przez okres </w:t>
      </w:r>
      <w:r w:rsidR="000A1410" w:rsidRPr="00D05D60">
        <w:rPr>
          <w:rFonts w:ascii="Verdana" w:hAnsi="Verdana"/>
          <w:w w:val="110"/>
          <w:lang w:val="pl-PL"/>
        </w:rPr>
        <w:t xml:space="preserve">co </w:t>
      </w:r>
      <w:r w:rsidRPr="00D05D60">
        <w:rPr>
          <w:rFonts w:ascii="Verdana" w:hAnsi="Verdana"/>
          <w:w w:val="110"/>
          <w:lang w:val="pl-PL"/>
        </w:rPr>
        <w:t>najmniej 12 miesięcy przed rozwiązanie</w:t>
      </w:r>
      <w:r w:rsidRPr="00D05D60">
        <w:rPr>
          <w:rFonts w:ascii="Verdana" w:hAnsi="Verdana"/>
          <w:spacing w:val="44"/>
          <w:w w:val="110"/>
          <w:lang w:val="pl-PL"/>
        </w:rPr>
        <w:t xml:space="preserve">m </w:t>
      </w:r>
      <w:r w:rsidRPr="00D05D60">
        <w:rPr>
          <w:rFonts w:ascii="Verdana" w:hAnsi="Verdana"/>
          <w:w w:val="110"/>
          <w:lang w:val="pl-PL"/>
        </w:rPr>
        <w:t>Umowy.</w:t>
      </w:r>
    </w:p>
    <w:p w:rsidR="008727FF" w:rsidRPr="00D05D60" w:rsidRDefault="0043457F" w:rsidP="005E418B">
      <w:pPr>
        <w:pStyle w:val="Akapitzlist"/>
        <w:numPr>
          <w:ilvl w:val="1"/>
          <w:numId w:val="1"/>
        </w:numPr>
        <w:tabs>
          <w:tab w:val="left" w:pos="2000"/>
        </w:tabs>
        <w:spacing w:before="126" w:line="360" w:lineRule="auto"/>
        <w:ind w:left="993" w:right="106" w:hanging="355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15"/>
          <w:lang w:val="pl-PL"/>
        </w:rPr>
        <w:t xml:space="preserve">Odprawa, o której mowa w </w:t>
      </w:r>
      <w:proofErr w:type="spellStart"/>
      <w:r w:rsidRPr="00D05D60">
        <w:rPr>
          <w:rFonts w:ascii="Verdana" w:hAnsi="Verdana"/>
          <w:w w:val="115"/>
          <w:lang w:val="pl-PL"/>
        </w:rPr>
        <w:t>pkt</w:t>
      </w:r>
      <w:proofErr w:type="spellEnd"/>
      <w:r w:rsidRPr="00D05D60">
        <w:rPr>
          <w:rFonts w:ascii="Verdana" w:hAnsi="Verdana"/>
          <w:w w:val="115"/>
          <w:lang w:val="pl-PL"/>
        </w:rPr>
        <w:t xml:space="preserve"> 7) nie przysługuje w przypadku zmiany funkcji pełnionej</w:t>
      </w:r>
      <w:r w:rsidRPr="00D05D60">
        <w:rPr>
          <w:rFonts w:ascii="Verdana" w:hAnsi="Verdana"/>
          <w:spacing w:val="2"/>
          <w:w w:val="115"/>
          <w:lang w:val="pl-PL"/>
        </w:rPr>
        <w:t xml:space="preserve"> </w:t>
      </w:r>
      <w:r w:rsidRPr="00D05D60">
        <w:rPr>
          <w:rFonts w:ascii="Verdana" w:hAnsi="Verdana"/>
          <w:w w:val="115"/>
          <w:lang w:val="pl-PL"/>
        </w:rPr>
        <w:t>przez</w:t>
      </w:r>
      <w:r w:rsidRPr="00D05D60">
        <w:rPr>
          <w:rFonts w:ascii="Verdana" w:hAnsi="Verdana"/>
          <w:spacing w:val="-8"/>
          <w:w w:val="115"/>
          <w:lang w:val="pl-PL"/>
        </w:rPr>
        <w:t xml:space="preserve"> </w:t>
      </w:r>
      <w:r w:rsidRPr="00D05D60">
        <w:rPr>
          <w:rFonts w:ascii="Verdana" w:hAnsi="Verdana"/>
          <w:w w:val="115"/>
          <w:lang w:val="pl-PL"/>
        </w:rPr>
        <w:t>Członka</w:t>
      </w:r>
      <w:r w:rsidRPr="00D05D60">
        <w:rPr>
          <w:rFonts w:ascii="Verdana" w:hAnsi="Verdana"/>
          <w:spacing w:val="-11"/>
          <w:w w:val="115"/>
          <w:lang w:val="pl-PL"/>
        </w:rPr>
        <w:t xml:space="preserve"> </w:t>
      </w:r>
      <w:r w:rsidRPr="00D05D60">
        <w:rPr>
          <w:rFonts w:ascii="Verdana" w:hAnsi="Verdana"/>
          <w:w w:val="115"/>
          <w:lang w:val="pl-PL"/>
        </w:rPr>
        <w:t>Zarządu</w:t>
      </w:r>
      <w:r w:rsidRPr="00D05D60">
        <w:rPr>
          <w:rFonts w:ascii="Verdana" w:hAnsi="Verdana"/>
          <w:spacing w:val="-3"/>
          <w:w w:val="115"/>
          <w:lang w:val="pl-PL"/>
        </w:rPr>
        <w:t xml:space="preserve"> </w:t>
      </w:r>
      <w:r w:rsidRPr="00D05D60">
        <w:rPr>
          <w:rFonts w:ascii="Verdana" w:hAnsi="Verdana"/>
          <w:w w:val="115"/>
          <w:lang w:val="pl-PL"/>
        </w:rPr>
        <w:t>w</w:t>
      </w:r>
      <w:r w:rsidRPr="00D05D60">
        <w:rPr>
          <w:rFonts w:ascii="Verdana" w:hAnsi="Verdana"/>
          <w:spacing w:val="-9"/>
          <w:w w:val="115"/>
          <w:lang w:val="pl-PL"/>
        </w:rPr>
        <w:t xml:space="preserve"> </w:t>
      </w:r>
      <w:r w:rsidRPr="00D05D60">
        <w:rPr>
          <w:rFonts w:ascii="Verdana" w:hAnsi="Verdana"/>
          <w:w w:val="115"/>
          <w:lang w:val="pl-PL"/>
        </w:rPr>
        <w:t>składzie Zarządu</w:t>
      </w:r>
      <w:r w:rsidRPr="00D05D60">
        <w:rPr>
          <w:rFonts w:ascii="Verdana" w:hAnsi="Verdana"/>
          <w:spacing w:val="-9"/>
          <w:w w:val="115"/>
          <w:lang w:val="pl-PL"/>
        </w:rPr>
        <w:t xml:space="preserve"> </w:t>
      </w:r>
      <w:r w:rsidRPr="00D05D60">
        <w:rPr>
          <w:rFonts w:ascii="Verdana" w:hAnsi="Verdana"/>
          <w:w w:val="115"/>
          <w:lang w:val="pl-PL"/>
        </w:rPr>
        <w:t>albo</w:t>
      </w:r>
      <w:r w:rsidRPr="00D05D60">
        <w:rPr>
          <w:rFonts w:ascii="Verdana" w:hAnsi="Verdana"/>
          <w:spacing w:val="-11"/>
          <w:w w:val="115"/>
          <w:lang w:val="pl-PL"/>
        </w:rPr>
        <w:t xml:space="preserve"> </w:t>
      </w:r>
      <w:r w:rsidRPr="00D05D60">
        <w:rPr>
          <w:rFonts w:ascii="Verdana" w:hAnsi="Verdana"/>
          <w:w w:val="115"/>
          <w:lang w:val="pl-PL"/>
        </w:rPr>
        <w:t>powołania</w:t>
      </w:r>
      <w:r w:rsidRPr="00D05D60">
        <w:rPr>
          <w:rFonts w:ascii="Verdana" w:hAnsi="Verdana"/>
          <w:spacing w:val="3"/>
          <w:w w:val="115"/>
          <w:lang w:val="pl-PL"/>
        </w:rPr>
        <w:t xml:space="preserve"> </w:t>
      </w:r>
      <w:r w:rsidRPr="00D05D60">
        <w:rPr>
          <w:rFonts w:ascii="Verdana" w:hAnsi="Verdana"/>
          <w:w w:val="115"/>
          <w:lang w:val="pl-PL"/>
        </w:rPr>
        <w:t>go</w:t>
      </w:r>
      <w:r w:rsidRPr="00D05D60">
        <w:rPr>
          <w:rFonts w:ascii="Verdana" w:hAnsi="Verdana"/>
          <w:spacing w:val="-4"/>
          <w:w w:val="115"/>
          <w:lang w:val="pl-PL"/>
        </w:rPr>
        <w:t xml:space="preserve"> </w:t>
      </w:r>
      <w:r w:rsidRPr="00D05D60">
        <w:rPr>
          <w:rFonts w:ascii="Verdana" w:hAnsi="Verdana"/>
          <w:w w:val="115"/>
          <w:lang w:val="pl-PL"/>
        </w:rPr>
        <w:t>na</w:t>
      </w:r>
      <w:r w:rsidRPr="00D05D60">
        <w:rPr>
          <w:rFonts w:ascii="Verdana" w:hAnsi="Verdana"/>
          <w:spacing w:val="-8"/>
          <w:w w:val="115"/>
          <w:lang w:val="pl-PL"/>
        </w:rPr>
        <w:t xml:space="preserve"> </w:t>
      </w:r>
      <w:r w:rsidRPr="00D05D60">
        <w:rPr>
          <w:rFonts w:ascii="Verdana" w:hAnsi="Verdana"/>
          <w:w w:val="115"/>
          <w:lang w:val="pl-PL"/>
        </w:rPr>
        <w:t xml:space="preserve">kolejną </w:t>
      </w:r>
      <w:r w:rsidRPr="00D05D60">
        <w:rPr>
          <w:rFonts w:ascii="Verdana" w:hAnsi="Verdana"/>
          <w:w w:val="110"/>
          <w:lang w:val="pl-PL"/>
        </w:rPr>
        <w:t>kadencję</w:t>
      </w:r>
      <w:r w:rsidRPr="00D05D60">
        <w:rPr>
          <w:rFonts w:ascii="Verdana" w:hAnsi="Verdana"/>
          <w:spacing w:val="31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Zarządu.</w:t>
      </w:r>
    </w:p>
    <w:p w:rsidR="008727FF" w:rsidRPr="00D05D60" w:rsidRDefault="0043457F" w:rsidP="005E418B">
      <w:pPr>
        <w:pStyle w:val="Akapitzlist"/>
        <w:numPr>
          <w:ilvl w:val="1"/>
          <w:numId w:val="1"/>
        </w:numPr>
        <w:tabs>
          <w:tab w:val="left" w:pos="2007"/>
        </w:tabs>
        <w:spacing w:before="126" w:line="360" w:lineRule="auto"/>
        <w:ind w:left="993" w:right="110" w:hanging="355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10"/>
          <w:lang w:val="pl-PL"/>
        </w:rPr>
        <w:t>W przypadku wygaśnięcia mandatu, w szczególności na skutek śmierci, odwołania lub rezygnacji, Umowa rozwiązuje się z ostatnim dniem pełnienia funkcji bez okresu wypowiedzenia i konieczności dokonywania dodatkowych</w:t>
      </w:r>
      <w:r w:rsidRPr="00D05D60">
        <w:rPr>
          <w:rFonts w:ascii="Verdana" w:hAnsi="Verdana"/>
          <w:spacing w:val="32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czynności.</w:t>
      </w:r>
    </w:p>
    <w:p w:rsidR="008727FF" w:rsidRPr="00D05D60" w:rsidRDefault="0043457F" w:rsidP="005E418B">
      <w:pPr>
        <w:pStyle w:val="Akapitzlist"/>
        <w:numPr>
          <w:ilvl w:val="1"/>
          <w:numId w:val="1"/>
        </w:numPr>
        <w:tabs>
          <w:tab w:val="left" w:pos="1971"/>
        </w:tabs>
        <w:spacing w:line="360" w:lineRule="auto"/>
        <w:ind w:left="993" w:right="138" w:hanging="362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15"/>
          <w:lang w:val="pl-PL"/>
        </w:rPr>
        <w:t>Umowa powinna określać zasady wykorzystania przez Członka Zarządu płatnych przerw w świadczeniu usług, w wymiarze nie przekraczającym 30 (trzydzieści) dni roboczych lub w ilości dni określonych proporcjonalnie do okresu trwania Umowy</w:t>
      </w:r>
    </w:p>
    <w:p w:rsidR="008727FF" w:rsidRPr="00D05D60" w:rsidRDefault="000A1410" w:rsidP="005E418B">
      <w:pPr>
        <w:spacing w:before="3" w:line="360" w:lineRule="auto"/>
        <w:ind w:left="993"/>
        <w:contextualSpacing/>
        <w:rPr>
          <w:rFonts w:ascii="Verdana" w:hAnsi="Verdana"/>
          <w:lang w:val="pl-PL"/>
        </w:rPr>
      </w:pPr>
      <w:r w:rsidRPr="00D05D60">
        <w:rPr>
          <w:rFonts w:ascii="Verdana" w:hAnsi="Verdana"/>
          <w:w w:val="115"/>
          <w:lang w:val="pl-PL"/>
        </w:rPr>
        <w:t xml:space="preserve">- </w:t>
      </w:r>
      <w:r w:rsidR="0043457F" w:rsidRPr="00D05D60">
        <w:rPr>
          <w:rFonts w:ascii="Verdana" w:hAnsi="Verdana"/>
          <w:w w:val="115"/>
          <w:lang w:val="pl-PL"/>
        </w:rPr>
        <w:t>w przypadku jeżeli Umowa trwa krócej niż pe</w:t>
      </w:r>
      <w:r w:rsidR="00656D5D" w:rsidRPr="00D05D60">
        <w:rPr>
          <w:rFonts w:ascii="Verdana" w:hAnsi="Verdana"/>
          <w:w w:val="115"/>
          <w:lang w:val="pl-PL"/>
        </w:rPr>
        <w:t>ł</w:t>
      </w:r>
      <w:r w:rsidR="0043457F" w:rsidRPr="00D05D60">
        <w:rPr>
          <w:rFonts w:ascii="Verdana" w:hAnsi="Verdana"/>
          <w:w w:val="115"/>
          <w:lang w:val="pl-PL"/>
        </w:rPr>
        <w:t>ny rok.</w:t>
      </w:r>
    </w:p>
    <w:p w:rsidR="008727FF" w:rsidRPr="00D05D60" w:rsidRDefault="0043457F" w:rsidP="005E418B">
      <w:pPr>
        <w:pStyle w:val="Akapitzlist"/>
        <w:numPr>
          <w:ilvl w:val="0"/>
          <w:numId w:val="1"/>
        </w:numPr>
        <w:spacing w:before="130" w:line="360" w:lineRule="auto"/>
        <w:ind w:left="709" w:right="138" w:hanging="273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10"/>
          <w:lang w:val="pl-PL"/>
        </w:rPr>
        <w:t>Upoważnia się Radę Nadzorczą do uszczegółowienia warunków Umowy przy uwzględnieniu przepisów Ustawy, interesu strategicznego Spółki i jej charakteru, interesu publicznego i polityki właścicielskiej wobec nadzorowanych Spółek.</w:t>
      </w:r>
    </w:p>
    <w:p w:rsidR="008727FF" w:rsidRPr="00D05D60" w:rsidRDefault="0043457F" w:rsidP="005E418B">
      <w:pPr>
        <w:pStyle w:val="Akapitzlist"/>
        <w:numPr>
          <w:ilvl w:val="0"/>
          <w:numId w:val="1"/>
        </w:numPr>
        <w:spacing w:before="124" w:line="360" w:lineRule="auto"/>
        <w:ind w:left="709" w:right="145" w:hanging="277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10"/>
          <w:lang w:val="pl-PL"/>
        </w:rPr>
        <w:t xml:space="preserve">Rada Nadzorcza określi w Umowie zakres i zasady udostępniania Członkowi Zarządu urządzeń technicznych oraz zasobów stanowiących mienie Spółki niezbędnych do wykonywania </w:t>
      </w:r>
      <w:r w:rsidRPr="00D05D60">
        <w:rPr>
          <w:rFonts w:ascii="Verdana" w:hAnsi="Verdana"/>
          <w:spacing w:val="24"/>
          <w:w w:val="110"/>
          <w:lang w:val="pl-PL"/>
        </w:rPr>
        <w:t xml:space="preserve"> </w:t>
      </w:r>
      <w:r w:rsidRPr="00D05D60">
        <w:rPr>
          <w:rFonts w:ascii="Verdana" w:hAnsi="Verdana"/>
          <w:w w:val="110"/>
          <w:lang w:val="pl-PL"/>
        </w:rPr>
        <w:t>funkcji.</w:t>
      </w:r>
    </w:p>
    <w:p w:rsidR="008727FF" w:rsidRPr="00D05D60" w:rsidRDefault="0043457F" w:rsidP="005E418B">
      <w:pPr>
        <w:pStyle w:val="Akapitzlist"/>
        <w:numPr>
          <w:ilvl w:val="0"/>
          <w:numId w:val="1"/>
        </w:numPr>
        <w:spacing w:before="138" w:line="360" w:lineRule="auto"/>
        <w:ind w:left="709" w:right="143" w:hanging="281"/>
        <w:contextualSpacing/>
        <w:jc w:val="left"/>
        <w:rPr>
          <w:rFonts w:ascii="Verdana" w:hAnsi="Verdana"/>
          <w:lang w:val="pl-PL"/>
        </w:rPr>
      </w:pPr>
      <w:r w:rsidRPr="00D05D60">
        <w:rPr>
          <w:rFonts w:ascii="Verdana" w:hAnsi="Verdana"/>
          <w:w w:val="115"/>
          <w:lang w:val="pl-PL"/>
        </w:rPr>
        <w:t>Nie ustanawia się zakazu konkurencji z Członkiem Zarządu po ustaniu pełnienia funkcji.</w:t>
      </w:r>
    </w:p>
    <w:p w:rsidR="008727FF" w:rsidRPr="00D05D60" w:rsidRDefault="0043457F" w:rsidP="005E418B">
      <w:pPr>
        <w:tabs>
          <w:tab w:val="left" w:pos="4820"/>
        </w:tabs>
        <w:spacing w:before="130" w:line="360" w:lineRule="auto"/>
        <w:ind w:right="4895"/>
        <w:contextualSpacing/>
        <w:rPr>
          <w:rFonts w:ascii="Verdana" w:hAnsi="Verdana"/>
          <w:lang w:val="pl-PL"/>
        </w:rPr>
      </w:pPr>
      <w:r w:rsidRPr="00D05D60">
        <w:rPr>
          <w:rFonts w:ascii="Verdana" w:hAnsi="Verdana"/>
          <w:w w:val="120"/>
          <w:lang w:val="pl-PL"/>
        </w:rPr>
        <w:t>§7</w:t>
      </w:r>
    </w:p>
    <w:p w:rsidR="008727FF" w:rsidRPr="00D05D60" w:rsidRDefault="0043457F" w:rsidP="005E418B">
      <w:pPr>
        <w:spacing w:before="172" w:line="360" w:lineRule="auto"/>
        <w:ind w:hanging="8"/>
        <w:contextualSpacing/>
        <w:rPr>
          <w:rFonts w:ascii="Verdana" w:hAnsi="Verdana"/>
          <w:lang w:val="pl-PL"/>
        </w:rPr>
      </w:pPr>
      <w:r w:rsidRPr="00D05D60">
        <w:rPr>
          <w:rFonts w:ascii="Verdana" w:hAnsi="Verdana"/>
          <w:w w:val="110"/>
          <w:lang w:val="pl-PL"/>
        </w:rPr>
        <w:t>Tracą moc wszystkie dotychczasowe uregulowania ustalające wynagrodzenie dla Członka Zarządu Spółki.</w:t>
      </w:r>
    </w:p>
    <w:p w:rsidR="008727FF" w:rsidRPr="00D05D60" w:rsidRDefault="0043457F" w:rsidP="005E418B">
      <w:pPr>
        <w:pStyle w:val="Tekstpodstawowy"/>
        <w:spacing w:before="135" w:line="360" w:lineRule="auto"/>
        <w:ind w:right="4911"/>
        <w:contextualSpacing/>
        <w:rPr>
          <w:rFonts w:ascii="Verdana" w:hAnsi="Verdana"/>
          <w:sz w:val="22"/>
          <w:szCs w:val="22"/>
          <w:lang w:val="pl-PL"/>
        </w:rPr>
      </w:pPr>
      <w:r w:rsidRPr="00D05D60">
        <w:rPr>
          <w:rFonts w:ascii="Verdana" w:hAnsi="Verdana"/>
          <w:w w:val="115"/>
          <w:sz w:val="22"/>
          <w:szCs w:val="22"/>
          <w:lang w:val="pl-PL"/>
        </w:rPr>
        <w:t>§8</w:t>
      </w:r>
    </w:p>
    <w:p w:rsidR="008727FF" w:rsidRPr="00D05D60" w:rsidRDefault="0043457F" w:rsidP="005E418B">
      <w:pPr>
        <w:spacing w:before="120" w:line="360" w:lineRule="auto"/>
        <w:contextualSpacing/>
        <w:rPr>
          <w:rFonts w:ascii="Verdana" w:hAnsi="Verdana"/>
          <w:lang w:val="pl-PL"/>
        </w:rPr>
      </w:pPr>
      <w:r w:rsidRPr="00D05D60">
        <w:rPr>
          <w:rFonts w:ascii="Verdana" w:hAnsi="Verdana"/>
          <w:w w:val="110"/>
          <w:lang w:val="pl-PL"/>
        </w:rPr>
        <w:lastRenderedPageBreak/>
        <w:t>Uchwała wchodzi w życie z dniem podpisania.</w:t>
      </w:r>
    </w:p>
    <w:p w:rsidR="008727FF" w:rsidRPr="00D05D60" w:rsidRDefault="00982BEB" w:rsidP="005E418B">
      <w:pPr>
        <w:pStyle w:val="Tekstpodstawowy"/>
        <w:spacing w:before="100" w:beforeAutospacing="1" w:line="360" w:lineRule="auto"/>
        <w:contextualSpacing/>
        <w:rPr>
          <w:rFonts w:ascii="Verdana" w:hAnsi="Verdana"/>
          <w:sz w:val="22"/>
          <w:szCs w:val="22"/>
          <w:lang w:val="pl-PL"/>
        </w:rPr>
      </w:pPr>
      <w:r w:rsidRPr="00D05D60">
        <w:rPr>
          <w:rFonts w:ascii="Verdana" w:hAnsi="Verdana"/>
          <w:sz w:val="22"/>
          <w:szCs w:val="22"/>
          <w:lang w:val="pl-PL"/>
        </w:rPr>
        <w:t>dokument podpisał:</w:t>
      </w:r>
    </w:p>
    <w:p w:rsidR="008727FF" w:rsidRPr="00D05D60" w:rsidRDefault="0043457F" w:rsidP="005E418B">
      <w:pPr>
        <w:spacing w:line="360" w:lineRule="auto"/>
        <w:ind w:right="1187"/>
        <w:contextualSpacing/>
        <w:rPr>
          <w:rFonts w:ascii="Verdana" w:hAnsi="Verdana"/>
          <w:lang w:val="pl-PL"/>
        </w:rPr>
      </w:pPr>
      <w:r w:rsidRPr="00D05D60">
        <w:rPr>
          <w:rFonts w:ascii="Verdana" w:hAnsi="Verdana"/>
          <w:lang w:val="pl-PL"/>
        </w:rPr>
        <w:t>Przewodniczący Zgromadzenia Wspólników</w:t>
      </w:r>
      <w:r w:rsidR="00982BEB" w:rsidRPr="00D05D60">
        <w:rPr>
          <w:rFonts w:ascii="Verdana" w:hAnsi="Verdana"/>
          <w:lang w:val="pl-PL"/>
        </w:rPr>
        <w:t xml:space="preserve"> </w:t>
      </w:r>
      <w:r w:rsidRPr="00D05D60">
        <w:rPr>
          <w:rFonts w:ascii="Verdana" w:hAnsi="Verdana"/>
          <w:lang w:val="pl-PL"/>
        </w:rPr>
        <w:t xml:space="preserve">Adam </w:t>
      </w:r>
      <w:proofErr w:type="spellStart"/>
      <w:r w:rsidRPr="00D05D60">
        <w:rPr>
          <w:rFonts w:ascii="Verdana" w:hAnsi="Verdana"/>
          <w:lang w:val="pl-PL"/>
        </w:rPr>
        <w:t>Grehl</w:t>
      </w:r>
      <w:proofErr w:type="spellEnd"/>
    </w:p>
    <w:sectPr w:rsidR="008727FF" w:rsidRPr="00D05D60" w:rsidSect="00982BEB">
      <w:pgSz w:w="11760" w:h="16820"/>
      <w:pgMar w:top="709" w:right="1361" w:bottom="1418" w:left="107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B5D10"/>
    <w:multiLevelType w:val="hybridMultilevel"/>
    <w:tmpl w:val="08ECBB54"/>
    <w:lvl w:ilvl="0" w:tplc="3A7C1DF8">
      <w:start w:val="1"/>
      <w:numFmt w:val="decimal"/>
      <w:lvlText w:val="%1."/>
      <w:lvlJc w:val="left"/>
      <w:pPr>
        <w:ind w:left="552" w:hanging="368"/>
      </w:pPr>
      <w:rPr>
        <w:rFonts w:hint="default"/>
        <w:w w:val="105"/>
      </w:rPr>
    </w:lvl>
    <w:lvl w:ilvl="1" w:tplc="1696FBF6">
      <w:start w:val="1"/>
      <w:numFmt w:val="decimal"/>
      <w:lvlText w:val="%2)"/>
      <w:lvlJc w:val="left"/>
      <w:pPr>
        <w:ind w:left="845" w:hanging="350"/>
      </w:pPr>
      <w:rPr>
        <w:rFonts w:ascii="Arial" w:eastAsia="Arial" w:hAnsi="Arial" w:cs="Arial" w:hint="default"/>
        <w:w w:val="104"/>
        <w:sz w:val="21"/>
        <w:szCs w:val="21"/>
      </w:rPr>
    </w:lvl>
    <w:lvl w:ilvl="2" w:tplc="B2D2BC68">
      <w:numFmt w:val="bullet"/>
      <w:lvlText w:val="•"/>
      <w:lvlJc w:val="left"/>
      <w:pPr>
        <w:ind w:left="1781" w:hanging="350"/>
      </w:pPr>
      <w:rPr>
        <w:rFonts w:hint="default"/>
      </w:rPr>
    </w:lvl>
    <w:lvl w:ilvl="3" w:tplc="73E21C80">
      <w:numFmt w:val="bullet"/>
      <w:lvlText w:val="•"/>
      <w:lvlJc w:val="left"/>
      <w:pPr>
        <w:ind w:left="2722" w:hanging="350"/>
      </w:pPr>
      <w:rPr>
        <w:rFonts w:hint="default"/>
      </w:rPr>
    </w:lvl>
    <w:lvl w:ilvl="4" w:tplc="D95409CA">
      <w:numFmt w:val="bullet"/>
      <w:lvlText w:val="•"/>
      <w:lvlJc w:val="left"/>
      <w:pPr>
        <w:ind w:left="3663" w:hanging="350"/>
      </w:pPr>
      <w:rPr>
        <w:rFonts w:hint="default"/>
      </w:rPr>
    </w:lvl>
    <w:lvl w:ilvl="5" w:tplc="0200272A">
      <w:numFmt w:val="bullet"/>
      <w:lvlText w:val="•"/>
      <w:lvlJc w:val="left"/>
      <w:pPr>
        <w:ind w:left="4604" w:hanging="350"/>
      </w:pPr>
      <w:rPr>
        <w:rFonts w:hint="default"/>
      </w:rPr>
    </w:lvl>
    <w:lvl w:ilvl="6" w:tplc="E0526670">
      <w:numFmt w:val="bullet"/>
      <w:lvlText w:val="•"/>
      <w:lvlJc w:val="left"/>
      <w:pPr>
        <w:ind w:left="5545" w:hanging="350"/>
      </w:pPr>
      <w:rPr>
        <w:rFonts w:hint="default"/>
      </w:rPr>
    </w:lvl>
    <w:lvl w:ilvl="7" w:tplc="6F765D84">
      <w:numFmt w:val="bullet"/>
      <w:lvlText w:val="•"/>
      <w:lvlJc w:val="left"/>
      <w:pPr>
        <w:ind w:left="6486" w:hanging="350"/>
      </w:pPr>
      <w:rPr>
        <w:rFonts w:hint="default"/>
      </w:rPr>
    </w:lvl>
    <w:lvl w:ilvl="8" w:tplc="0FBAD30C">
      <w:numFmt w:val="bullet"/>
      <w:lvlText w:val="•"/>
      <w:lvlJc w:val="left"/>
      <w:pPr>
        <w:ind w:left="7428" w:hanging="350"/>
      </w:pPr>
      <w:rPr>
        <w:rFonts w:hint="default"/>
      </w:rPr>
    </w:lvl>
  </w:abstractNum>
  <w:abstractNum w:abstractNumId="1">
    <w:nsid w:val="499C2616"/>
    <w:multiLevelType w:val="hybridMultilevel"/>
    <w:tmpl w:val="A440A718"/>
    <w:lvl w:ilvl="0" w:tplc="E3F85E94">
      <w:start w:val="1"/>
      <w:numFmt w:val="decimal"/>
      <w:lvlText w:val="%1."/>
      <w:lvlJc w:val="left"/>
      <w:pPr>
        <w:ind w:left="1570" w:hanging="275"/>
        <w:jc w:val="right"/>
      </w:pPr>
      <w:rPr>
        <w:rFonts w:hint="default"/>
        <w:w w:val="104"/>
      </w:rPr>
    </w:lvl>
    <w:lvl w:ilvl="1" w:tplc="B76E7ECA">
      <w:start w:val="1"/>
      <w:numFmt w:val="decimal"/>
      <w:lvlText w:val="%2)"/>
      <w:lvlJc w:val="left"/>
      <w:pPr>
        <w:ind w:left="890" w:hanging="344"/>
        <w:jc w:val="right"/>
      </w:pPr>
      <w:rPr>
        <w:rFonts w:hint="default"/>
        <w:w w:val="104"/>
      </w:rPr>
    </w:lvl>
    <w:lvl w:ilvl="2" w:tplc="695AFA9E">
      <w:numFmt w:val="bullet"/>
      <w:lvlText w:val="•"/>
      <w:lvlJc w:val="left"/>
      <w:pPr>
        <w:ind w:left="2200" w:hanging="344"/>
      </w:pPr>
      <w:rPr>
        <w:rFonts w:hint="default"/>
      </w:rPr>
    </w:lvl>
    <w:lvl w:ilvl="3" w:tplc="2E5CC94E">
      <w:numFmt w:val="bullet"/>
      <w:lvlText w:val="•"/>
      <w:lvlJc w:val="left"/>
      <w:pPr>
        <w:ind w:left="3078" w:hanging="344"/>
      </w:pPr>
      <w:rPr>
        <w:rFonts w:hint="default"/>
      </w:rPr>
    </w:lvl>
    <w:lvl w:ilvl="4" w:tplc="4CE8DF42">
      <w:numFmt w:val="bullet"/>
      <w:lvlText w:val="•"/>
      <w:lvlJc w:val="left"/>
      <w:pPr>
        <w:ind w:left="3957" w:hanging="344"/>
      </w:pPr>
      <w:rPr>
        <w:rFonts w:hint="default"/>
      </w:rPr>
    </w:lvl>
    <w:lvl w:ilvl="5" w:tplc="A9883F2C">
      <w:numFmt w:val="bullet"/>
      <w:lvlText w:val="•"/>
      <w:lvlJc w:val="left"/>
      <w:pPr>
        <w:ind w:left="4836" w:hanging="344"/>
      </w:pPr>
      <w:rPr>
        <w:rFonts w:hint="default"/>
      </w:rPr>
    </w:lvl>
    <w:lvl w:ilvl="6" w:tplc="C7B62230">
      <w:numFmt w:val="bullet"/>
      <w:lvlText w:val="•"/>
      <w:lvlJc w:val="left"/>
      <w:pPr>
        <w:ind w:left="5715" w:hanging="344"/>
      </w:pPr>
      <w:rPr>
        <w:rFonts w:hint="default"/>
      </w:rPr>
    </w:lvl>
    <w:lvl w:ilvl="7" w:tplc="F7ECCD68">
      <w:numFmt w:val="bullet"/>
      <w:lvlText w:val="•"/>
      <w:lvlJc w:val="left"/>
      <w:pPr>
        <w:ind w:left="6594" w:hanging="344"/>
      </w:pPr>
      <w:rPr>
        <w:rFonts w:hint="default"/>
      </w:rPr>
    </w:lvl>
    <w:lvl w:ilvl="8" w:tplc="B6F6B3A0">
      <w:numFmt w:val="bullet"/>
      <w:lvlText w:val="•"/>
      <w:lvlJc w:val="left"/>
      <w:pPr>
        <w:ind w:left="7472" w:hanging="344"/>
      </w:pPr>
      <w:rPr>
        <w:rFonts w:hint="default"/>
      </w:rPr>
    </w:lvl>
  </w:abstractNum>
  <w:abstractNum w:abstractNumId="2">
    <w:nsid w:val="58D8177E"/>
    <w:multiLevelType w:val="hybridMultilevel"/>
    <w:tmpl w:val="C42EAEBC"/>
    <w:lvl w:ilvl="0" w:tplc="1814FE40">
      <w:start w:val="1"/>
      <w:numFmt w:val="decimal"/>
      <w:lvlText w:val="%1."/>
      <w:lvlJc w:val="left"/>
      <w:pPr>
        <w:ind w:left="406" w:hanging="301"/>
      </w:pPr>
      <w:rPr>
        <w:rFonts w:hint="default"/>
        <w:w w:val="109"/>
      </w:rPr>
    </w:lvl>
    <w:lvl w:ilvl="1" w:tplc="6CD80818">
      <w:numFmt w:val="bullet"/>
      <w:lvlText w:val="•"/>
      <w:lvlJc w:val="left"/>
      <w:pPr>
        <w:ind w:left="1291" w:hanging="301"/>
      </w:pPr>
      <w:rPr>
        <w:rFonts w:hint="default"/>
      </w:rPr>
    </w:lvl>
    <w:lvl w:ilvl="2" w:tplc="ED8475B2">
      <w:numFmt w:val="bullet"/>
      <w:lvlText w:val="•"/>
      <w:lvlJc w:val="left"/>
      <w:pPr>
        <w:ind w:left="2182" w:hanging="301"/>
      </w:pPr>
      <w:rPr>
        <w:rFonts w:hint="default"/>
      </w:rPr>
    </w:lvl>
    <w:lvl w:ilvl="3" w:tplc="AA0070FE">
      <w:numFmt w:val="bullet"/>
      <w:lvlText w:val="•"/>
      <w:lvlJc w:val="left"/>
      <w:pPr>
        <w:ind w:left="3073" w:hanging="301"/>
      </w:pPr>
      <w:rPr>
        <w:rFonts w:hint="default"/>
      </w:rPr>
    </w:lvl>
    <w:lvl w:ilvl="4" w:tplc="3EE897C0">
      <w:numFmt w:val="bullet"/>
      <w:lvlText w:val="•"/>
      <w:lvlJc w:val="left"/>
      <w:pPr>
        <w:ind w:left="3964" w:hanging="301"/>
      </w:pPr>
      <w:rPr>
        <w:rFonts w:hint="default"/>
      </w:rPr>
    </w:lvl>
    <w:lvl w:ilvl="5" w:tplc="45D448AC">
      <w:numFmt w:val="bullet"/>
      <w:lvlText w:val="•"/>
      <w:lvlJc w:val="left"/>
      <w:pPr>
        <w:ind w:left="4855" w:hanging="301"/>
      </w:pPr>
      <w:rPr>
        <w:rFonts w:hint="default"/>
      </w:rPr>
    </w:lvl>
    <w:lvl w:ilvl="6" w:tplc="5D22662A">
      <w:numFmt w:val="bullet"/>
      <w:lvlText w:val="•"/>
      <w:lvlJc w:val="left"/>
      <w:pPr>
        <w:ind w:left="5746" w:hanging="301"/>
      </w:pPr>
      <w:rPr>
        <w:rFonts w:hint="default"/>
      </w:rPr>
    </w:lvl>
    <w:lvl w:ilvl="7" w:tplc="E2D45E8E">
      <w:numFmt w:val="bullet"/>
      <w:lvlText w:val="•"/>
      <w:lvlJc w:val="left"/>
      <w:pPr>
        <w:ind w:left="6637" w:hanging="301"/>
      </w:pPr>
      <w:rPr>
        <w:rFonts w:hint="default"/>
      </w:rPr>
    </w:lvl>
    <w:lvl w:ilvl="8" w:tplc="FDF6774C">
      <w:numFmt w:val="bullet"/>
      <w:lvlText w:val="•"/>
      <w:lvlJc w:val="left"/>
      <w:pPr>
        <w:ind w:left="7528" w:hanging="301"/>
      </w:pPr>
      <w:rPr>
        <w:rFonts w:hint="default"/>
      </w:rPr>
    </w:lvl>
  </w:abstractNum>
  <w:abstractNum w:abstractNumId="3">
    <w:nsid w:val="5CDE7A7E"/>
    <w:multiLevelType w:val="hybridMultilevel"/>
    <w:tmpl w:val="112AE364"/>
    <w:lvl w:ilvl="0" w:tplc="11425808">
      <w:start w:val="1"/>
      <w:numFmt w:val="decimal"/>
      <w:lvlText w:val="%1."/>
      <w:lvlJc w:val="left"/>
      <w:pPr>
        <w:ind w:left="450" w:hanging="282"/>
      </w:pPr>
      <w:rPr>
        <w:rFonts w:hint="default"/>
        <w:w w:val="107"/>
      </w:rPr>
    </w:lvl>
    <w:lvl w:ilvl="1" w:tplc="7E1A31FC">
      <w:numFmt w:val="bullet"/>
      <w:lvlText w:val="•"/>
      <w:lvlJc w:val="left"/>
      <w:pPr>
        <w:ind w:left="1353" w:hanging="282"/>
      </w:pPr>
      <w:rPr>
        <w:rFonts w:hint="default"/>
      </w:rPr>
    </w:lvl>
    <w:lvl w:ilvl="2" w:tplc="DF543F9C">
      <w:numFmt w:val="bullet"/>
      <w:lvlText w:val="•"/>
      <w:lvlJc w:val="left"/>
      <w:pPr>
        <w:ind w:left="2246" w:hanging="282"/>
      </w:pPr>
      <w:rPr>
        <w:rFonts w:hint="default"/>
      </w:rPr>
    </w:lvl>
    <w:lvl w:ilvl="3" w:tplc="A3E8A62C">
      <w:numFmt w:val="bullet"/>
      <w:lvlText w:val="•"/>
      <w:lvlJc w:val="left"/>
      <w:pPr>
        <w:ind w:left="3139" w:hanging="282"/>
      </w:pPr>
      <w:rPr>
        <w:rFonts w:hint="default"/>
      </w:rPr>
    </w:lvl>
    <w:lvl w:ilvl="4" w:tplc="779873CC">
      <w:numFmt w:val="bullet"/>
      <w:lvlText w:val="•"/>
      <w:lvlJc w:val="left"/>
      <w:pPr>
        <w:ind w:left="4032" w:hanging="282"/>
      </w:pPr>
      <w:rPr>
        <w:rFonts w:hint="default"/>
      </w:rPr>
    </w:lvl>
    <w:lvl w:ilvl="5" w:tplc="D774F53C">
      <w:numFmt w:val="bullet"/>
      <w:lvlText w:val="•"/>
      <w:lvlJc w:val="left"/>
      <w:pPr>
        <w:ind w:left="4925" w:hanging="282"/>
      </w:pPr>
      <w:rPr>
        <w:rFonts w:hint="default"/>
      </w:rPr>
    </w:lvl>
    <w:lvl w:ilvl="6" w:tplc="C2C820C2">
      <w:numFmt w:val="bullet"/>
      <w:lvlText w:val="•"/>
      <w:lvlJc w:val="left"/>
      <w:pPr>
        <w:ind w:left="5818" w:hanging="282"/>
      </w:pPr>
      <w:rPr>
        <w:rFonts w:hint="default"/>
      </w:rPr>
    </w:lvl>
    <w:lvl w:ilvl="7" w:tplc="1796201A">
      <w:numFmt w:val="bullet"/>
      <w:lvlText w:val="•"/>
      <w:lvlJc w:val="left"/>
      <w:pPr>
        <w:ind w:left="6711" w:hanging="282"/>
      </w:pPr>
      <w:rPr>
        <w:rFonts w:hint="default"/>
      </w:rPr>
    </w:lvl>
    <w:lvl w:ilvl="8" w:tplc="DF08F826">
      <w:numFmt w:val="bullet"/>
      <w:lvlText w:val="•"/>
      <w:lvlJc w:val="left"/>
      <w:pPr>
        <w:ind w:left="7604" w:hanging="282"/>
      </w:pPr>
      <w:rPr>
        <w:rFonts w:hint="default"/>
      </w:rPr>
    </w:lvl>
  </w:abstractNum>
  <w:abstractNum w:abstractNumId="4">
    <w:nsid w:val="792967BC"/>
    <w:multiLevelType w:val="hybridMultilevel"/>
    <w:tmpl w:val="A352F546"/>
    <w:lvl w:ilvl="0" w:tplc="0B4CCF6E">
      <w:start w:val="1"/>
      <w:numFmt w:val="decimal"/>
      <w:lvlText w:val="%1)"/>
      <w:lvlJc w:val="left"/>
      <w:pPr>
        <w:ind w:left="411" w:hanging="281"/>
      </w:pPr>
      <w:rPr>
        <w:rFonts w:ascii="Arial" w:eastAsia="Arial" w:hAnsi="Arial" w:cs="Arial" w:hint="default"/>
        <w:w w:val="105"/>
        <w:sz w:val="21"/>
        <w:szCs w:val="21"/>
      </w:rPr>
    </w:lvl>
    <w:lvl w:ilvl="1" w:tplc="69A415BE">
      <w:numFmt w:val="bullet"/>
      <w:lvlText w:val="•"/>
      <w:lvlJc w:val="left"/>
      <w:pPr>
        <w:ind w:left="1309" w:hanging="281"/>
      </w:pPr>
      <w:rPr>
        <w:rFonts w:hint="default"/>
      </w:rPr>
    </w:lvl>
    <w:lvl w:ilvl="2" w:tplc="9A6CC7B6">
      <w:numFmt w:val="bullet"/>
      <w:lvlText w:val="•"/>
      <w:lvlJc w:val="left"/>
      <w:pPr>
        <w:ind w:left="2198" w:hanging="281"/>
      </w:pPr>
      <w:rPr>
        <w:rFonts w:hint="default"/>
      </w:rPr>
    </w:lvl>
    <w:lvl w:ilvl="3" w:tplc="1382B950">
      <w:numFmt w:val="bullet"/>
      <w:lvlText w:val="•"/>
      <w:lvlJc w:val="left"/>
      <w:pPr>
        <w:ind w:left="3087" w:hanging="281"/>
      </w:pPr>
      <w:rPr>
        <w:rFonts w:hint="default"/>
      </w:rPr>
    </w:lvl>
    <w:lvl w:ilvl="4" w:tplc="D3AE4040">
      <w:numFmt w:val="bullet"/>
      <w:lvlText w:val="•"/>
      <w:lvlJc w:val="left"/>
      <w:pPr>
        <w:ind w:left="3976" w:hanging="281"/>
      </w:pPr>
      <w:rPr>
        <w:rFonts w:hint="default"/>
      </w:rPr>
    </w:lvl>
    <w:lvl w:ilvl="5" w:tplc="23C223FE">
      <w:numFmt w:val="bullet"/>
      <w:lvlText w:val="•"/>
      <w:lvlJc w:val="left"/>
      <w:pPr>
        <w:ind w:left="4865" w:hanging="281"/>
      </w:pPr>
      <w:rPr>
        <w:rFonts w:hint="default"/>
      </w:rPr>
    </w:lvl>
    <w:lvl w:ilvl="6" w:tplc="4B2C3356">
      <w:numFmt w:val="bullet"/>
      <w:lvlText w:val="•"/>
      <w:lvlJc w:val="left"/>
      <w:pPr>
        <w:ind w:left="5754" w:hanging="281"/>
      </w:pPr>
      <w:rPr>
        <w:rFonts w:hint="default"/>
      </w:rPr>
    </w:lvl>
    <w:lvl w:ilvl="7" w:tplc="C0400D9E">
      <w:numFmt w:val="bullet"/>
      <w:lvlText w:val="•"/>
      <w:lvlJc w:val="left"/>
      <w:pPr>
        <w:ind w:left="6643" w:hanging="281"/>
      </w:pPr>
      <w:rPr>
        <w:rFonts w:hint="default"/>
      </w:rPr>
    </w:lvl>
    <w:lvl w:ilvl="8" w:tplc="CD689AEA">
      <w:numFmt w:val="bullet"/>
      <w:lvlText w:val="•"/>
      <w:lvlJc w:val="left"/>
      <w:pPr>
        <w:ind w:left="7532" w:hanging="281"/>
      </w:pPr>
      <w:rPr>
        <w:rFonts w:hint="default"/>
      </w:rPr>
    </w:lvl>
  </w:abstractNum>
  <w:abstractNum w:abstractNumId="5">
    <w:nsid w:val="7A5E35CB"/>
    <w:multiLevelType w:val="hybridMultilevel"/>
    <w:tmpl w:val="F8D0023A"/>
    <w:lvl w:ilvl="0" w:tplc="BAF0F9A2">
      <w:start w:val="1"/>
      <w:numFmt w:val="decimal"/>
      <w:lvlText w:val="%1)"/>
      <w:lvlJc w:val="left"/>
      <w:pPr>
        <w:ind w:left="490" w:hanging="360"/>
      </w:pPr>
      <w:rPr>
        <w:rFonts w:ascii="Arial" w:eastAsia="Arial" w:hAnsi="Arial" w:cs="Arial" w:hint="default"/>
        <w:w w:val="112"/>
        <w:sz w:val="21"/>
        <w:szCs w:val="21"/>
      </w:rPr>
    </w:lvl>
    <w:lvl w:ilvl="1" w:tplc="88E8BAE4">
      <w:numFmt w:val="bullet"/>
      <w:lvlText w:val="•"/>
      <w:lvlJc w:val="left"/>
      <w:pPr>
        <w:ind w:left="1381" w:hanging="360"/>
      </w:pPr>
      <w:rPr>
        <w:rFonts w:hint="default"/>
      </w:rPr>
    </w:lvl>
    <w:lvl w:ilvl="2" w:tplc="6B0E5CF4">
      <w:numFmt w:val="bullet"/>
      <w:lvlText w:val="•"/>
      <w:lvlJc w:val="left"/>
      <w:pPr>
        <w:ind w:left="2262" w:hanging="360"/>
      </w:pPr>
      <w:rPr>
        <w:rFonts w:hint="default"/>
      </w:rPr>
    </w:lvl>
    <w:lvl w:ilvl="3" w:tplc="6EB8F512"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740C641E"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5ECC1E5E">
      <w:numFmt w:val="bullet"/>
      <w:lvlText w:val="•"/>
      <w:lvlJc w:val="left"/>
      <w:pPr>
        <w:ind w:left="4905" w:hanging="360"/>
      </w:pPr>
      <w:rPr>
        <w:rFonts w:hint="default"/>
      </w:rPr>
    </w:lvl>
    <w:lvl w:ilvl="6" w:tplc="6DA0EEF8">
      <w:numFmt w:val="bullet"/>
      <w:lvlText w:val="•"/>
      <w:lvlJc w:val="left"/>
      <w:pPr>
        <w:ind w:left="5786" w:hanging="360"/>
      </w:pPr>
      <w:rPr>
        <w:rFonts w:hint="default"/>
      </w:rPr>
    </w:lvl>
    <w:lvl w:ilvl="7" w:tplc="289E8FF6">
      <w:numFmt w:val="bullet"/>
      <w:lvlText w:val="•"/>
      <w:lvlJc w:val="left"/>
      <w:pPr>
        <w:ind w:left="6667" w:hanging="360"/>
      </w:pPr>
      <w:rPr>
        <w:rFonts w:hint="default"/>
      </w:rPr>
    </w:lvl>
    <w:lvl w:ilvl="8" w:tplc="600AD910">
      <w:numFmt w:val="bullet"/>
      <w:lvlText w:val="•"/>
      <w:lvlJc w:val="left"/>
      <w:pPr>
        <w:ind w:left="7548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727FF"/>
    <w:rsid w:val="000A1410"/>
    <w:rsid w:val="0043457F"/>
    <w:rsid w:val="005329CB"/>
    <w:rsid w:val="00575377"/>
    <w:rsid w:val="005E418B"/>
    <w:rsid w:val="00656D5D"/>
    <w:rsid w:val="00697F36"/>
    <w:rsid w:val="007B4E84"/>
    <w:rsid w:val="008727FF"/>
    <w:rsid w:val="008B0A75"/>
    <w:rsid w:val="00982BEB"/>
    <w:rsid w:val="00B07EF3"/>
    <w:rsid w:val="00D0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727FF"/>
    <w:rPr>
      <w:rFonts w:ascii="Arial" w:eastAsia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B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27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727FF"/>
    <w:rPr>
      <w:sz w:val="21"/>
      <w:szCs w:val="21"/>
    </w:rPr>
  </w:style>
  <w:style w:type="paragraph" w:customStyle="1" w:styleId="Heading1">
    <w:name w:val="Heading 1"/>
    <w:basedOn w:val="Normalny"/>
    <w:uiPriority w:val="1"/>
    <w:qFormat/>
    <w:rsid w:val="008727FF"/>
    <w:pPr>
      <w:spacing w:before="107"/>
      <w:ind w:left="2067" w:right="2157"/>
      <w:jc w:val="center"/>
      <w:outlineLvl w:val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8727FF"/>
    <w:pPr>
      <w:spacing w:before="116"/>
      <w:ind w:left="900" w:hanging="355"/>
      <w:jc w:val="both"/>
    </w:pPr>
  </w:style>
  <w:style w:type="paragraph" w:customStyle="1" w:styleId="TableParagraph">
    <w:name w:val="Table Paragraph"/>
    <w:basedOn w:val="Normalny"/>
    <w:uiPriority w:val="1"/>
    <w:qFormat/>
    <w:rsid w:val="008727FF"/>
  </w:style>
  <w:style w:type="character" w:customStyle="1" w:styleId="Nagwek1Znak">
    <w:name w:val="Nagłówek 1 Znak"/>
    <w:basedOn w:val="Domylnaczcionkaakapitu"/>
    <w:link w:val="Nagwek1"/>
    <w:uiPriority w:val="9"/>
    <w:rsid w:val="0098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1067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umelja04</cp:lastModifiedBy>
  <cp:revision>5</cp:revision>
  <dcterms:created xsi:type="dcterms:W3CDTF">2021-03-09T15:37:00Z</dcterms:created>
  <dcterms:modified xsi:type="dcterms:W3CDTF">2021-03-30T07:48:00Z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2021-03-09T00:00:00Z</vt:filetime>
  </property>
</Properties>
</file>