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2C" w:rsidRDefault="007E42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1363) oraz na podstawie art. 49 § 1 ustawy z dnia 14 czerwca 1960 r. - Kodeks postępowania administracyjnego (jednolity tekst: Dz. U. z 2020 r., poz. 256 ze zmianami)</w:t>
      </w:r>
    </w:p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7E422C" w:rsidRDefault="007E422C">
      <w:pPr>
        <w:pStyle w:val="BodyText2"/>
        <w:jc w:val="both"/>
        <w:rPr>
          <w:color w:val="auto"/>
          <w:sz w:val="18"/>
          <w:szCs w:val="18"/>
        </w:rPr>
      </w:pPr>
    </w:p>
    <w:p w:rsidR="007E422C" w:rsidRDefault="007E422C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color w:val="auto"/>
        </w:rPr>
        <w:t>05.03.2021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nr </w:t>
      </w:r>
      <w:r>
        <w:rPr>
          <w:b/>
          <w:bCs/>
          <w:color w:val="auto"/>
        </w:rPr>
        <w:t>728/2021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o zezwoleniu na realizację inwestycji drogowej, na rzecz Prezydenta Wrocławia, </w:t>
      </w:r>
      <w:bookmarkStart w:id="0" w:name="OLE_LINK18"/>
      <w:bookmarkStart w:id="1" w:name="OLE_LINK20"/>
      <w:r>
        <w:rPr>
          <w:color w:val="auto"/>
          <w:sz w:val="18"/>
          <w:szCs w:val="18"/>
        </w:rPr>
        <w:t xml:space="preserve">dla zadania pod nazwą </w:t>
      </w:r>
      <w:bookmarkEnd w:id="0"/>
      <w:bookmarkEnd w:id="1"/>
      <w:r>
        <w:rPr>
          <w:color w:val="auto"/>
          <w:sz w:val="18"/>
          <w:szCs w:val="18"/>
        </w:rPr>
        <w:t xml:space="preserve">„Rozbudowa </w:t>
      </w:r>
      <w:r>
        <w:rPr>
          <w:color w:val="auto"/>
          <w:sz w:val="18"/>
          <w:szCs w:val="18"/>
        </w:rPr>
        <w:br/>
        <w:t xml:space="preserve">ul. Awicenny w zakresie budowy przejścia dla pieszych, przejazdu dla rowerów, ścieżki rowerowej wraz z budową kanalizacji MKT na odcinku od ul. Pińskiej do ul. Trawowej we Wrocławiu”, której to decyzji </w:t>
      </w:r>
      <w:r>
        <w:rPr>
          <w:b/>
          <w:bCs/>
          <w:color w:val="auto"/>
          <w:sz w:val="18"/>
          <w:szCs w:val="18"/>
        </w:rPr>
        <w:t>nadano rygor natychmiastowej wykonalności</w:t>
      </w:r>
      <w:r>
        <w:rPr>
          <w:color w:val="auto"/>
          <w:sz w:val="18"/>
          <w:szCs w:val="18"/>
        </w:rPr>
        <w:t>.</w:t>
      </w:r>
    </w:p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7E422C" w:rsidRDefault="007E422C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097"/>
        <w:gridCol w:w="567"/>
        <w:gridCol w:w="1559"/>
        <w:gridCol w:w="1843"/>
        <w:gridCol w:w="1980"/>
        <w:gridCol w:w="1701"/>
      </w:tblGrid>
      <w:tr w:rsidR="007E422C">
        <w:trPr>
          <w:cantSplit/>
        </w:trPr>
        <w:tc>
          <w:tcPr>
            <w:tcW w:w="0" w:type="auto"/>
            <w:vMerge w:val="restart"/>
            <w:vAlign w:val="center"/>
          </w:tcPr>
          <w:p w:rsidR="007E422C" w:rsidRDefault="007E422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999" w:type="dxa"/>
            <w:vMerge w:val="restart"/>
            <w:vAlign w:val="center"/>
          </w:tcPr>
          <w:p w:rsidR="007E422C" w:rsidRDefault="007E422C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vMerge w:val="restart"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402" w:type="dxa"/>
            <w:gridSpan w:val="2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681" w:type="dxa"/>
            <w:gridSpan w:val="2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7E422C">
        <w:trPr>
          <w:cantSplit/>
        </w:trPr>
        <w:tc>
          <w:tcPr>
            <w:tcW w:w="0" w:type="auto"/>
            <w:vMerge/>
            <w:vAlign w:val="center"/>
          </w:tcPr>
          <w:p w:rsidR="007E422C" w:rsidRDefault="007E422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7E422C" w:rsidRDefault="007E422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E422C" w:rsidRDefault="007E422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43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980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701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7E422C">
        <w:trPr>
          <w:cantSplit/>
        </w:trPr>
        <w:tc>
          <w:tcPr>
            <w:tcW w:w="0" w:type="auto"/>
            <w:vMerge w:val="restart"/>
            <w:vAlign w:val="center"/>
          </w:tcPr>
          <w:p w:rsidR="007E422C" w:rsidRDefault="007E422C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:rsidR="007E422C" w:rsidRDefault="007E4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Muchobór Wielki</w:t>
            </w:r>
          </w:p>
        </w:tc>
        <w:tc>
          <w:tcPr>
            <w:tcW w:w="567" w:type="dxa"/>
            <w:vMerge w:val="restart"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7E422C" w:rsidRDefault="007E4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0.0086</w:t>
            </w:r>
          </w:p>
        </w:tc>
        <w:tc>
          <w:tcPr>
            <w:tcW w:w="1980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1701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</w:t>
            </w:r>
          </w:p>
        </w:tc>
      </w:tr>
      <w:tr w:rsidR="007E422C">
        <w:trPr>
          <w:cantSplit/>
        </w:trPr>
        <w:tc>
          <w:tcPr>
            <w:tcW w:w="0" w:type="auto"/>
            <w:vMerge/>
            <w:vAlign w:val="center"/>
          </w:tcPr>
          <w:p w:rsidR="007E422C" w:rsidRDefault="007E422C">
            <w:pPr>
              <w:pStyle w:val="11Trescpisma"/>
              <w:numPr>
                <w:ilvl w:val="0"/>
                <w:numId w:val="5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1701" w:type="dxa"/>
          </w:tcPr>
          <w:p w:rsidR="007E422C" w:rsidRDefault="007E422C">
            <w:pPr>
              <w:pStyle w:val="11Trescpisma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0.0074</w:t>
            </w:r>
          </w:p>
        </w:tc>
      </w:tr>
    </w:tbl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obejmują: </w:t>
      </w:r>
    </w:p>
    <w:p w:rsidR="007E422C" w:rsidRDefault="007E422C">
      <w:pPr>
        <w:pStyle w:val="BodyText2"/>
        <w:rPr>
          <w:b/>
          <w:bCs/>
        </w:rPr>
      </w:pPr>
    </w:p>
    <w:p w:rsidR="007E422C" w:rsidRDefault="007E422C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Linie rozgraniczające teren, obejmujące nieruchomości lub ich części przeznaczone na pas drogowy: działki nr </w:t>
      </w:r>
      <w:r>
        <w:rPr>
          <w:b/>
          <w:bCs/>
          <w:color w:val="auto"/>
          <w:sz w:val="18"/>
          <w:szCs w:val="18"/>
        </w:rPr>
        <w:t>2/1</w:t>
      </w:r>
      <w:r>
        <w:rPr>
          <w:color w:val="auto"/>
          <w:sz w:val="18"/>
          <w:szCs w:val="18"/>
        </w:rPr>
        <w:t xml:space="preserve"> (przed podziałem 2), </w:t>
      </w:r>
      <w:r>
        <w:rPr>
          <w:b/>
          <w:bCs/>
          <w:color w:val="auto"/>
          <w:sz w:val="18"/>
          <w:szCs w:val="18"/>
        </w:rPr>
        <w:t>13</w:t>
      </w:r>
      <w:r>
        <w:rPr>
          <w:color w:val="auto"/>
          <w:sz w:val="18"/>
          <w:szCs w:val="18"/>
        </w:rPr>
        <w:t>,</w:t>
      </w:r>
      <w:r>
        <w:rPr>
          <w:b/>
          <w:bCs/>
          <w:color w:val="auto"/>
          <w:sz w:val="18"/>
          <w:szCs w:val="18"/>
        </w:rPr>
        <w:t xml:space="preserve"> 19</w:t>
      </w:r>
      <w:r>
        <w:rPr>
          <w:color w:val="auto"/>
          <w:sz w:val="18"/>
          <w:szCs w:val="18"/>
        </w:rPr>
        <w:t xml:space="preserve"> AM-20 obręb Muchobór Wielki,</w:t>
      </w:r>
    </w:p>
    <w:p w:rsidR="007E422C" w:rsidRDefault="007E422C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7E422C" w:rsidRDefault="007E422C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Tereny niezbędne dla realizacji obiektów i robót budowlanych, na których roboty będą prowadzone na podstawie oświadczenia o posiadanym prawie do dysponowania nieruchomościami na cele budowlane: działki nr </w:t>
      </w:r>
      <w:r>
        <w:rPr>
          <w:b/>
          <w:bCs/>
          <w:color w:val="auto"/>
          <w:sz w:val="18"/>
          <w:szCs w:val="18"/>
        </w:rPr>
        <w:t>1</w:t>
      </w:r>
      <w:r>
        <w:rPr>
          <w:color w:val="auto"/>
          <w:sz w:val="18"/>
          <w:szCs w:val="18"/>
        </w:rPr>
        <w:t xml:space="preserve">, </w:t>
      </w:r>
      <w:r>
        <w:rPr>
          <w:b/>
          <w:bCs/>
          <w:color w:val="auto"/>
          <w:sz w:val="18"/>
          <w:szCs w:val="18"/>
        </w:rPr>
        <w:t>12</w:t>
      </w:r>
      <w:r>
        <w:rPr>
          <w:color w:val="auto"/>
          <w:sz w:val="18"/>
          <w:szCs w:val="18"/>
        </w:rPr>
        <w:t xml:space="preserve"> AM-20 obręb Muchobór Wielki.</w:t>
      </w:r>
    </w:p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Następujące nieruchomości lub ich części</w:t>
      </w:r>
      <w:r>
        <w:rPr>
          <w:sz w:val="18"/>
          <w:szCs w:val="18"/>
        </w:rPr>
        <w:t>, według katastru nieruchomości,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stają się własnością </w:t>
      </w:r>
      <w:r>
        <w:rPr>
          <w:b/>
          <w:bCs/>
          <w:sz w:val="18"/>
          <w:szCs w:val="18"/>
        </w:rPr>
        <w:t>Gminy Wrocław</w:t>
      </w:r>
      <w:r>
        <w:rPr>
          <w:sz w:val="18"/>
          <w:szCs w:val="18"/>
        </w:rPr>
        <w:t xml:space="preserve">, z dniem uzyskania przez ww. decyzję waloru ostateczności: </w:t>
      </w:r>
    </w:p>
    <w:p w:rsidR="007E422C" w:rsidRDefault="007E422C">
      <w:pPr>
        <w:jc w:val="both"/>
        <w:rPr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2134"/>
        <w:gridCol w:w="567"/>
        <w:gridCol w:w="1701"/>
        <w:gridCol w:w="1701"/>
        <w:gridCol w:w="2551"/>
      </w:tblGrid>
      <w:tr w:rsidR="007E422C">
        <w:trPr>
          <w:cantSplit/>
          <w:tblHeader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422C" w:rsidRDefault="007E422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22C" w:rsidRDefault="007E422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22C" w:rsidRDefault="007E422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E422C" w:rsidRDefault="007E4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Powierzchnia </w:t>
            </w:r>
          </w:p>
        </w:tc>
      </w:tr>
      <w:tr w:rsidR="007E422C">
        <w:trPr>
          <w:cantSplit/>
          <w:tblHeader/>
        </w:trPr>
        <w:tc>
          <w:tcPr>
            <w:tcW w:w="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pStyle w:val="12Zwyrazamiszacunku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2C" w:rsidRDefault="007E4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422C" w:rsidRDefault="007E4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[ha]</w:t>
            </w:r>
          </w:p>
        </w:tc>
      </w:tr>
      <w:tr w:rsidR="007E422C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2C" w:rsidRDefault="007E422C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2C" w:rsidRDefault="007E422C">
            <w:r>
              <w:rPr>
                <w:sz w:val="18"/>
                <w:szCs w:val="18"/>
              </w:rPr>
              <w:t>Muchobór Wielki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2C" w:rsidRDefault="007E422C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2C" w:rsidRDefault="007E4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2C" w:rsidRDefault="007E42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422C" w:rsidRDefault="007E4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</w:t>
            </w:r>
          </w:p>
        </w:tc>
      </w:tr>
    </w:tbl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bookmarkStart w:id="2" w:name="_Hlk49972569"/>
      <w:r>
        <w:rPr>
          <w:sz w:val="18"/>
          <w:szCs w:val="18"/>
        </w:rPr>
        <w:t xml:space="preserve">Jeżeli przeznaczona na pas drogowy nieruchomość gruntowa stanowiąca własność Skarbu Państwa albo jednostki samorządu terytorialnego została oddana w </w:t>
      </w:r>
      <w:r>
        <w:rPr>
          <w:b/>
          <w:bCs/>
          <w:sz w:val="18"/>
          <w:szCs w:val="18"/>
        </w:rPr>
        <w:t>użytkowanie wieczyste</w:t>
      </w:r>
      <w:r>
        <w:rPr>
          <w:sz w:val="18"/>
          <w:szCs w:val="18"/>
        </w:rPr>
        <w:t xml:space="preserve">, użytkowanie to wygasa z dniem, w którym decyzja o zezwoleniu na realizację inwestycji drogowej stała się ostateczna </w:t>
      </w:r>
      <w:bookmarkStart w:id="3" w:name="OLE_LINK14"/>
      <w:r>
        <w:rPr>
          <w:sz w:val="18"/>
          <w:szCs w:val="18"/>
        </w:rPr>
        <w:t xml:space="preserve">(art. 12 ust. 4d ustawy </w:t>
      </w:r>
      <w:r>
        <w:rPr>
          <w:i/>
          <w:iCs/>
          <w:sz w:val="18"/>
          <w:szCs w:val="18"/>
        </w:rPr>
        <w:t xml:space="preserve">o szczególnych zasadach przygotowania i realizacji inwestycji </w:t>
      </w:r>
      <w:r>
        <w:rPr>
          <w:i/>
          <w:iCs/>
          <w:sz w:val="18"/>
          <w:szCs w:val="18"/>
        </w:rPr>
        <w:br/>
        <w:t>w zakresie dróg publicznych</w:t>
      </w:r>
      <w:r>
        <w:rPr>
          <w:sz w:val="18"/>
          <w:szCs w:val="18"/>
        </w:rPr>
        <w:t>)</w:t>
      </w:r>
      <w:bookmarkEnd w:id="3"/>
      <w:r>
        <w:rPr>
          <w:sz w:val="18"/>
          <w:szCs w:val="18"/>
        </w:rPr>
        <w:t>.</w:t>
      </w:r>
    </w:p>
    <w:bookmarkEnd w:id="2"/>
    <w:p w:rsidR="007E422C" w:rsidRDefault="007E422C">
      <w:pPr>
        <w:jc w:val="both"/>
        <w:rPr>
          <w:b/>
          <w:bCs/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10.03.2021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7E422C" w:rsidRDefault="007E422C">
      <w:pPr>
        <w:jc w:val="both"/>
        <w:rPr>
          <w:sz w:val="18"/>
          <w:szCs w:val="18"/>
        </w:rPr>
      </w:pP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7E422C" w:rsidRDefault="007E422C">
      <w:pPr>
        <w:jc w:val="both"/>
        <w:rPr>
          <w:sz w:val="18"/>
          <w:szCs w:val="18"/>
        </w:rPr>
      </w:pPr>
      <w:r>
        <w:rPr>
          <w:sz w:val="18"/>
          <w:szCs w:val="18"/>
        </w:rPr>
        <w:t>D-ZRID-13802-2020-Ibn Siny Awicenny</w:t>
      </w:r>
    </w:p>
    <w:p w:rsidR="007E422C" w:rsidRDefault="007E422C">
      <w:pPr>
        <w:jc w:val="both"/>
        <w:rPr>
          <w:sz w:val="18"/>
          <w:szCs w:val="18"/>
        </w:rPr>
      </w:pPr>
      <w:bookmarkStart w:id="4" w:name="_GoBack"/>
      <w:bookmarkEnd w:id="4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up. PREZYDENTA</w:t>
      </w:r>
    </w:p>
    <w:p w:rsidR="007E422C" w:rsidRDefault="007E422C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>Piotr Fokczyński</w:t>
      </w:r>
    </w:p>
    <w:p w:rsidR="007E422C" w:rsidRDefault="007E422C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>Dyrektor Wydziału</w:t>
      </w:r>
    </w:p>
    <w:p w:rsidR="007E422C" w:rsidRDefault="007E422C">
      <w:pPr>
        <w:ind w:left="4963" w:firstLine="709"/>
        <w:jc w:val="both"/>
        <w:rPr>
          <w:sz w:val="18"/>
          <w:szCs w:val="18"/>
        </w:rPr>
      </w:pPr>
      <w:r>
        <w:rPr>
          <w:sz w:val="18"/>
          <w:szCs w:val="18"/>
        </w:rPr>
        <w:t>Architektury i Budownictwa</w:t>
      </w:r>
    </w:p>
    <w:p w:rsidR="007E422C" w:rsidRDefault="007E422C">
      <w:pPr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Architekt Miasta</w:t>
      </w:r>
    </w:p>
    <w:sectPr w:rsidR="007E422C" w:rsidSect="007E422C">
      <w:footerReference w:type="default" r:id="rId7"/>
      <w:footerReference w:type="first" r:id="rId8"/>
      <w:pgSz w:w="11906" w:h="16838" w:code="9"/>
      <w:pgMar w:top="1134" w:right="1418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22C" w:rsidRDefault="007E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7E422C" w:rsidRDefault="007E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2C" w:rsidRDefault="007E422C">
    <w:pPr>
      <w:pStyle w:val="Footer"/>
      <w:rPr>
        <w:rFonts w:ascii="Times New Roman" w:hAnsi="Times New Roman" w:cs="Times New Roman"/>
        <w:sz w:val="14"/>
        <w:szCs w:val="14"/>
      </w:rPr>
    </w:pPr>
  </w:p>
  <w:p w:rsidR="007E422C" w:rsidRDefault="007E422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2C" w:rsidRDefault="007E422C">
    <w:pPr>
      <w:pStyle w:val="Footer"/>
      <w:rPr>
        <w:rFonts w:ascii="Times New Roman" w:hAnsi="Times New Roman" w:cs="Times New Roman"/>
        <w:sz w:val="8"/>
        <w:szCs w:val="8"/>
      </w:rPr>
    </w:pPr>
  </w:p>
  <w:p w:rsidR="007E422C" w:rsidRDefault="007E422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22C" w:rsidRDefault="007E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7E422C" w:rsidRDefault="007E4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E142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AF5CCF"/>
    <w:multiLevelType w:val="hybridMultilevel"/>
    <w:tmpl w:val="6AE8D66E"/>
    <w:lvl w:ilvl="0" w:tplc="A69E9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90335F2"/>
    <w:multiLevelType w:val="hybridMultilevel"/>
    <w:tmpl w:val="7BBC80B6"/>
    <w:lvl w:ilvl="0" w:tplc="86445A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5D4099"/>
    <w:multiLevelType w:val="hybridMultilevel"/>
    <w:tmpl w:val="EE0CC508"/>
    <w:lvl w:ilvl="0" w:tplc="3E6A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6D32B86"/>
    <w:multiLevelType w:val="hybridMultilevel"/>
    <w:tmpl w:val="77F4628A"/>
    <w:lvl w:ilvl="0" w:tplc="3DC2A86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001572"/>
    <w:multiLevelType w:val="hybridMultilevel"/>
    <w:tmpl w:val="CB040636"/>
    <w:lvl w:ilvl="0" w:tplc="DEE22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29B8214E"/>
    <w:multiLevelType w:val="hybridMultilevel"/>
    <w:tmpl w:val="C178D0C6"/>
    <w:lvl w:ilvl="0" w:tplc="E63C4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7B0215"/>
    <w:multiLevelType w:val="hybridMultilevel"/>
    <w:tmpl w:val="128AA4CE"/>
    <w:lvl w:ilvl="0" w:tplc="F110A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E242C7F"/>
    <w:multiLevelType w:val="hybridMultilevel"/>
    <w:tmpl w:val="9F44A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42712F39"/>
    <w:multiLevelType w:val="hybridMultilevel"/>
    <w:tmpl w:val="C406A628"/>
    <w:lvl w:ilvl="0" w:tplc="BCEE747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2304B10"/>
    <w:multiLevelType w:val="hybridMultilevel"/>
    <w:tmpl w:val="F85ED5A0"/>
    <w:lvl w:ilvl="0" w:tplc="517A2D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70D86730"/>
    <w:multiLevelType w:val="hybridMultilevel"/>
    <w:tmpl w:val="B88AF942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50B74E1"/>
    <w:multiLevelType w:val="hybridMultilevel"/>
    <w:tmpl w:val="4F168512"/>
    <w:lvl w:ilvl="0" w:tplc="11E2832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CE83337"/>
    <w:multiLevelType w:val="hybridMultilevel"/>
    <w:tmpl w:val="2B6E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18"/>
  </w:num>
  <w:num w:numId="7">
    <w:abstractNumId w:val="5"/>
  </w:num>
  <w:num w:numId="8">
    <w:abstractNumId w:val="19"/>
  </w:num>
  <w:num w:numId="9">
    <w:abstractNumId w:val="13"/>
  </w:num>
  <w:num w:numId="10">
    <w:abstractNumId w:val="2"/>
  </w:num>
  <w:num w:numId="11">
    <w:abstractNumId w:val="16"/>
  </w:num>
  <w:num w:numId="12">
    <w:abstractNumId w:val="6"/>
  </w:num>
  <w:num w:numId="13">
    <w:abstractNumId w:val="15"/>
  </w:num>
  <w:num w:numId="14">
    <w:abstractNumId w:val="3"/>
  </w:num>
  <w:num w:numId="15">
    <w:abstractNumId w:val="17"/>
  </w:num>
  <w:num w:numId="16">
    <w:abstractNumId w:val="10"/>
  </w:num>
  <w:num w:numId="17">
    <w:abstractNumId w:val="14"/>
  </w:num>
  <w:num w:numId="18">
    <w:abstractNumId w:val="20"/>
  </w:num>
  <w:num w:numId="19">
    <w:abstractNumId w:val="22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22C"/>
    <w:rsid w:val="007E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22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22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22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22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22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3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3</cp:revision>
  <cp:lastPrinted>2021-03-02T09:21:00Z</cp:lastPrinted>
  <dcterms:created xsi:type="dcterms:W3CDTF">2021-03-02T09:21:00Z</dcterms:created>
  <dcterms:modified xsi:type="dcterms:W3CDTF">2021-03-05T12:53:00Z</dcterms:modified>
</cp:coreProperties>
</file>