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C4" w:rsidRPr="00D13470" w:rsidRDefault="002B49C4" w:rsidP="00D1347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Uchwała nr </w:t>
      </w:r>
      <w:r w:rsidR="00D13470" w:rsidRPr="00D13470">
        <w:rPr>
          <w:rFonts w:ascii="Verdana" w:hAnsi="Verdana"/>
          <w:sz w:val="22"/>
          <w:szCs w:val="22"/>
        </w:rPr>
        <w:t>15</w:t>
      </w:r>
      <w:r w:rsidRPr="00D13470">
        <w:rPr>
          <w:rFonts w:ascii="Verdana" w:hAnsi="Verdana"/>
          <w:sz w:val="22"/>
          <w:szCs w:val="22"/>
        </w:rPr>
        <w:t>/17</w:t>
      </w:r>
    </w:p>
    <w:p w:rsidR="002B49C4" w:rsidRPr="00D13470" w:rsidRDefault="002B49C4" w:rsidP="00D1347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Zwyczajnego Zgromadzenia Wspólników </w:t>
      </w:r>
      <w:r w:rsidRPr="00D13470">
        <w:rPr>
          <w:rFonts w:ascii="Verdana" w:hAnsi="Verdana"/>
          <w:sz w:val="22"/>
          <w:szCs w:val="22"/>
        </w:rPr>
        <w:br/>
        <w:t>SPECJALISTYCZNY ZAKŁAD PROFILAKTYCZNO-LECZNICZY PROVITA</w:t>
      </w:r>
    </w:p>
    <w:p w:rsidR="002B49C4" w:rsidRPr="00D13470" w:rsidRDefault="002B49C4" w:rsidP="00D1347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spółka z ograniczoną odpowiedzialnością</w:t>
      </w:r>
    </w:p>
    <w:p w:rsidR="002B49C4" w:rsidRPr="00D13470" w:rsidRDefault="002B49C4" w:rsidP="00D1347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z siedzibą we Wrocławiu</w:t>
      </w:r>
      <w:r w:rsidRPr="00D13470">
        <w:rPr>
          <w:rFonts w:ascii="Verdana" w:hAnsi="Verdana"/>
          <w:sz w:val="22"/>
          <w:szCs w:val="22"/>
        </w:rPr>
        <w:br/>
        <w:t>z dnia 26 maja 2017 roku</w:t>
      </w:r>
    </w:p>
    <w:p w:rsidR="002B49C4" w:rsidRPr="00D13470" w:rsidRDefault="002B49C4" w:rsidP="00A441E0">
      <w:pPr>
        <w:spacing w:before="100" w:beforeAutospacing="1" w:after="100" w:afterAutospacing="1" w:line="360" w:lineRule="auto"/>
        <w:rPr>
          <w:rFonts w:ascii="Verdana" w:hAnsi="Verdana" w:cs="Arial"/>
          <w:b/>
          <w:sz w:val="22"/>
          <w:szCs w:val="22"/>
        </w:rPr>
      </w:pPr>
      <w:r w:rsidRPr="00D13470">
        <w:rPr>
          <w:rFonts w:ascii="Verdana" w:hAnsi="Verdana" w:cs="Arial"/>
          <w:b/>
          <w:sz w:val="22"/>
          <w:szCs w:val="22"/>
        </w:rPr>
        <w:t>w sprawie zasad kształtowania wynagrodzeń Członków Zarządu</w:t>
      </w:r>
    </w:p>
    <w:p w:rsidR="00D13470" w:rsidRPr="00C85844" w:rsidRDefault="00D13470" w:rsidP="00A441E0">
      <w:pPr>
        <w:spacing w:after="100" w:afterAutospacing="1" w:line="360" w:lineRule="auto"/>
        <w:rPr>
          <w:rFonts w:ascii="Verdana" w:hAnsi="Verdana"/>
          <w:bCs/>
          <w:sz w:val="22"/>
          <w:szCs w:val="22"/>
        </w:rPr>
      </w:pPr>
      <w:r w:rsidRPr="00C85844">
        <w:rPr>
          <w:rFonts w:ascii="Verdana" w:hAnsi="Verdana"/>
          <w:bCs/>
          <w:sz w:val="22"/>
          <w:szCs w:val="22"/>
        </w:rPr>
        <w:t>Załącznik nr 10 do Protokołu nr 1/17z dnia 26 maja 2017 r.</w:t>
      </w:r>
    </w:p>
    <w:p w:rsidR="002B49C4" w:rsidRPr="00D13470" w:rsidRDefault="002B49C4" w:rsidP="00D13470">
      <w:pPr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Na podstawie art. 2 ust. 2 </w:t>
      </w:r>
      <w:proofErr w:type="spellStart"/>
      <w:r w:rsidRPr="00D13470">
        <w:rPr>
          <w:rFonts w:ascii="Verdana" w:hAnsi="Verdana"/>
          <w:sz w:val="22"/>
          <w:szCs w:val="22"/>
        </w:rPr>
        <w:t>pkt</w:t>
      </w:r>
      <w:proofErr w:type="spellEnd"/>
      <w:r w:rsidRPr="00D13470">
        <w:rPr>
          <w:rFonts w:ascii="Verdana" w:hAnsi="Verdana"/>
          <w:sz w:val="22"/>
          <w:szCs w:val="22"/>
        </w:rPr>
        <w:t xml:space="preserve"> 1, art. 4, art. 5, art. 6, art. 7 ustawy z dnia </w:t>
      </w:r>
      <w:r w:rsidRPr="00D13470">
        <w:rPr>
          <w:rFonts w:ascii="Verdana" w:hAnsi="Verdana"/>
          <w:sz w:val="22"/>
          <w:szCs w:val="22"/>
        </w:rPr>
        <w:br/>
        <w:t>9 czerwca 2016 r. o zasadach kształtowania wynagrodzeń osób kierujących niektórymi spółkami (</w:t>
      </w:r>
      <w:proofErr w:type="spellStart"/>
      <w:r w:rsidRPr="00D13470">
        <w:rPr>
          <w:rFonts w:ascii="Verdana" w:hAnsi="Verdana"/>
          <w:sz w:val="22"/>
          <w:szCs w:val="22"/>
        </w:rPr>
        <w:t>Dz.U</w:t>
      </w:r>
      <w:proofErr w:type="spellEnd"/>
      <w:r w:rsidRPr="00D13470">
        <w:rPr>
          <w:rFonts w:ascii="Verdana" w:hAnsi="Verdana"/>
          <w:sz w:val="22"/>
          <w:szCs w:val="22"/>
        </w:rPr>
        <w:t xml:space="preserve">. z 2016 r. poz. 1202 i 2260) oraz § 30 </w:t>
      </w:r>
      <w:proofErr w:type="spellStart"/>
      <w:r w:rsidRPr="00D13470">
        <w:rPr>
          <w:rFonts w:ascii="Verdana" w:hAnsi="Verdana"/>
          <w:sz w:val="22"/>
          <w:szCs w:val="22"/>
        </w:rPr>
        <w:t>pkt</w:t>
      </w:r>
      <w:proofErr w:type="spellEnd"/>
      <w:r w:rsidRPr="00D13470">
        <w:rPr>
          <w:rFonts w:ascii="Verdana" w:hAnsi="Verdana"/>
          <w:sz w:val="22"/>
          <w:szCs w:val="22"/>
        </w:rPr>
        <w:t xml:space="preserve"> 18 aktu założycielskiego spółki z ograniczoną odpowiedzialnością z dnia 29 grudnia 2015 r. (</w:t>
      </w:r>
      <w:r w:rsidRPr="00D13470">
        <w:rPr>
          <w:rFonts w:ascii="Verdana" w:hAnsi="Verdana" w:cs="Arial"/>
          <w:sz w:val="22"/>
          <w:szCs w:val="22"/>
        </w:rPr>
        <w:t xml:space="preserve">w brzmieniu tekstu jednolitego z dnia 28 marca 2017 roku – uchwała nr 7/I/2017 Zarządu  </w:t>
      </w:r>
      <w:r w:rsidRPr="00D13470">
        <w:rPr>
          <w:rFonts w:ascii="Verdana" w:hAnsi="Verdana"/>
          <w:sz w:val="22"/>
          <w:szCs w:val="22"/>
        </w:rPr>
        <w:t>SPECJALISTYCZNEGO ZAKŁADU PROFILAKTYCZNO-LECZNICZEGO PROVITA</w:t>
      </w:r>
      <w:r w:rsidRPr="00D13470">
        <w:rPr>
          <w:rFonts w:ascii="Verdana" w:hAnsi="Verdana" w:cs="Arial"/>
          <w:sz w:val="22"/>
          <w:szCs w:val="22"/>
        </w:rPr>
        <w:t xml:space="preserve"> Sp. z o.o.</w:t>
      </w:r>
      <w:r w:rsidRPr="00D13470">
        <w:rPr>
          <w:rFonts w:ascii="Verdana" w:hAnsi="Verdana"/>
          <w:sz w:val="22"/>
          <w:szCs w:val="22"/>
        </w:rPr>
        <w:t>)</w:t>
      </w:r>
      <w:r w:rsidRPr="00D13470">
        <w:rPr>
          <w:rFonts w:ascii="Verdana" w:hAnsi="Verdana"/>
          <w:bCs/>
          <w:sz w:val="22"/>
          <w:szCs w:val="22"/>
        </w:rPr>
        <w:t>,</w:t>
      </w:r>
      <w:r w:rsidRPr="00D13470">
        <w:rPr>
          <w:rFonts w:ascii="Verdana" w:hAnsi="Verdana"/>
          <w:sz w:val="22"/>
          <w:szCs w:val="22"/>
        </w:rPr>
        <w:t xml:space="preserve"> Zwyczajne Zgromadzenie Wspólników uchwala, co następuje:</w:t>
      </w:r>
    </w:p>
    <w:p w:rsidR="002B49C4" w:rsidRPr="00D13470" w:rsidRDefault="002B49C4" w:rsidP="00D13470">
      <w:pPr>
        <w:spacing w:before="120" w:after="120" w:line="360" w:lineRule="auto"/>
        <w:ind w:left="567" w:hanging="567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 </w:t>
      </w:r>
      <w:r w:rsidRPr="00D13470">
        <w:rPr>
          <w:rFonts w:ascii="Verdana" w:hAnsi="Verdana"/>
          <w:bCs/>
          <w:sz w:val="22"/>
          <w:szCs w:val="22"/>
        </w:rPr>
        <w:t>§ 1</w:t>
      </w:r>
    </w:p>
    <w:p w:rsidR="002B49C4" w:rsidRPr="00D13470" w:rsidRDefault="002B49C4" w:rsidP="00D13470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2B49C4" w:rsidRPr="00D13470" w:rsidRDefault="002B49C4" w:rsidP="00D13470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D13470">
        <w:rPr>
          <w:rFonts w:ascii="Verdana" w:hAnsi="Verdana"/>
          <w:sz w:val="22"/>
          <w:szCs w:val="22"/>
        </w:rPr>
        <w:t>stawie z dnia 9 czerwca 2016 r. o zasadach kształtowania wynagrodzeń osób kierujących niektórymi spółkami (</w:t>
      </w:r>
      <w:proofErr w:type="spellStart"/>
      <w:r w:rsidRPr="00D13470">
        <w:rPr>
          <w:rFonts w:ascii="Verdana" w:hAnsi="Verdana"/>
          <w:sz w:val="22"/>
          <w:szCs w:val="22"/>
        </w:rPr>
        <w:t>Dz.U</w:t>
      </w:r>
      <w:proofErr w:type="spellEnd"/>
      <w:r w:rsidRPr="00D13470">
        <w:rPr>
          <w:rFonts w:ascii="Verdana" w:hAnsi="Verdana"/>
          <w:sz w:val="22"/>
          <w:szCs w:val="22"/>
        </w:rPr>
        <w:t>. z 2016 r. poz. 1202 i 2260) („Ustawa”)</w:t>
      </w:r>
      <w:r w:rsidRPr="00D13470">
        <w:rPr>
          <w:rFonts w:ascii="Verdana" w:hAnsi="Verdana"/>
          <w:bCs/>
          <w:sz w:val="22"/>
          <w:szCs w:val="22"/>
        </w:rPr>
        <w:t xml:space="preserve"> </w:t>
      </w:r>
      <w:r w:rsidRPr="00D13470">
        <w:rPr>
          <w:rFonts w:ascii="Verdana" w:hAnsi="Verdana"/>
          <w:sz w:val="22"/>
          <w:szCs w:val="22"/>
        </w:rPr>
        <w:t>oraz</w:t>
      </w:r>
      <w:r w:rsidRPr="00D13470">
        <w:rPr>
          <w:rFonts w:ascii="Verdana" w:hAnsi="Verdana"/>
          <w:bCs/>
          <w:sz w:val="22"/>
          <w:szCs w:val="22"/>
        </w:rPr>
        <w:t xml:space="preserve"> zgodnie z postanowieniami niniejszej uchwały.</w:t>
      </w:r>
    </w:p>
    <w:p w:rsidR="002B49C4" w:rsidRPr="00D13470" w:rsidRDefault="002B49C4" w:rsidP="00D13470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§ 2</w:t>
      </w:r>
    </w:p>
    <w:p w:rsidR="002B49C4" w:rsidRPr="00D13470" w:rsidRDefault="002B49C4" w:rsidP="00D13470">
      <w:pPr>
        <w:spacing w:after="120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2B49C4" w:rsidRPr="00D13470" w:rsidRDefault="002B49C4" w:rsidP="00D13470">
      <w:pPr>
        <w:widowControl w:val="0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podstawowym”,</w:t>
      </w:r>
    </w:p>
    <w:p w:rsidR="002B49C4" w:rsidRPr="00D13470" w:rsidRDefault="002B49C4" w:rsidP="00D13470">
      <w:pPr>
        <w:widowControl w:val="0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części zmiennej, stanowiącej wynagrodzenie uzupełniające za rok obrotowy Spółki – zwane dalej „Wynagrodzeniem uzupełniającym”.</w:t>
      </w:r>
    </w:p>
    <w:p w:rsidR="002B49C4" w:rsidRPr="00D13470" w:rsidRDefault="002B49C4" w:rsidP="00D13470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lastRenderedPageBreak/>
        <w:t>§ 3</w:t>
      </w:r>
    </w:p>
    <w:p w:rsidR="002B49C4" w:rsidRPr="00D13470" w:rsidRDefault="002B49C4" w:rsidP="00D13470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Wynagrodzenie podstawowe dla Członków Zarządu wynosi nie więcej niż 14</w:t>
      </w:r>
      <w:r w:rsidR="005F00B7">
        <w:rPr>
          <w:rFonts w:ascii="Verdana" w:hAnsi="Verdana"/>
          <w:sz w:val="22"/>
          <w:szCs w:val="22"/>
        </w:rPr>
        <w:t xml:space="preserve"> </w:t>
      </w:r>
      <w:r w:rsidRPr="00D13470">
        <w:rPr>
          <w:rFonts w:ascii="Verdana" w:hAnsi="Verdana"/>
          <w:sz w:val="22"/>
          <w:szCs w:val="22"/>
        </w:rPr>
        <w:t>460,00 zł (słownie: czternaście tysięcy czterysta sześćset złotych 0/100) miesięcznie.</w:t>
      </w:r>
      <w:r w:rsidRPr="00D13470">
        <w:rPr>
          <w:rFonts w:ascii="Verdana" w:hAnsi="Verdana"/>
          <w:bCs/>
          <w:sz w:val="22"/>
          <w:szCs w:val="22"/>
        </w:rPr>
        <w:t xml:space="preserve"> </w:t>
      </w:r>
    </w:p>
    <w:p w:rsidR="002B49C4" w:rsidRPr="00D13470" w:rsidRDefault="002B49C4" w:rsidP="00D13470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§ 4</w:t>
      </w:r>
    </w:p>
    <w:p w:rsidR="002B49C4" w:rsidRPr="00D13470" w:rsidRDefault="002B49C4" w:rsidP="00D13470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Wynagrodzenie uzupełniające uzależnione jest od poziomu realizacji celów zarządczych i nie może przekroczyć 30% Wynagrodzenia podstawowego przysługującego w poprzednim roku obrotowym z zastrzeżeniem ust. 2.</w:t>
      </w:r>
    </w:p>
    <w:p w:rsidR="002B49C4" w:rsidRPr="00D13470" w:rsidRDefault="002B49C4" w:rsidP="00D13470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Wynagrodzenie uzupełniające za rok 2017 nie może przekroczyć 30% sumy miesięcznych wynagrodzeń podstawowych Członków Zarządu w roku obrotowym 2017.</w:t>
      </w:r>
    </w:p>
    <w:p w:rsidR="002B49C4" w:rsidRPr="00D13470" w:rsidRDefault="002B49C4" w:rsidP="00D13470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Wynagrodzenie uzupełniające może być wypłacone po:</w:t>
      </w:r>
    </w:p>
    <w:p w:rsidR="002B49C4" w:rsidRPr="00D13470" w:rsidRDefault="002B49C4" w:rsidP="00D13470">
      <w:pPr>
        <w:widowControl w:val="0"/>
        <w:numPr>
          <w:ilvl w:val="0"/>
          <w:numId w:val="4"/>
        </w:numPr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zatwierdzeniu sprawozdania Zarządu z działalności Spółki oraz sprawozdania finansowego Spółki za ubiegły rok obrotowy, </w:t>
      </w:r>
    </w:p>
    <w:p w:rsidR="002B49C4" w:rsidRPr="00D13470" w:rsidRDefault="002B49C4" w:rsidP="00D13470">
      <w:pPr>
        <w:widowControl w:val="0"/>
        <w:numPr>
          <w:ilvl w:val="0"/>
          <w:numId w:val="4"/>
        </w:numPr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udzieleniu Członkom Zarządu absolutorium z wykonania przez niego obowiązków przez Zwyczajne Zgromadzenie Wspólników,</w:t>
      </w:r>
    </w:p>
    <w:p w:rsidR="002B49C4" w:rsidRPr="00D13470" w:rsidRDefault="002B49C4" w:rsidP="00D13470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- pod warunkiem stwierdzenia przez Radę Nadzorczą realizacji przez Członków Zarządu celów zarządczych i określeniu należnej kwoty wypłaty.</w:t>
      </w:r>
    </w:p>
    <w:p w:rsidR="002B49C4" w:rsidRPr="00D13470" w:rsidRDefault="002B49C4" w:rsidP="00D13470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2B49C4" w:rsidRPr="00D13470" w:rsidRDefault="002B49C4" w:rsidP="00D13470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2B49C4" w:rsidRPr="00D13470" w:rsidRDefault="002B49C4" w:rsidP="00D13470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§ 5</w:t>
      </w:r>
    </w:p>
    <w:p w:rsidR="002B49C4" w:rsidRPr="00D13470" w:rsidRDefault="002B49C4" w:rsidP="00D13470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Ustala się cele zarządcze stanowiące w szczególności o: </w:t>
      </w:r>
    </w:p>
    <w:p w:rsidR="00FD7030" w:rsidRDefault="00FD7030" w:rsidP="00FD7030">
      <w:pPr>
        <w:widowControl w:val="0"/>
        <w:tabs>
          <w:tab w:val="left" w:pos="284"/>
        </w:tabs>
        <w:suppressAutoHyphens/>
        <w:spacing w:after="120" w:line="360" w:lineRule="auto"/>
        <w:ind w:left="720"/>
        <w:rPr>
          <w:rFonts w:ascii="Verdana" w:hAnsi="Verdana"/>
          <w:i/>
        </w:rPr>
      </w:pPr>
      <w:r>
        <w:rPr>
          <w:rFonts w:ascii="Verdana" w:hAnsi="Verdana"/>
          <w:i/>
        </w:rPr>
        <w:t xml:space="preserve">Do publikacji w BIP, wyjaśnienia jawności informacji o celach zarządczych, wag tych celów, a także kryteriach ich realizacji o rozliczania dokonano na podstawie art. 11 ust. 1 ustawy z dnia 9 czerwca 2016 r. o zasadach kształtowania wynagrodzeń osób </w:t>
      </w:r>
      <w:r>
        <w:rPr>
          <w:rFonts w:ascii="Verdana" w:hAnsi="Verdana"/>
          <w:i/>
        </w:rPr>
        <w:lastRenderedPageBreak/>
        <w:t>kierujących niektórymi spółkami (</w:t>
      </w:r>
      <w:proofErr w:type="spellStart"/>
      <w:r>
        <w:rPr>
          <w:rFonts w:ascii="Verdana" w:hAnsi="Verdana"/>
          <w:i/>
        </w:rPr>
        <w:t>Dz.U</w:t>
      </w:r>
      <w:proofErr w:type="spellEnd"/>
      <w:r>
        <w:rPr>
          <w:rFonts w:ascii="Verdana" w:hAnsi="Verdana"/>
          <w:i/>
        </w:rPr>
        <w:t xml:space="preserve">. z 2016 r. poz. 1202 z </w:t>
      </w:r>
      <w:proofErr w:type="spellStart"/>
      <w:r>
        <w:rPr>
          <w:rFonts w:ascii="Verdana" w:hAnsi="Verdana"/>
          <w:i/>
        </w:rPr>
        <w:t>późn</w:t>
      </w:r>
      <w:proofErr w:type="spellEnd"/>
      <w:r>
        <w:rPr>
          <w:rFonts w:ascii="Verdana" w:hAnsi="Verdana"/>
          <w:i/>
        </w:rPr>
        <w:t xml:space="preserve">. zm.). Wyłączenia dokonała Pani Teresa Niżyńska w Biurze Nadzoru Właścicielskiego Urzędu Miejskiego Wrocławia. </w:t>
      </w:r>
    </w:p>
    <w:p w:rsidR="002B49C4" w:rsidRPr="00D13470" w:rsidRDefault="002B49C4" w:rsidP="00D13470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Upoważnia się Radę Nadzorczą do ustalenia szczegółowych celów zarządczych, wag tych celów oraz obiektywnych i mierzalnych kryteriów (wskaźników) ich realizacji i rozliczenia (KPI) w terminie do końca pierwszego kwartału roku obrotowego, na który cele są ustalane, z zastrzeżeniem roku 2017, w którym w/w ustalenia nastąpią niezwłocznie po ukształtowaniu w Spółce zasad wynagradzania zgodnie z Ustawą.</w:t>
      </w:r>
    </w:p>
    <w:p w:rsidR="002B49C4" w:rsidRPr="00D13470" w:rsidRDefault="002B49C4" w:rsidP="00D13470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§ 6</w:t>
      </w:r>
    </w:p>
    <w:p w:rsidR="002B49C4" w:rsidRPr="00D13470" w:rsidRDefault="002B49C4" w:rsidP="00D13470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 xml:space="preserve">Umowa powinna zawierać w szczególności następujące zapisy: 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 w:cs="Book Antiqua"/>
          <w:sz w:val="22"/>
          <w:szCs w:val="22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D13470">
        <w:rPr>
          <w:rFonts w:ascii="Verdana" w:hAnsi="Verdana" w:cs="Book Antiqua"/>
          <w:sz w:val="22"/>
          <w:szCs w:val="22"/>
        </w:rPr>
        <w:t>pkt</w:t>
      </w:r>
      <w:proofErr w:type="spellEnd"/>
      <w:r w:rsidRPr="00D13470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2017r., poz. 229).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 w:cs="Book Antiqua"/>
          <w:sz w:val="22"/>
          <w:szCs w:val="22"/>
        </w:rPr>
        <w:t>Członek Zarządu jest zobowiązany do informowania Spółki w terminie co najmniej z 14-dniowym wyprzedzeniem o planowanym zamiarze pełnienia funkcji  w organie spółki handlowej innej niż Spółka oraz o nabyciu w takiej spółce handlowej udziału/ów lub akcji.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 w:cs="Book Antiqua"/>
          <w:sz w:val="22"/>
          <w:szCs w:val="22"/>
        </w:rPr>
        <w:t>Członek Zarządu zobowiązuje się, że w okresie obowiązywania Umowy - bez zgody Rady Nadzorczej Spółki – nie będzie świadczył jakichkolwiek usług, ani też pracy lub wykonywał na rzecz podmiotu innego niż Spółka bezpośrednio lub pośrednio jakichkolwiek czynności faktycznych lub prawnych.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 xml:space="preserve"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Członka Zarządu co najmniej 10% (dziesięć procent) udziałów lub akcji tej spółki bądź prawa do powołania co </w:t>
      </w:r>
      <w:r w:rsidRPr="00D13470">
        <w:rPr>
          <w:rFonts w:ascii="Verdana" w:hAnsi="Verdana"/>
          <w:bCs/>
          <w:sz w:val="22"/>
          <w:szCs w:val="22"/>
        </w:rPr>
        <w:lastRenderedPageBreak/>
        <w:t xml:space="preserve">najmniej jednego Członka Zarządu. 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 xml:space="preserve">Każda ze Stron jest uprawniona do wypowiedzenia Umowy z zachowaniem trzymiesięcznego okresu wypowiedzenia, ze skutkiem na koniec miesiąca kalendarzowego. 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W przypadku rozwiązania albo wypowiedzenia Umowy przez Spółkę z innych przyczyn niż naruszenie przez Członka Zarządu podstawowych obowiązków wynikających z Umowy, przysługuje mu odprawa w wysokości odpowiadającej trzykrotności Wynagrodzenia Podstawowego pod warunkiem pełnienie przez niego funkcji w zarządzie Spółki przez okres co najmniej 12 miesięcy przed rozwiązaniem Umowy.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 xml:space="preserve">Odprawa, o której mowa w </w:t>
      </w:r>
      <w:proofErr w:type="spellStart"/>
      <w:r w:rsidRPr="00D13470">
        <w:rPr>
          <w:rFonts w:ascii="Verdana" w:hAnsi="Verdana"/>
          <w:bCs/>
          <w:sz w:val="22"/>
          <w:szCs w:val="22"/>
        </w:rPr>
        <w:t>pkt</w:t>
      </w:r>
      <w:proofErr w:type="spellEnd"/>
      <w:r w:rsidRPr="00D13470">
        <w:rPr>
          <w:rFonts w:ascii="Verdana" w:hAnsi="Verdana"/>
          <w:bCs/>
          <w:sz w:val="22"/>
          <w:szCs w:val="22"/>
        </w:rPr>
        <w:t xml:space="preserve"> 7) nie przysługuje w przypadku zmiany funkcji pełnionej przez Członka Zarządu w składzie Zarządu albo powołania go na kolejną kadencję Zarządu.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W przypadku wygaśnięcia mandatu, w szczególności na skutek śmierci, odwołania lub rezygnacji, Umowa rozwiązuje się z ostatnim dniem pełnienia funkcji bez okresu wypowiedzenia i konieczności dokonywania dodatkowych czynności.</w:t>
      </w:r>
    </w:p>
    <w:p w:rsidR="002B49C4" w:rsidRPr="00D13470" w:rsidRDefault="002B49C4" w:rsidP="00D13470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Umowa powinna określać zasady wykorzystania przez Członka Zarządu płatnych przerw w świadczeniu usług, w wymiarze nie przekraczającym 30 (trzydzieści) dni roboczych lub w ilości dnia określonych proporcjonalnie do okresu trwania Umowy w przypadku jeśli Umowa trwa krócej niż pełny rok.</w:t>
      </w:r>
    </w:p>
    <w:p w:rsidR="002B49C4" w:rsidRPr="00D13470" w:rsidRDefault="002B49C4" w:rsidP="00D13470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2B49C4" w:rsidRPr="00D13470" w:rsidRDefault="002B49C4" w:rsidP="00D13470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 xml:space="preserve">Rada Nadzorcza określi w Umowie zakres i zasady udostępniania Członkowi Zarządu urządzeń technicznych oraz zasobów stanowiących mienie Spółki </w:t>
      </w:r>
      <w:r w:rsidRPr="00D13470">
        <w:rPr>
          <w:rFonts w:ascii="Verdana" w:hAnsi="Verdana"/>
          <w:bCs/>
          <w:sz w:val="22"/>
          <w:szCs w:val="22"/>
        </w:rPr>
        <w:lastRenderedPageBreak/>
        <w:t>niezbędnych do wykonywania funkcji.</w:t>
      </w:r>
    </w:p>
    <w:p w:rsidR="002B49C4" w:rsidRPr="00D13470" w:rsidRDefault="002B49C4" w:rsidP="00D13470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Nie ustanawia się zakazu konkurencji z Członka Zarządu po ustaniu pełnienia funkcji.</w:t>
      </w:r>
    </w:p>
    <w:p w:rsidR="002B49C4" w:rsidRPr="00D13470" w:rsidRDefault="002B49C4" w:rsidP="00D13470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§ 7</w:t>
      </w:r>
    </w:p>
    <w:p w:rsidR="002B49C4" w:rsidRPr="00D13470" w:rsidRDefault="002B49C4" w:rsidP="00D13470">
      <w:pPr>
        <w:spacing w:after="120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Tracą moc wszystkie dotychczasowe uregulowania ustalające wynagrodzenie dla Członka Zarządu Spółki.</w:t>
      </w:r>
    </w:p>
    <w:p w:rsidR="002B49C4" w:rsidRPr="00D13470" w:rsidRDefault="002B49C4" w:rsidP="00D13470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13470">
        <w:rPr>
          <w:rFonts w:ascii="Verdana" w:hAnsi="Verdana"/>
          <w:bCs/>
          <w:sz w:val="22"/>
          <w:szCs w:val="22"/>
        </w:rPr>
        <w:t>§ 8</w:t>
      </w:r>
    </w:p>
    <w:p w:rsidR="002B49C4" w:rsidRPr="00D13470" w:rsidRDefault="002B49C4" w:rsidP="00D13470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Uchwała wchodzi w życie z dniem podpisania.</w:t>
      </w:r>
    </w:p>
    <w:p w:rsidR="00D13470" w:rsidRPr="00D13470" w:rsidRDefault="00D13470" w:rsidP="00A441E0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dokument podpisał</w:t>
      </w:r>
    </w:p>
    <w:p w:rsidR="002B49C4" w:rsidRPr="00D13470" w:rsidRDefault="00D13470" w:rsidP="00D13470">
      <w:pPr>
        <w:spacing w:line="360" w:lineRule="auto"/>
        <w:rPr>
          <w:rFonts w:ascii="Verdana" w:hAnsi="Verdana"/>
          <w:sz w:val="22"/>
          <w:szCs w:val="22"/>
        </w:rPr>
      </w:pPr>
      <w:r w:rsidRPr="00D13470">
        <w:rPr>
          <w:rFonts w:ascii="Verdana" w:hAnsi="Verdana"/>
          <w:sz w:val="22"/>
          <w:szCs w:val="22"/>
        </w:rPr>
        <w:t>P</w:t>
      </w:r>
      <w:r w:rsidR="002B49C4" w:rsidRPr="00D13470">
        <w:rPr>
          <w:rFonts w:ascii="Verdana" w:hAnsi="Verdana"/>
          <w:sz w:val="22"/>
          <w:szCs w:val="22"/>
        </w:rPr>
        <w:t>rzewodniczący Zgromadzenia Wspólników Wojciech Adamski</w:t>
      </w:r>
    </w:p>
    <w:sectPr w:rsidR="002B49C4" w:rsidRPr="00D13470" w:rsidSect="00B2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49C4"/>
    <w:rsid w:val="00036196"/>
    <w:rsid w:val="00160906"/>
    <w:rsid w:val="00194880"/>
    <w:rsid w:val="001F5078"/>
    <w:rsid w:val="0021110E"/>
    <w:rsid w:val="002B49C4"/>
    <w:rsid w:val="005F00B7"/>
    <w:rsid w:val="006F4D19"/>
    <w:rsid w:val="007613A1"/>
    <w:rsid w:val="00790866"/>
    <w:rsid w:val="008770FC"/>
    <w:rsid w:val="008B7684"/>
    <w:rsid w:val="008D562B"/>
    <w:rsid w:val="00A441E0"/>
    <w:rsid w:val="00B20137"/>
    <w:rsid w:val="00BF3DE3"/>
    <w:rsid w:val="00C55A10"/>
    <w:rsid w:val="00C85844"/>
    <w:rsid w:val="00D13470"/>
    <w:rsid w:val="00D15FDD"/>
    <w:rsid w:val="00DD6BD9"/>
    <w:rsid w:val="00FD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49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562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widowControl w:val="0"/>
      <w:suppressAutoHyphens/>
      <w:ind w:left="708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Tytu">
    <w:name w:val="Title"/>
    <w:basedOn w:val="Normalny"/>
    <w:link w:val="TytuZnak"/>
    <w:qFormat/>
    <w:rsid w:val="002B49C4"/>
    <w:pPr>
      <w:jc w:val="center"/>
    </w:pPr>
    <w:rPr>
      <w:rFonts w:ascii="Verdana" w:hAnsi="Verdana"/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2B49C4"/>
    <w:rPr>
      <w:rFonts w:ascii="Verdana" w:hAnsi="Verdana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1073</Words>
  <Characters>6440</Characters>
  <Application>Microsoft Office Word</Application>
  <DocSecurity>0</DocSecurity>
  <Lines>53</Lines>
  <Paragraphs>14</Paragraphs>
  <ScaleCrop>false</ScaleCrop>
  <Company>UMW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umelja04</dc:creator>
  <cp:keywords/>
  <dc:description/>
  <cp:lastModifiedBy>umelja04</cp:lastModifiedBy>
  <cp:revision>12</cp:revision>
  <dcterms:created xsi:type="dcterms:W3CDTF">2021-01-22T12:55:00Z</dcterms:created>
  <dcterms:modified xsi:type="dcterms:W3CDTF">2021-02-23T13:16:00Z</dcterms:modified>
</cp:coreProperties>
</file>