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04" w:rsidRPr="002D7AF9" w:rsidRDefault="003E5404" w:rsidP="002D7AF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2D7AF9">
        <w:rPr>
          <w:rFonts w:ascii="Verdana" w:hAnsi="Verdana"/>
          <w:color w:val="auto"/>
          <w:sz w:val="22"/>
          <w:szCs w:val="22"/>
        </w:rPr>
        <w:t>UCHWAŁA NR 1</w:t>
      </w:r>
      <w:r w:rsidR="008125F7" w:rsidRPr="002D7AF9">
        <w:rPr>
          <w:rFonts w:ascii="Verdana" w:hAnsi="Verdana"/>
          <w:color w:val="auto"/>
          <w:sz w:val="22"/>
          <w:szCs w:val="22"/>
        </w:rPr>
        <w:t>1</w:t>
      </w:r>
      <w:r w:rsidRPr="002D7AF9">
        <w:rPr>
          <w:rFonts w:ascii="Verdana" w:hAnsi="Verdana"/>
          <w:color w:val="auto"/>
          <w:sz w:val="22"/>
          <w:szCs w:val="22"/>
        </w:rPr>
        <w:t>/ZWZ/2017</w:t>
      </w:r>
    </w:p>
    <w:p w:rsidR="003E5404" w:rsidRPr="002D7AF9" w:rsidRDefault="003E5404" w:rsidP="002D7AF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2D7AF9">
        <w:rPr>
          <w:rFonts w:ascii="Verdana" w:hAnsi="Verdana"/>
          <w:color w:val="auto"/>
          <w:sz w:val="22"/>
          <w:szCs w:val="22"/>
        </w:rPr>
        <w:t>Zw</w:t>
      </w:r>
      <w:r w:rsidR="008125F7" w:rsidRPr="002D7AF9">
        <w:rPr>
          <w:rFonts w:ascii="Verdana" w:hAnsi="Verdana"/>
          <w:color w:val="auto"/>
          <w:sz w:val="22"/>
          <w:szCs w:val="22"/>
        </w:rPr>
        <w:t>yczajnego Walnego Zgromadzenia s</w:t>
      </w:r>
      <w:r w:rsidRPr="002D7AF9">
        <w:rPr>
          <w:rFonts w:ascii="Verdana" w:hAnsi="Verdana"/>
          <w:color w:val="auto"/>
          <w:sz w:val="22"/>
          <w:szCs w:val="22"/>
        </w:rPr>
        <w:t xml:space="preserve">półki </w:t>
      </w:r>
      <w:r w:rsidR="008125F7" w:rsidRPr="002D7AF9">
        <w:rPr>
          <w:rFonts w:ascii="Verdana" w:hAnsi="Verdana"/>
          <w:color w:val="auto"/>
          <w:sz w:val="22"/>
          <w:szCs w:val="22"/>
        </w:rPr>
        <w:t>pod f</w:t>
      </w:r>
      <w:r w:rsidRPr="002D7AF9">
        <w:rPr>
          <w:rFonts w:ascii="Verdana" w:hAnsi="Verdana"/>
          <w:color w:val="auto"/>
          <w:sz w:val="22"/>
          <w:szCs w:val="22"/>
        </w:rPr>
        <w:t>irmą</w:t>
      </w:r>
    </w:p>
    <w:p w:rsidR="003E5404" w:rsidRPr="002D7AF9" w:rsidRDefault="003E5404" w:rsidP="002D7AF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2D7AF9">
        <w:rPr>
          <w:rFonts w:ascii="Verdana" w:hAnsi="Verdana"/>
          <w:color w:val="auto"/>
          <w:sz w:val="22"/>
          <w:szCs w:val="22"/>
        </w:rPr>
        <w:t>Wrocławski Park Wodny Spółka Akcyjna</w:t>
      </w:r>
    </w:p>
    <w:p w:rsidR="001668A5" w:rsidRPr="002D7AF9" w:rsidRDefault="003E5404" w:rsidP="002D7AF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2D7AF9">
        <w:rPr>
          <w:rFonts w:ascii="Verdana" w:hAnsi="Verdana"/>
          <w:color w:val="auto"/>
          <w:sz w:val="22"/>
          <w:szCs w:val="22"/>
        </w:rPr>
        <w:t xml:space="preserve">z dnia 29 </w:t>
      </w:r>
      <w:r w:rsidR="008125F7" w:rsidRPr="002D7AF9">
        <w:rPr>
          <w:rFonts w:ascii="Verdana" w:hAnsi="Verdana"/>
          <w:color w:val="auto"/>
          <w:sz w:val="22"/>
          <w:szCs w:val="22"/>
        </w:rPr>
        <w:t>c</w:t>
      </w:r>
      <w:r w:rsidRPr="002D7AF9">
        <w:rPr>
          <w:rFonts w:ascii="Verdana" w:hAnsi="Verdana"/>
          <w:color w:val="auto"/>
          <w:sz w:val="22"/>
          <w:szCs w:val="22"/>
        </w:rPr>
        <w:t>zerwca 2017 roku</w:t>
      </w:r>
    </w:p>
    <w:p w:rsidR="003E5404" w:rsidRPr="008125F7" w:rsidRDefault="003E5404" w:rsidP="002D7AF9">
      <w:pPr>
        <w:pStyle w:val="Bezodstpw"/>
        <w:spacing w:before="100" w:beforeAutospacing="1"/>
        <w:rPr>
          <w:rFonts w:ascii="Verdana" w:hAnsi="Verdana"/>
          <w:b/>
          <w:bCs/>
          <w:iCs/>
        </w:rPr>
      </w:pPr>
      <w:r w:rsidRPr="008125F7">
        <w:rPr>
          <w:rFonts w:ascii="Verdana" w:hAnsi="Verdana"/>
          <w:b/>
          <w:bCs/>
          <w:iCs/>
        </w:rPr>
        <w:t>w sprawie zasad kształtowania wynagrodzeń Członków Zarządu</w:t>
      </w:r>
    </w:p>
    <w:p w:rsidR="003E5404" w:rsidRPr="008125F7" w:rsidRDefault="003E5404" w:rsidP="002D7AF9">
      <w:pPr>
        <w:spacing w:before="100" w:beforeAutospacing="1" w:line="360" w:lineRule="auto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Działając na podstawie art. 2 ust. 2 </w:t>
      </w:r>
      <w:proofErr w:type="spellStart"/>
      <w:r w:rsidRPr="008125F7">
        <w:rPr>
          <w:rFonts w:ascii="Verdana" w:hAnsi="Verdana" w:cs="Tahoma"/>
        </w:rPr>
        <w:t>pkt</w:t>
      </w:r>
      <w:proofErr w:type="spellEnd"/>
      <w:r w:rsidRPr="008125F7">
        <w:rPr>
          <w:rFonts w:ascii="Verdana" w:hAnsi="Verdana" w:cs="Tahoma"/>
        </w:rPr>
        <w:t xml:space="preserve"> 1, art. 4, art. 5, art. 6, art. 7 ustawy z dnia 9 czerwca 2016 r. o zasadach kształtowania wynagrodzeń osób kierujących niektórymi spółkami (D</w:t>
      </w:r>
      <w:r w:rsidR="00A60860" w:rsidRPr="008125F7">
        <w:rPr>
          <w:rFonts w:ascii="Verdana" w:hAnsi="Verdana" w:cs="Tahoma"/>
        </w:rPr>
        <w:t>z. U. z 2016 r. poz. 1202 ze zm.</w:t>
      </w:r>
      <w:r w:rsidRPr="008125F7">
        <w:rPr>
          <w:rFonts w:ascii="Verdana" w:hAnsi="Verdana" w:cs="Tahoma"/>
        </w:rPr>
        <w:t>)</w:t>
      </w:r>
      <w:r w:rsidR="00DE618B" w:rsidRPr="008125F7">
        <w:rPr>
          <w:rFonts w:ascii="Verdana" w:hAnsi="Verdana" w:cs="Tahoma"/>
        </w:rPr>
        <w:t xml:space="preserve"> oraz § 33 </w:t>
      </w:r>
      <w:proofErr w:type="spellStart"/>
      <w:r w:rsidR="00DE618B" w:rsidRPr="008125F7">
        <w:rPr>
          <w:rFonts w:ascii="Verdana" w:hAnsi="Verdana" w:cs="Tahoma"/>
        </w:rPr>
        <w:t>pkt</w:t>
      </w:r>
      <w:proofErr w:type="spellEnd"/>
      <w:r w:rsidR="00DE618B" w:rsidRPr="008125F7">
        <w:rPr>
          <w:rFonts w:ascii="Verdana" w:hAnsi="Verdana" w:cs="Tahoma"/>
        </w:rPr>
        <w:t xml:space="preserve"> 6 Statutu Spółki</w:t>
      </w:r>
      <w:r w:rsidRPr="008125F7">
        <w:rPr>
          <w:rFonts w:ascii="Verdana" w:hAnsi="Verdana" w:cs="Tahoma"/>
          <w:bCs/>
        </w:rPr>
        <w:t>,</w:t>
      </w:r>
      <w:r w:rsidRPr="008125F7">
        <w:rPr>
          <w:rFonts w:ascii="Verdana" w:hAnsi="Verdana" w:cs="Tahoma"/>
        </w:rPr>
        <w:t xml:space="preserve"> Zwyczajne Walne Zgromadzenie uchwala,  co następuje:</w:t>
      </w:r>
    </w:p>
    <w:p w:rsidR="003E5404" w:rsidRPr="008125F7" w:rsidRDefault="003E5404" w:rsidP="002D7AF9">
      <w:pPr>
        <w:tabs>
          <w:tab w:val="left" w:pos="426"/>
        </w:tabs>
        <w:spacing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§ 1</w:t>
      </w:r>
    </w:p>
    <w:p w:rsidR="003E5404" w:rsidRPr="008125F7" w:rsidRDefault="003E5404" w:rsidP="002D7A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 w:cs="Tahoma"/>
        </w:rPr>
      </w:pPr>
      <w:r w:rsidRPr="008125F7">
        <w:rPr>
          <w:rFonts w:ascii="Verdana" w:hAnsi="Verdana" w:cs="Tahoma"/>
          <w:bCs/>
        </w:rPr>
        <w:t>Z Członkami Zarządu Spółki zawierana jest umowa o świadczenie usług zarządzania na czas pełnienia funkcji („Umowa”), z obowiązkiem osobistego świadczenia, bez względu na to, czy działa on w zakresie prowadzonej działalności gospodarczej.</w:t>
      </w:r>
    </w:p>
    <w:p w:rsidR="003E5404" w:rsidRPr="008125F7" w:rsidRDefault="003E5404" w:rsidP="002D7AF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120" w:line="360" w:lineRule="auto"/>
        <w:ind w:left="284" w:hanging="295"/>
        <w:rPr>
          <w:rFonts w:ascii="Verdana" w:hAnsi="Verdana" w:cs="Tahoma"/>
        </w:rPr>
      </w:pPr>
      <w:r w:rsidRPr="008125F7">
        <w:rPr>
          <w:rFonts w:ascii="Verdana" w:hAnsi="Verdana" w:cs="Tahoma"/>
          <w:bCs/>
        </w:rPr>
        <w:t>Treść Umowy określa Rada Nadzorcza na warunkach wskazanych w U</w:t>
      </w:r>
      <w:r w:rsidRPr="008125F7">
        <w:rPr>
          <w:rFonts w:ascii="Verdana" w:hAnsi="Verdana" w:cs="Tahoma"/>
        </w:rPr>
        <w:t>stawie z dnia 9 czerwca 2016 r. o zasadach kształtowania wynagrodzeń osób kierujących niektórymi spółkami (</w:t>
      </w:r>
      <w:r w:rsidR="00A60860" w:rsidRPr="008125F7">
        <w:rPr>
          <w:rFonts w:ascii="Verdana" w:hAnsi="Verdana" w:cs="Tahoma"/>
        </w:rPr>
        <w:t>Dz. U. z 2016 r. poz. 1202 ze zm.</w:t>
      </w:r>
      <w:r w:rsidRPr="008125F7">
        <w:rPr>
          <w:rFonts w:ascii="Verdana" w:hAnsi="Verdana" w:cs="Tahoma"/>
        </w:rPr>
        <w:t>) („Ustawa”)</w:t>
      </w:r>
      <w:r w:rsidRPr="008125F7">
        <w:rPr>
          <w:rFonts w:ascii="Verdana" w:hAnsi="Verdana" w:cs="Tahoma"/>
          <w:bCs/>
        </w:rPr>
        <w:t xml:space="preserve"> </w:t>
      </w:r>
      <w:r w:rsidRPr="008125F7">
        <w:rPr>
          <w:rFonts w:ascii="Verdana" w:hAnsi="Verdana" w:cs="Tahoma"/>
        </w:rPr>
        <w:t>oraz</w:t>
      </w:r>
      <w:r w:rsidRPr="008125F7">
        <w:rPr>
          <w:rFonts w:ascii="Verdana" w:hAnsi="Verdana" w:cs="Tahoma"/>
          <w:bCs/>
        </w:rPr>
        <w:t xml:space="preserve"> zgodnie z postanowieniami niniejszej uchwały.</w:t>
      </w:r>
    </w:p>
    <w:p w:rsidR="003E5404" w:rsidRPr="008125F7" w:rsidRDefault="003E5404" w:rsidP="002D7AF9">
      <w:pPr>
        <w:tabs>
          <w:tab w:val="left" w:pos="426"/>
        </w:tabs>
        <w:spacing w:before="100" w:beforeAutospacing="1"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§ 2</w:t>
      </w:r>
    </w:p>
    <w:p w:rsidR="003E5404" w:rsidRPr="008125F7" w:rsidRDefault="003E5404" w:rsidP="002D7AF9">
      <w:pPr>
        <w:spacing w:after="120" w:line="360" w:lineRule="auto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Wynagrodzenie całkowite Członków Zarządu składa się z: </w:t>
      </w:r>
    </w:p>
    <w:p w:rsidR="003E5404" w:rsidRPr="008125F7" w:rsidRDefault="003E5404" w:rsidP="002D7AF9">
      <w:pPr>
        <w:widowControl w:val="0"/>
        <w:numPr>
          <w:ilvl w:val="0"/>
          <w:numId w:val="3"/>
        </w:numPr>
        <w:suppressAutoHyphens/>
        <w:spacing w:after="120" w:line="360" w:lineRule="auto"/>
        <w:ind w:left="284" w:hanging="284"/>
        <w:rPr>
          <w:rFonts w:ascii="Verdana" w:hAnsi="Verdana" w:cs="Tahoma"/>
        </w:rPr>
      </w:pPr>
      <w:r w:rsidRPr="008125F7">
        <w:rPr>
          <w:rFonts w:ascii="Verdana" w:hAnsi="Verdana" w:cs="Tahoma"/>
        </w:rPr>
        <w:t>części stałej, stanowiącej wynagrodzenie miesięczne podstawowe, określone</w:t>
      </w:r>
      <w:r w:rsidR="00227296" w:rsidRPr="008125F7">
        <w:rPr>
          <w:rFonts w:ascii="Verdana" w:hAnsi="Verdana" w:cs="Tahoma"/>
        </w:rPr>
        <w:t>j</w:t>
      </w:r>
      <w:r w:rsidRPr="008125F7">
        <w:rPr>
          <w:rFonts w:ascii="Verdana" w:hAnsi="Verdana" w:cs="Tahoma"/>
        </w:rPr>
        <w:t xml:space="preserve"> kwotowo, zwane dalej „Wynagrodzeniem podstawowym”,</w:t>
      </w:r>
    </w:p>
    <w:p w:rsidR="003E5404" w:rsidRPr="008125F7" w:rsidRDefault="003E5404" w:rsidP="002D7AF9">
      <w:pPr>
        <w:widowControl w:val="0"/>
        <w:numPr>
          <w:ilvl w:val="0"/>
          <w:numId w:val="3"/>
        </w:numPr>
        <w:suppressAutoHyphens/>
        <w:spacing w:after="120" w:line="360" w:lineRule="auto"/>
        <w:ind w:left="284" w:hanging="284"/>
        <w:rPr>
          <w:rFonts w:ascii="Verdana" w:hAnsi="Verdana" w:cs="Tahoma"/>
        </w:rPr>
      </w:pPr>
      <w:r w:rsidRPr="008125F7">
        <w:rPr>
          <w:rFonts w:ascii="Verdana" w:hAnsi="Verdana" w:cs="Tahoma"/>
        </w:rPr>
        <w:t>części zmiennej, stanowiącej wynagrodzenie uzupełniające za rok obrotowy Spółki – zwane dalej „Wynagrodzeniem uzupełniającym”.</w:t>
      </w:r>
    </w:p>
    <w:p w:rsidR="003E5404" w:rsidRPr="008125F7" w:rsidRDefault="003E5404" w:rsidP="002D7AF9">
      <w:pPr>
        <w:tabs>
          <w:tab w:val="left" w:pos="426"/>
        </w:tabs>
        <w:spacing w:before="100" w:beforeAutospacing="1"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§ 3</w:t>
      </w:r>
    </w:p>
    <w:p w:rsidR="003E5404" w:rsidRPr="008125F7" w:rsidRDefault="003E5404" w:rsidP="002D7AF9">
      <w:pPr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</w:rPr>
        <w:t xml:space="preserve">Wynagrodzenie podstawowe dla Członków Zarządu wynosi nie więcej niż </w:t>
      </w:r>
      <w:r w:rsidR="008125F7">
        <w:rPr>
          <w:rFonts w:ascii="Verdana" w:hAnsi="Verdana" w:cs="Tahoma"/>
        </w:rPr>
        <w:t>28</w:t>
      </w:r>
      <w:r w:rsidR="00CD2CE0">
        <w:rPr>
          <w:rFonts w:ascii="Verdana" w:hAnsi="Verdana" w:cs="Tahoma"/>
        </w:rPr>
        <w:t xml:space="preserve"> </w:t>
      </w:r>
      <w:r w:rsidR="00CB5A49" w:rsidRPr="008125F7">
        <w:rPr>
          <w:rFonts w:ascii="Verdana" w:hAnsi="Verdana" w:cs="Tahoma"/>
        </w:rPr>
        <w:t xml:space="preserve">000,00 </w:t>
      </w:r>
      <w:r w:rsidRPr="008125F7">
        <w:rPr>
          <w:rFonts w:ascii="Verdana" w:hAnsi="Verdana" w:cs="Tahoma"/>
        </w:rPr>
        <w:t xml:space="preserve">zł (słownie: </w:t>
      </w:r>
      <w:r w:rsidR="00CB5A49" w:rsidRPr="008125F7">
        <w:rPr>
          <w:rFonts w:ascii="Verdana" w:hAnsi="Verdana" w:cs="Tahoma"/>
        </w:rPr>
        <w:t>dwadzieścia osiem tysięcy złotych</w:t>
      </w:r>
      <w:r w:rsidRPr="008125F7">
        <w:rPr>
          <w:rFonts w:ascii="Verdana" w:hAnsi="Verdana" w:cs="Tahoma"/>
        </w:rPr>
        <w:t>) miesięcznie.</w:t>
      </w:r>
      <w:r w:rsidRPr="008125F7">
        <w:rPr>
          <w:rFonts w:ascii="Verdana" w:hAnsi="Verdana" w:cs="Tahoma"/>
          <w:bCs/>
        </w:rPr>
        <w:t xml:space="preserve"> </w:t>
      </w:r>
    </w:p>
    <w:p w:rsidR="003E5404" w:rsidRPr="008125F7" w:rsidRDefault="003E5404" w:rsidP="002D7AF9">
      <w:pPr>
        <w:tabs>
          <w:tab w:val="left" w:pos="426"/>
        </w:tabs>
        <w:spacing w:before="100" w:beforeAutospacing="1"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§ 4</w:t>
      </w:r>
    </w:p>
    <w:p w:rsidR="003E5404" w:rsidRPr="008125F7" w:rsidRDefault="003E5404" w:rsidP="002D7AF9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Wynagrodzenie uzupełniające uzależnione jest od poziomu realizacji celów </w:t>
      </w:r>
      <w:r w:rsidRPr="008125F7">
        <w:rPr>
          <w:rFonts w:ascii="Verdana" w:hAnsi="Verdana" w:cs="Tahoma"/>
        </w:rPr>
        <w:lastRenderedPageBreak/>
        <w:t xml:space="preserve">zarządczych i nie może przekroczyć </w:t>
      </w:r>
      <w:r w:rsidR="00CB5A49" w:rsidRPr="008125F7">
        <w:rPr>
          <w:rFonts w:ascii="Verdana" w:hAnsi="Verdana" w:cs="Tahoma"/>
        </w:rPr>
        <w:t>25</w:t>
      </w:r>
      <w:r w:rsidR="0026434A" w:rsidRPr="008125F7">
        <w:rPr>
          <w:rFonts w:ascii="Verdana" w:hAnsi="Verdana" w:cs="Tahoma"/>
        </w:rPr>
        <w:t>%</w:t>
      </w:r>
      <w:r w:rsidRPr="008125F7">
        <w:rPr>
          <w:rFonts w:ascii="Verdana" w:hAnsi="Verdana" w:cs="Tahoma"/>
        </w:rPr>
        <w:t xml:space="preserve"> Wynagrodzenia podstawowego przysługującego w poprzednim roku obrotowym z zastrzeżeniem ust. 2. </w:t>
      </w:r>
    </w:p>
    <w:p w:rsidR="003E5404" w:rsidRPr="008125F7" w:rsidRDefault="003E5404" w:rsidP="002D7AF9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Wynagrodzenie uzupełniające za rok 2017 nie może przekroczyć </w:t>
      </w:r>
      <w:r w:rsidR="00CB5A49" w:rsidRPr="008125F7">
        <w:rPr>
          <w:rFonts w:ascii="Verdana" w:hAnsi="Verdana" w:cs="Tahoma"/>
        </w:rPr>
        <w:t>25</w:t>
      </w:r>
      <w:r w:rsidR="0026434A" w:rsidRPr="008125F7">
        <w:rPr>
          <w:rFonts w:ascii="Verdana" w:hAnsi="Verdana" w:cs="Tahoma"/>
        </w:rPr>
        <w:t>%</w:t>
      </w:r>
      <w:r w:rsidRPr="008125F7">
        <w:rPr>
          <w:rFonts w:ascii="Verdana" w:hAnsi="Verdana" w:cs="Tahoma"/>
        </w:rPr>
        <w:t xml:space="preserve"> sumy miesięcznych wynagrodzeń Członków Zarządu w roku obrotowym 2017.</w:t>
      </w:r>
    </w:p>
    <w:p w:rsidR="003E5404" w:rsidRPr="008125F7" w:rsidRDefault="003E5404" w:rsidP="002D7AF9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 w:cs="Tahoma"/>
        </w:rPr>
      </w:pPr>
      <w:r w:rsidRPr="008125F7">
        <w:rPr>
          <w:rFonts w:ascii="Verdana" w:hAnsi="Verdana" w:cs="Tahoma"/>
        </w:rPr>
        <w:t>Wynagrodzenie uzupełniające może być wypłacone po:</w:t>
      </w:r>
    </w:p>
    <w:p w:rsidR="003E5404" w:rsidRPr="008125F7" w:rsidRDefault="003E5404" w:rsidP="002D7AF9">
      <w:pPr>
        <w:widowControl w:val="0"/>
        <w:numPr>
          <w:ilvl w:val="0"/>
          <w:numId w:val="4"/>
        </w:numPr>
        <w:suppressAutoHyphens/>
        <w:spacing w:after="120" w:line="360" w:lineRule="auto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zatwierdzeniu sprawozdania Zarządu z działalności Spółki oraz sprawozdania finansowego Spółki za ubiegły rok obrotowy, </w:t>
      </w:r>
    </w:p>
    <w:p w:rsidR="003E5404" w:rsidRPr="008125F7" w:rsidRDefault="003E5404" w:rsidP="002D7AF9">
      <w:pPr>
        <w:widowControl w:val="0"/>
        <w:numPr>
          <w:ilvl w:val="0"/>
          <w:numId w:val="4"/>
        </w:numPr>
        <w:suppressAutoHyphens/>
        <w:spacing w:after="120" w:line="360" w:lineRule="auto"/>
        <w:rPr>
          <w:rFonts w:ascii="Verdana" w:hAnsi="Verdana" w:cs="Tahoma"/>
        </w:rPr>
      </w:pPr>
      <w:r w:rsidRPr="008125F7">
        <w:rPr>
          <w:rFonts w:ascii="Verdana" w:hAnsi="Verdana" w:cs="Tahoma"/>
        </w:rPr>
        <w:t>udzieleniu Członkom Zarządu absolutorium z wykonania przez niego obowiązków przez Zwyczajne Walne Zgromadzenie,</w:t>
      </w:r>
    </w:p>
    <w:p w:rsidR="003E5404" w:rsidRPr="008125F7" w:rsidRDefault="003E5404" w:rsidP="002D7AF9">
      <w:pPr>
        <w:spacing w:after="120" w:line="360" w:lineRule="auto"/>
        <w:ind w:left="360"/>
        <w:rPr>
          <w:rFonts w:ascii="Verdana" w:hAnsi="Verdana" w:cs="Tahoma"/>
        </w:rPr>
      </w:pPr>
      <w:r w:rsidRPr="008125F7">
        <w:rPr>
          <w:rFonts w:ascii="Verdana" w:hAnsi="Verdana" w:cs="Tahoma"/>
        </w:rPr>
        <w:t>- pod warunkiem stwierdzenia przez Radę Nadzorczą realizacji przez Członków Zarządu celów zarządczych i określeniu należnej kwoty wypłaty.</w:t>
      </w:r>
    </w:p>
    <w:p w:rsidR="003E5404" w:rsidRPr="008125F7" w:rsidRDefault="003E5404" w:rsidP="002D7AF9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 w:cs="Tahoma"/>
        </w:rPr>
      </w:pPr>
      <w:r w:rsidRPr="008125F7">
        <w:rPr>
          <w:rFonts w:ascii="Verdana" w:hAnsi="Verdana" w:cs="Tahoma"/>
        </w:rPr>
        <w:t>W przypadku sprawowania mandatu przez Członka Zarządu tylko przez część danego roku obrotowego, wysokość Wynagrodzenia uzupełniającego przysługującego za ten rok jest ustalana proporcjonalnie do okresu pełnienia funkcji przez Członka Zarządu w tym roku.</w:t>
      </w:r>
    </w:p>
    <w:p w:rsidR="003E5404" w:rsidRPr="008125F7" w:rsidRDefault="003E5404" w:rsidP="002D7AF9">
      <w:pPr>
        <w:widowControl w:val="0"/>
        <w:numPr>
          <w:ilvl w:val="0"/>
          <w:numId w:val="2"/>
        </w:numPr>
        <w:suppressAutoHyphens/>
        <w:spacing w:after="120" w:line="360" w:lineRule="auto"/>
        <w:ind w:left="426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Wygaśnięcie mandatu Członka Zarządu w trakcie albo po upływie roku obrotowego ocenianego pod względem wykonania celów zarządczych nie powoduje utraty prawa do Wynagrodzenia uzupełniającego. </w:t>
      </w:r>
    </w:p>
    <w:p w:rsidR="003E5404" w:rsidRPr="008125F7" w:rsidRDefault="003E5404" w:rsidP="002D7AF9">
      <w:pPr>
        <w:spacing w:before="100" w:beforeAutospacing="1" w:after="0" w:line="360" w:lineRule="auto"/>
        <w:rPr>
          <w:rFonts w:ascii="Verdana" w:hAnsi="Verdana" w:cs="Tahoma"/>
        </w:rPr>
      </w:pPr>
      <w:r w:rsidRPr="008125F7">
        <w:rPr>
          <w:rFonts w:ascii="Verdana" w:hAnsi="Verdana" w:cs="Tahoma"/>
        </w:rPr>
        <w:t>§ 5</w:t>
      </w:r>
    </w:p>
    <w:p w:rsidR="003E5404" w:rsidRDefault="003E5404" w:rsidP="002D7AF9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120" w:line="360" w:lineRule="auto"/>
        <w:ind w:left="284" w:hanging="284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Ustala się następujące cele zarządcze: </w:t>
      </w:r>
    </w:p>
    <w:p w:rsidR="008125F7" w:rsidRPr="008125F7" w:rsidRDefault="008125F7" w:rsidP="002D7AF9">
      <w:pPr>
        <w:spacing w:line="360" w:lineRule="auto"/>
        <w:rPr>
          <w:rFonts w:ascii="Verdana" w:eastAsia="Times New Roman" w:hAnsi="Verdana" w:cs="Calibri"/>
        </w:rPr>
      </w:pPr>
      <w:r w:rsidRPr="008125F7">
        <w:rPr>
          <w:rStyle w:val="s1"/>
          <w:rFonts w:ascii="Verdana" w:eastAsia="Times New Roman" w:hAnsi="Verdana" w:cs="Calibri"/>
          <w:sz w:val="22"/>
          <w:szCs w:val="22"/>
        </w:rPr>
        <w:t xml:space="preserve">Do publikacji w BIP, wyłączenia jawności informacji o celach zarządczych, wagach tych celów, a także kryteriach ich realizacji i rozliczania dokonano, na podstawie art. 11 ust. 1 ustawy z dnia 9 czerwca 2016 r. o zasadach kształtowania wynagrodzeń osób kierujących niektórymi spółkami (Dz. U. z 2016 r. poz. 1202 z </w:t>
      </w:r>
      <w:proofErr w:type="spellStart"/>
      <w:r w:rsidRPr="008125F7">
        <w:rPr>
          <w:rStyle w:val="s1"/>
          <w:rFonts w:ascii="Verdana" w:eastAsia="Times New Roman" w:hAnsi="Verdana" w:cs="Calibri"/>
          <w:sz w:val="22"/>
          <w:szCs w:val="22"/>
        </w:rPr>
        <w:t>późn</w:t>
      </w:r>
      <w:proofErr w:type="spellEnd"/>
      <w:r w:rsidRPr="008125F7">
        <w:rPr>
          <w:rStyle w:val="s1"/>
          <w:rFonts w:ascii="Verdana" w:eastAsia="Times New Roman" w:hAnsi="Verdana" w:cs="Calibri"/>
          <w:sz w:val="22"/>
          <w:szCs w:val="22"/>
        </w:rPr>
        <w:t>. zm.).</w:t>
      </w:r>
      <w:r>
        <w:rPr>
          <w:rStyle w:val="s1"/>
          <w:rFonts w:ascii="Verdana" w:eastAsia="Times New Roman" w:hAnsi="Verdana" w:cs="Calibri"/>
          <w:sz w:val="22"/>
          <w:szCs w:val="22"/>
        </w:rPr>
        <w:t xml:space="preserve"> </w:t>
      </w:r>
      <w:r w:rsidRPr="008125F7">
        <w:rPr>
          <w:rStyle w:val="s1"/>
          <w:rFonts w:ascii="Verdana" w:eastAsia="Times New Roman" w:hAnsi="Verdana" w:cs="Calibri"/>
          <w:sz w:val="22"/>
          <w:szCs w:val="22"/>
        </w:rPr>
        <w:t xml:space="preserve">Wyłączenia dokonała Pani Magdalena Wojtyła-Lankamer, Główny Specjalista w Biurze Nadzoru Właścicielskiego Urzędu Miejskiego Wrocławia. </w:t>
      </w:r>
    </w:p>
    <w:p w:rsidR="003E5404" w:rsidRPr="008125F7" w:rsidRDefault="003E5404" w:rsidP="002D7AF9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spacing w:after="120" w:line="360" w:lineRule="auto"/>
        <w:ind w:left="426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Upoważnia się Radę Nadzorczą do ustalenia szczegółowych celów zarządczych, wag tych celów oraz obiektywnych i mierzalnych kryteriów (wskaźników) ich realizacji i rozliczenia (KPI) w terminie do końca pierwszego kwartału roku obrotowego, na który cele są ustalane, z zastrzeżeniem roku </w:t>
      </w:r>
      <w:r w:rsidRPr="008125F7">
        <w:rPr>
          <w:rFonts w:ascii="Verdana" w:hAnsi="Verdana" w:cs="Tahoma"/>
        </w:rPr>
        <w:lastRenderedPageBreak/>
        <w:t>2017, w którym w/w ustalenia nastąpią niezwłocznie po ukształtowaniu w Spółce zasad wynagradzania zgodnie z Ustawą.</w:t>
      </w:r>
    </w:p>
    <w:p w:rsidR="003E5404" w:rsidRPr="008125F7" w:rsidRDefault="003E5404" w:rsidP="002D7AF9">
      <w:pPr>
        <w:tabs>
          <w:tab w:val="left" w:pos="426"/>
        </w:tabs>
        <w:spacing w:before="100" w:beforeAutospacing="1"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§ 6</w:t>
      </w:r>
    </w:p>
    <w:p w:rsidR="003E5404" w:rsidRPr="008125F7" w:rsidRDefault="003E5404" w:rsidP="002D7AF9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 w:cs="Tahoma"/>
        </w:rPr>
      </w:pPr>
      <w:r w:rsidRPr="008125F7">
        <w:rPr>
          <w:rFonts w:ascii="Verdana" w:hAnsi="Verdana" w:cs="Tahoma"/>
        </w:rPr>
        <w:t xml:space="preserve">Umowa powinna zawierać w szczególności następujące zapisy: 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</w:rPr>
        <w:t xml:space="preserve">Członek Zarządu zobowiązuje się nie pobierać wynagrodzenia z tytułu pełnienia funkcji członka organu w podmiotach zależnych od Spółki w ramach grupy kapitałowej w rozumieniu art. 4 </w:t>
      </w:r>
      <w:proofErr w:type="spellStart"/>
      <w:r w:rsidRPr="008125F7">
        <w:rPr>
          <w:rFonts w:ascii="Verdana" w:hAnsi="Verdana" w:cs="Tahoma"/>
        </w:rPr>
        <w:t>pkt</w:t>
      </w:r>
      <w:proofErr w:type="spellEnd"/>
      <w:r w:rsidRPr="008125F7">
        <w:rPr>
          <w:rFonts w:ascii="Verdana" w:hAnsi="Verdana" w:cs="Tahoma"/>
        </w:rPr>
        <w:t xml:space="preserve"> 14 ustawy z dnia 16 lutego 2007 r. o ochronie konkurencji i konsumentów (Dz. U. z 2017r., poz. 229).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</w:rPr>
        <w:t>Członek Zarządu jest zobowiązany do informowania Spółki w terminie co najmniej z 14-dniowym wyprzedzeniem o planowa</w:t>
      </w:r>
      <w:r w:rsidR="008125F7">
        <w:rPr>
          <w:rFonts w:ascii="Verdana" w:hAnsi="Verdana" w:cs="Tahoma"/>
        </w:rPr>
        <w:t xml:space="preserve">nym zamiarze pełnienia funkcji </w:t>
      </w:r>
      <w:r w:rsidRPr="008125F7">
        <w:rPr>
          <w:rFonts w:ascii="Verdana" w:hAnsi="Verdana" w:cs="Tahoma"/>
        </w:rPr>
        <w:t xml:space="preserve">w organie spółki handlowej innej niż Spółka oraz o nabyciu w takiej spółce handlowej udziału/ów lub akcji.  </w:t>
      </w:r>
    </w:p>
    <w:p w:rsidR="00C75815" w:rsidRPr="008125F7" w:rsidRDefault="00C75815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</w:rPr>
        <w:t>Aktywność społeczna lub zarobkowa Członka Zarządu nie może rodzić konfliktu interesów wobec działalności Spółki.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 xml:space="preserve">Członek Zarządu nie może bez zgody Rady Nadzorczej zajmować się interesami konkurencyjnymi w spółce konkurencyjnej jako wspólnik spółki cywilnej, spółki osobowej lub jako członek organu spółki kapitałowej bądź uczestniczyć w innej konkurencyjnej osobie prawnej jako członek jej organu. Zakaz obejmuje także udział w konkurencyjnej spółce kapitałowej w przypadku posiadania w niej przez Członka Zarządu co najmniej 10% (dziesięć procent) udziałów lub akcji tej spółki bądź prawa do powołania co najmniej jednego Członka Zarządu. 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 xml:space="preserve">Każda ze Stron jest uprawniona do wypowiedzenia Umowy z zachowaniem trzymiesięcznego okresu wypowiedzenia, ze skutkiem na koniec miesiąca kalendarzowego. 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Każda ze Stron jest uprawniona do wypowiedzenia Umowy bez zachowania okresu wypowiedzenia (ze skutkiem natychmiastowym) w przypadku naruszenia istotnego postanowienia Umowy przez drugą Stronę (ważne powody).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 xml:space="preserve">W przypadku rozwiązania albo wypowiedzenia Umowy przez Spółkę z innych przyczyn niż naruszenie przez Członka Zarządu podstawowych </w:t>
      </w:r>
      <w:r w:rsidRPr="008125F7">
        <w:rPr>
          <w:rFonts w:ascii="Verdana" w:hAnsi="Verdana" w:cs="Tahoma"/>
          <w:bCs/>
        </w:rPr>
        <w:lastRenderedPageBreak/>
        <w:t>obowiązków wynikających z Umowy, przysługuje mu odprawa w wysokości odpowiadającej trzykrotności Wynagrodzenia Podstawowego pod warunkiem pełnienie przez niego funkcji w zarządzie Spółki przez okres co najmniej 12 miesięcy przed wygaśnięciem Umowy.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 xml:space="preserve">Odprawa, o której mowa w </w:t>
      </w:r>
      <w:proofErr w:type="spellStart"/>
      <w:r w:rsidRPr="008125F7">
        <w:rPr>
          <w:rFonts w:ascii="Verdana" w:hAnsi="Verdana" w:cs="Tahoma"/>
          <w:bCs/>
        </w:rPr>
        <w:t>pkt</w:t>
      </w:r>
      <w:proofErr w:type="spellEnd"/>
      <w:r w:rsidRPr="008125F7">
        <w:rPr>
          <w:rFonts w:ascii="Verdana" w:hAnsi="Verdana" w:cs="Tahoma"/>
          <w:bCs/>
        </w:rPr>
        <w:t xml:space="preserve"> </w:t>
      </w:r>
      <w:r w:rsidR="00C1069E" w:rsidRPr="008125F7">
        <w:rPr>
          <w:rFonts w:ascii="Verdana" w:hAnsi="Verdana" w:cs="Tahoma"/>
          <w:bCs/>
        </w:rPr>
        <w:t>7</w:t>
      </w:r>
      <w:r w:rsidRPr="008125F7">
        <w:rPr>
          <w:rFonts w:ascii="Verdana" w:hAnsi="Verdana" w:cs="Tahoma"/>
          <w:bCs/>
        </w:rPr>
        <w:t>) nie przysługuje w przypadku zmiany funkcji pełnionej przez Członka Zarządu w składzie Zarządu albo powołania go na kolejną kadencję Zarządu.</w:t>
      </w:r>
    </w:p>
    <w:p w:rsidR="003E5404" w:rsidRPr="008125F7" w:rsidRDefault="003E5404" w:rsidP="002D7AF9">
      <w:pPr>
        <w:widowControl w:val="0"/>
        <w:numPr>
          <w:ilvl w:val="0"/>
          <w:numId w:val="8"/>
        </w:numPr>
        <w:suppressAutoHyphens/>
        <w:spacing w:after="12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W przypadku wygaśnięcia mandatu, w szczególności na skutek śmierci, odwołania lub rezygnacji, Umowa wygasa z ostatnim dniem pełnienia funkcji bez okresu wypowiedzenia i konieczności dokonywania dodatkowych czynności.</w:t>
      </w:r>
    </w:p>
    <w:p w:rsidR="00FA08C8" w:rsidRPr="008125F7" w:rsidRDefault="00FA08C8" w:rsidP="002D7AF9">
      <w:pPr>
        <w:widowControl w:val="0"/>
        <w:numPr>
          <w:ilvl w:val="0"/>
          <w:numId w:val="8"/>
        </w:numPr>
        <w:suppressAutoHyphens/>
        <w:spacing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Umowa powinna określać zasady wykorzystania przez Członka Zarządu płatnych przerw w świadczeniu usług, w wymiarze nie przekraczającym 30  (trzydzieści) dni roboczych lub w ilości dni określonych proporcjonalnie do okresu trwania Umowy – w przypadku, jeśli Umowa trwa krócej niż pełny rok.</w:t>
      </w:r>
    </w:p>
    <w:p w:rsidR="003E5404" w:rsidRPr="008125F7" w:rsidRDefault="003E5404" w:rsidP="002D7AF9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Upoważnia się Radę Nadzorczą do uszczegółowienia warunków Umowy przy uwzględnieniu przepisów Ustawy, interesu strategicznego Spółki i jej charakteru, interesu publicznego i polityki właścicielskiej wobec nadzorowanych Spółek.</w:t>
      </w:r>
    </w:p>
    <w:p w:rsidR="003E5404" w:rsidRPr="008125F7" w:rsidRDefault="003E5404" w:rsidP="002D7AF9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 xml:space="preserve">Rada Nadzorcza określi w Umowie zakres i zasady udostępniania Członkowi Zarządu urządzeń technicznych oraz zasobów stanowiących mienie Spółki niezbędnych </w:t>
      </w:r>
      <w:bookmarkStart w:id="0" w:name="_GoBack"/>
      <w:bookmarkEnd w:id="0"/>
      <w:r w:rsidRPr="008125F7">
        <w:rPr>
          <w:rFonts w:ascii="Verdana" w:hAnsi="Verdana" w:cs="Tahoma"/>
          <w:bCs/>
        </w:rPr>
        <w:t>do wykonywania funkcji.</w:t>
      </w:r>
    </w:p>
    <w:p w:rsidR="00436805" w:rsidRPr="008125F7" w:rsidRDefault="00436805" w:rsidP="002D7AF9">
      <w:pPr>
        <w:widowControl w:val="0"/>
        <w:numPr>
          <w:ilvl w:val="0"/>
          <w:numId w:val="6"/>
        </w:numPr>
        <w:suppressAutoHyphens/>
        <w:spacing w:after="120" w:line="360" w:lineRule="auto"/>
        <w:ind w:left="284" w:hanging="284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Nie ustanawia się zakazu konkurencji z Członkiem Zarządu po ustaniu pełnienia funkcji.</w:t>
      </w:r>
    </w:p>
    <w:p w:rsidR="003E5404" w:rsidRPr="008125F7" w:rsidRDefault="003E5404" w:rsidP="002D7AF9">
      <w:pPr>
        <w:tabs>
          <w:tab w:val="left" w:pos="426"/>
        </w:tabs>
        <w:spacing w:before="100" w:beforeAutospacing="1"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§ 7</w:t>
      </w:r>
    </w:p>
    <w:p w:rsidR="003E5404" w:rsidRPr="008125F7" w:rsidRDefault="003E5404" w:rsidP="002D7AF9">
      <w:pPr>
        <w:spacing w:after="120" w:line="360" w:lineRule="auto"/>
        <w:rPr>
          <w:rFonts w:ascii="Verdana" w:hAnsi="Verdana" w:cs="Tahoma"/>
        </w:rPr>
      </w:pPr>
      <w:r w:rsidRPr="008125F7">
        <w:rPr>
          <w:rFonts w:ascii="Verdana" w:hAnsi="Verdana" w:cs="Tahoma"/>
        </w:rPr>
        <w:t>Tracą moc wszystkie dotychczasowe uregulowania ustalające wynagrodzenie dla Członka Zarządu Spółki.</w:t>
      </w:r>
    </w:p>
    <w:p w:rsidR="003E5404" w:rsidRPr="008125F7" w:rsidRDefault="003E5404" w:rsidP="002D7AF9">
      <w:pPr>
        <w:tabs>
          <w:tab w:val="left" w:pos="426"/>
        </w:tabs>
        <w:spacing w:before="100" w:beforeAutospacing="1" w:after="0" w:line="360" w:lineRule="auto"/>
        <w:rPr>
          <w:rFonts w:ascii="Verdana" w:hAnsi="Verdana" w:cs="Tahoma"/>
          <w:bCs/>
        </w:rPr>
      </w:pPr>
      <w:r w:rsidRPr="008125F7">
        <w:rPr>
          <w:rFonts w:ascii="Verdana" w:hAnsi="Verdana" w:cs="Tahoma"/>
          <w:bCs/>
        </w:rPr>
        <w:t>§ 8</w:t>
      </w:r>
    </w:p>
    <w:p w:rsidR="003E5404" w:rsidRDefault="003E5404" w:rsidP="002D7AF9">
      <w:pPr>
        <w:spacing w:after="120" w:line="360" w:lineRule="auto"/>
        <w:ind w:left="510" w:hanging="510"/>
        <w:rPr>
          <w:rFonts w:ascii="Verdana" w:hAnsi="Verdana" w:cs="Tahoma"/>
        </w:rPr>
      </w:pPr>
      <w:r w:rsidRPr="008125F7">
        <w:rPr>
          <w:rFonts w:ascii="Verdana" w:hAnsi="Verdana" w:cs="Tahoma"/>
        </w:rPr>
        <w:t>Uchwała wchodzi w życie z dniem podpisania.</w:t>
      </w:r>
    </w:p>
    <w:p w:rsidR="002D7AF9" w:rsidRDefault="002D7AF9" w:rsidP="006B6AE5">
      <w:pPr>
        <w:spacing w:after="0" w:line="360" w:lineRule="auto"/>
        <w:ind w:left="510" w:hanging="510"/>
        <w:contextualSpacing/>
        <w:rPr>
          <w:rFonts w:ascii="Verdana" w:hAnsi="Verdana" w:cs="Tahoma"/>
        </w:rPr>
      </w:pPr>
      <w:r>
        <w:rPr>
          <w:rFonts w:ascii="Verdana" w:hAnsi="Verdana" w:cs="Tahoma"/>
        </w:rPr>
        <w:t>dokument podpisał</w:t>
      </w:r>
    </w:p>
    <w:p w:rsidR="004F5809" w:rsidRPr="008125F7" w:rsidRDefault="004F5809" w:rsidP="002D7AF9">
      <w:pPr>
        <w:spacing w:before="100" w:beforeAutospacing="1" w:after="0" w:line="360" w:lineRule="auto"/>
        <w:ind w:left="510" w:hanging="510"/>
        <w:contextualSpacing/>
        <w:rPr>
          <w:rFonts w:ascii="Verdana" w:hAnsi="Verdana" w:cs="Tahoma"/>
        </w:rPr>
      </w:pPr>
      <w:r>
        <w:rPr>
          <w:rFonts w:ascii="Verdana" w:hAnsi="Verdana" w:cs="Tahoma"/>
        </w:rPr>
        <w:t>Przewodniczący Zwyczajnego Walnego Zgromadzenia Wojciech Adamski</w:t>
      </w:r>
    </w:p>
    <w:sectPr w:rsidR="004F5809" w:rsidRPr="008125F7" w:rsidSect="00E85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5404"/>
    <w:rsid w:val="00012ACE"/>
    <w:rsid w:val="00046EB5"/>
    <w:rsid w:val="000630A9"/>
    <w:rsid w:val="00093477"/>
    <w:rsid w:val="001477ED"/>
    <w:rsid w:val="001668A5"/>
    <w:rsid w:val="001F759D"/>
    <w:rsid w:val="00227296"/>
    <w:rsid w:val="002562C4"/>
    <w:rsid w:val="0026434A"/>
    <w:rsid w:val="002826A0"/>
    <w:rsid w:val="002D7AF9"/>
    <w:rsid w:val="00352602"/>
    <w:rsid w:val="003E5404"/>
    <w:rsid w:val="00436805"/>
    <w:rsid w:val="004F5809"/>
    <w:rsid w:val="00522D6D"/>
    <w:rsid w:val="005B636F"/>
    <w:rsid w:val="0063139E"/>
    <w:rsid w:val="00666A55"/>
    <w:rsid w:val="0069471D"/>
    <w:rsid w:val="006B6AE5"/>
    <w:rsid w:val="00700B4C"/>
    <w:rsid w:val="00777905"/>
    <w:rsid w:val="008125F7"/>
    <w:rsid w:val="00A60860"/>
    <w:rsid w:val="00B40708"/>
    <w:rsid w:val="00BB37F1"/>
    <w:rsid w:val="00C1069E"/>
    <w:rsid w:val="00C75815"/>
    <w:rsid w:val="00CB5A49"/>
    <w:rsid w:val="00CD2CE0"/>
    <w:rsid w:val="00CE072F"/>
    <w:rsid w:val="00D60EE2"/>
    <w:rsid w:val="00DB41CA"/>
    <w:rsid w:val="00DE618B"/>
    <w:rsid w:val="00E842A0"/>
    <w:rsid w:val="00E851E1"/>
    <w:rsid w:val="00EF285F"/>
    <w:rsid w:val="00FA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40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E540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60860"/>
    <w:pPr>
      <w:ind w:left="720"/>
      <w:contextualSpacing/>
    </w:pPr>
  </w:style>
  <w:style w:type="paragraph" w:styleId="Bezodstpw">
    <w:name w:val="No Spacing"/>
    <w:uiPriority w:val="1"/>
    <w:qFormat/>
    <w:rsid w:val="008125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8125F7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Nagwek1Znak">
    <w:name w:val="Nagłówek 1 Znak"/>
    <w:basedOn w:val="Domylnaczcionkaakapitu"/>
    <w:link w:val="Nagwek1"/>
    <w:uiPriority w:val="9"/>
    <w:rsid w:val="002D7A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Fedorczak, Anna (Aquapark Wrocław)</dc:creator>
  <cp:lastModifiedBy>umelja04</cp:lastModifiedBy>
  <cp:revision>6</cp:revision>
  <cp:lastPrinted>2017-06-29T12:54:00Z</cp:lastPrinted>
  <dcterms:created xsi:type="dcterms:W3CDTF">2021-02-09T12:25:00Z</dcterms:created>
  <dcterms:modified xsi:type="dcterms:W3CDTF">2021-02-23T13:11:00Z</dcterms:modified>
</cp:coreProperties>
</file>