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0" w:rsidRPr="00565707" w:rsidRDefault="00270190" w:rsidP="00565707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565707" w:rsidRDefault="00423A66" w:rsidP="00565707">
      <w:pPr>
        <w:pStyle w:val="07Datapisma"/>
        <w:spacing w:before="0" w:line="271" w:lineRule="auto"/>
        <w:jc w:val="left"/>
        <w:rPr>
          <w:sz w:val="20"/>
        </w:rPr>
      </w:pPr>
      <w:r w:rsidRPr="00565707">
        <w:rPr>
          <w:sz w:val="20"/>
        </w:rPr>
        <w:t xml:space="preserve">Wrocław, 1 marca </w:t>
      </w:r>
      <w:r w:rsidR="0023295F" w:rsidRPr="00565707">
        <w:rPr>
          <w:sz w:val="20"/>
        </w:rPr>
        <w:t>2021</w:t>
      </w:r>
      <w:r w:rsidR="00565707">
        <w:rPr>
          <w:sz w:val="20"/>
        </w:rPr>
        <w:t xml:space="preserve"> roku</w:t>
      </w:r>
    </w:p>
    <w:p w:rsidR="00270190" w:rsidRPr="00565707" w:rsidRDefault="00270190" w:rsidP="00565707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565707" w:rsidRDefault="00377191" w:rsidP="00565707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565707">
        <w:rPr>
          <w:sz w:val="20"/>
          <w:szCs w:val="20"/>
        </w:rPr>
        <w:t>WS</w:t>
      </w:r>
      <w:r w:rsidR="00716439" w:rsidRPr="00565707">
        <w:rPr>
          <w:sz w:val="20"/>
          <w:szCs w:val="20"/>
        </w:rPr>
        <w:t>S-WBO.152.50</w:t>
      </w:r>
      <w:r w:rsidR="009256AE" w:rsidRPr="00565707">
        <w:rPr>
          <w:sz w:val="20"/>
          <w:szCs w:val="20"/>
        </w:rPr>
        <w:t>.2020</w:t>
      </w:r>
    </w:p>
    <w:p w:rsidR="00270190" w:rsidRPr="00565707" w:rsidRDefault="00270190" w:rsidP="00565707">
      <w:pPr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N</w:t>
      </w:r>
      <w:r w:rsidR="00565707">
        <w:rPr>
          <w:rFonts w:ascii="Verdana" w:hAnsi="Verdana"/>
          <w:sz w:val="20"/>
          <w:szCs w:val="20"/>
        </w:rPr>
        <w:t>umer ewidencyjny</w:t>
      </w:r>
      <w:r w:rsidRPr="00565707">
        <w:rPr>
          <w:rFonts w:ascii="Verdana" w:hAnsi="Verdana"/>
          <w:sz w:val="20"/>
          <w:szCs w:val="20"/>
        </w:rPr>
        <w:t xml:space="preserve">: </w:t>
      </w:r>
      <w:r w:rsidR="0023295F" w:rsidRPr="00565707">
        <w:rPr>
          <w:rFonts w:ascii="Verdana" w:hAnsi="Verdana"/>
          <w:sz w:val="20"/>
          <w:szCs w:val="20"/>
        </w:rPr>
        <w:t>00018984</w:t>
      </w:r>
      <w:r w:rsidR="001656EA" w:rsidRPr="00565707">
        <w:rPr>
          <w:rFonts w:ascii="Verdana" w:hAnsi="Verdana"/>
          <w:sz w:val="20"/>
          <w:szCs w:val="20"/>
        </w:rPr>
        <w:t>/2020</w:t>
      </w:r>
      <w:r w:rsidRPr="00565707">
        <w:rPr>
          <w:rFonts w:ascii="Verdana" w:hAnsi="Verdana"/>
          <w:sz w:val="20"/>
          <w:szCs w:val="20"/>
        </w:rPr>
        <w:t>/W</w:t>
      </w:r>
    </w:p>
    <w:p w:rsidR="006209BE" w:rsidRPr="00565707" w:rsidRDefault="006209BE" w:rsidP="00565707">
      <w:pPr>
        <w:pStyle w:val="11Trescpisma"/>
        <w:spacing w:before="0" w:line="271" w:lineRule="auto"/>
        <w:jc w:val="left"/>
        <w:rPr>
          <w:szCs w:val="20"/>
        </w:rPr>
      </w:pPr>
    </w:p>
    <w:p w:rsidR="009D4877" w:rsidRPr="00565707" w:rsidRDefault="0023295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w odpowiedzi na petycję z dnia 2 grudnia 2020 r</w:t>
      </w:r>
      <w:r w:rsidR="00565707">
        <w:rPr>
          <w:rFonts w:ascii="Verdana" w:hAnsi="Verdana"/>
          <w:sz w:val="20"/>
          <w:szCs w:val="20"/>
        </w:rPr>
        <w:t>oku</w:t>
      </w:r>
      <w:r w:rsidRPr="00565707">
        <w:rPr>
          <w:rFonts w:ascii="Verdana" w:hAnsi="Verdana"/>
          <w:sz w:val="20"/>
          <w:szCs w:val="20"/>
        </w:rPr>
        <w:t xml:space="preserve"> w sprawie przeprowadzenia deratyzacji oraz opracowania i wprowadzenia w życie programu kontroli gryzoni </w:t>
      </w:r>
      <w:r w:rsidRPr="00565707">
        <w:rPr>
          <w:rFonts w:ascii="Verdana" w:hAnsi="Verdana" w:cs="Helv"/>
          <w:color w:val="000000"/>
          <w:sz w:val="20"/>
          <w:szCs w:val="20"/>
        </w:rPr>
        <w:t xml:space="preserve">poniżej przedstawiam </w:t>
      </w:r>
      <w:r w:rsidRPr="00565707">
        <w:rPr>
          <w:rFonts w:ascii="Verdana" w:hAnsi="Verdana"/>
          <w:sz w:val="20"/>
          <w:szCs w:val="20"/>
        </w:rPr>
        <w:t>zbiorczą odpowiedź Urzędu Miejskiego Wrocławia, składającą się z opinii Departamentu Zrównoważonego Rozwoju - Wydziału Środowiska i Rolnictwa Urzędu Miejskiego Wrocławia</w:t>
      </w:r>
      <w:r w:rsidR="00347F6C" w:rsidRPr="00565707">
        <w:rPr>
          <w:rFonts w:ascii="Verdana" w:hAnsi="Verdana"/>
          <w:sz w:val="20"/>
          <w:szCs w:val="20"/>
        </w:rPr>
        <w:t>,</w:t>
      </w:r>
      <w:r w:rsidRPr="00565707">
        <w:rPr>
          <w:rFonts w:ascii="Verdana" w:hAnsi="Verdana"/>
          <w:sz w:val="20"/>
          <w:szCs w:val="20"/>
        </w:rPr>
        <w:t xml:space="preserve"> Miejskiego Przedsiębiorstwa</w:t>
      </w:r>
      <w:r w:rsidR="00565707">
        <w:rPr>
          <w:rFonts w:ascii="Verdana" w:hAnsi="Verdana"/>
          <w:sz w:val="20"/>
          <w:szCs w:val="20"/>
        </w:rPr>
        <w:t xml:space="preserve"> Wodociągów i Kanalizacji Spółka Akcyjna</w:t>
      </w:r>
      <w:r w:rsidRPr="00565707">
        <w:rPr>
          <w:rFonts w:ascii="Verdana" w:hAnsi="Verdana"/>
          <w:sz w:val="20"/>
          <w:szCs w:val="20"/>
        </w:rPr>
        <w:t xml:space="preserve"> we Wrocławiu</w:t>
      </w:r>
      <w:r w:rsidR="00347F6C" w:rsidRPr="00565707">
        <w:rPr>
          <w:rFonts w:ascii="Verdana" w:hAnsi="Verdana"/>
          <w:sz w:val="20"/>
          <w:szCs w:val="20"/>
        </w:rPr>
        <w:t xml:space="preserve">, </w:t>
      </w:r>
      <w:r w:rsidRPr="00565707">
        <w:rPr>
          <w:rFonts w:ascii="Verdana" w:hAnsi="Verdana"/>
          <w:sz w:val="20"/>
          <w:szCs w:val="20"/>
        </w:rPr>
        <w:t>Straży Miejskiej Wrocławia, Wrocławskich</w:t>
      </w:r>
      <w:r w:rsidR="00565707">
        <w:rPr>
          <w:rFonts w:ascii="Verdana" w:hAnsi="Verdana"/>
          <w:sz w:val="20"/>
          <w:szCs w:val="20"/>
        </w:rPr>
        <w:t xml:space="preserve"> Mieszkania Spółka z ograniczoną odpowiedzialnością</w:t>
      </w:r>
      <w:r w:rsidRPr="00565707">
        <w:rPr>
          <w:rFonts w:ascii="Verdana" w:hAnsi="Verdana"/>
          <w:sz w:val="20"/>
          <w:szCs w:val="20"/>
        </w:rPr>
        <w:t>, Zarządu Dróg i Utrzymania Miasta we Wrocławiu, Zarządu Zasobu Komunalnego we Wrocławiu oraz Zarząd Zieleni Miejskiej we Wrocławiu</w:t>
      </w:r>
      <w:r w:rsidR="009D4877" w:rsidRPr="00565707">
        <w:rPr>
          <w:rFonts w:ascii="Verdana" w:hAnsi="Verdana"/>
          <w:sz w:val="20"/>
          <w:szCs w:val="20"/>
        </w:rPr>
        <w:t>.</w:t>
      </w:r>
    </w:p>
    <w:p w:rsidR="009D4877" w:rsidRPr="00565707" w:rsidRDefault="009D4877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3295F" w:rsidRPr="00565707" w:rsidRDefault="009D4877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Informuję, że poniższa odpowiedź</w:t>
      </w:r>
      <w:r w:rsidR="002946E1" w:rsidRPr="00565707">
        <w:rPr>
          <w:rFonts w:ascii="Verdana" w:hAnsi="Verdana"/>
          <w:sz w:val="20"/>
          <w:szCs w:val="20"/>
        </w:rPr>
        <w:t xml:space="preserve"> zbiorcza </w:t>
      </w:r>
      <w:r w:rsidRPr="00565707">
        <w:rPr>
          <w:rFonts w:ascii="Verdana" w:hAnsi="Verdana"/>
          <w:sz w:val="20"/>
          <w:szCs w:val="20"/>
        </w:rPr>
        <w:t>została przygotowana</w:t>
      </w:r>
      <w:r w:rsidR="002946E1" w:rsidRPr="00565707">
        <w:rPr>
          <w:rFonts w:ascii="Verdana" w:hAnsi="Verdana"/>
          <w:sz w:val="20"/>
          <w:szCs w:val="20"/>
        </w:rPr>
        <w:t xml:space="preserve"> zgodnie obowiązującą procedurą przez Wydział Partycypacji Społecznej </w:t>
      </w:r>
      <w:r w:rsidR="00423A66" w:rsidRPr="00565707">
        <w:rPr>
          <w:rFonts w:ascii="Verdana" w:hAnsi="Verdana"/>
          <w:sz w:val="20"/>
          <w:szCs w:val="20"/>
        </w:rPr>
        <w:t>Urzędu Miejskiego Wrocławia</w:t>
      </w:r>
      <w:r w:rsidRPr="00565707">
        <w:rPr>
          <w:rFonts w:ascii="Verdana" w:hAnsi="Verdana"/>
          <w:sz w:val="20"/>
          <w:szCs w:val="20"/>
        </w:rPr>
        <w:t xml:space="preserve"> wyłącznie na podstawie informacji przekazanej przez w</w:t>
      </w:r>
      <w:r w:rsidR="0051506A">
        <w:rPr>
          <w:rFonts w:ascii="Verdana" w:hAnsi="Verdana"/>
          <w:sz w:val="20"/>
          <w:szCs w:val="20"/>
        </w:rPr>
        <w:t>yżej wymienione</w:t>
      </w:r>
      <w:r w:rsidRPr="00565707">
        <w:rPr>
          <w:rFonts w:ascii="Verdana" w:hAnsi="Verdana"/>
          <w:sz w:val="20"/>
          <w:szCs w:val="20"/>
        </w:rPr>
        <w:t xml:space="preserve"> podmioty.</w:t>
      </w:r>
      <w:r w:rsidR="00423A66" w:rsidRPr="00565707">
        <w:rPr>
          <w:rFonts w:ascii="Verdana" w:hAnsi="Verdana"/>
          <w:sz w:val="20"/>
          <w:szCs w:val="20"/>
        </w:rPr>
        <w:t xml:space="preserve"> I tak:</w:t>
      </w:r>
    </w:p>
    <w:p w:rsidR="00DB5521" w:rsidRPr="00565707" w:rsidRDefault="00DB5521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65764" w:rsidRPr="00565707" w:rsidRDefault="009D4877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Z</w:t>
      </w:r>
      <w:r w:rsidR="00565764" w:rsidRPr="00565707">
        <w:rPr>
          <w:rFonts w:ascii="Verdana" w:hAnsi="Verdana"/>
          <w:bCs/>
          <w:sz w:val="20"/>
          <w:szCs w:val="20"/>
        </w:rPr>
        <w:t>godnie</w:t>
      </w:r>
      <w:r w:rsidR="003D0963" w:rsidRPr="00565707">
        <w:rPr>
          <w:rFonts w:ascii="Verdana" w:hAnsi="Verdana"/>
          <w:bCs/>
          <w:sz w:val="20"/>
          <w:szCs w:val="20"/>
        </w:rPr>
        <w:t xml:space="preserve"> </w:t>
      </w:r>
      <w:r w:rsidR="00565764" w:rsidRPr="00565707">
        <w:rPr>
          <w:rFonts w:ascii="Verdana" w:hAnsi="Verdana"/>
          <w:bCs/>
          <w:sz w:val="20"/>
          <w:szCs w:val="20"/>
        </w:rPr>
        <w:t xml:space="preserve">z obowiązującymi przepisami prawa obowiązek przeprowadzenia deratyzacji spoczywa na właścicielach nieruchomości, rozumianych także jako współwłaściciele, użytkownicy wieczyści, jednostki organizacyjne i </w:t>
      </w:r>
      <w:r w:rsidR="00565707">
        <w:rPr>
          <w:rFonts w:ascii="Verdana" w:hAnsi="Verdana"/>
          <w:bCs/>
          <w:sz w:val="20"/>
          <w:szCs w:val="20"/>
        </w:rPr>
        <w:t xml:space="preserve">osoby posiadające nieruchomości </w:t>
      </w:r>
      <w:r w:rsidR="00565764" w:rsidRPr="00565707">
        <w:rPr>
          <w:rFonts w:ascii="Verdana" w:hAnsi="Verdana"/>
          <w:bCs/>
          <w:sz w:val="20"/>
          <w:szCs w:val="20"/>
        </w:rPr>
        <w:t>w zarządzie lub użytkowaniu oraz inne podmioty władające nieruchomościami.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Obowiązek przeprowadzania deratyzacji na te</w:t>
      </w:r>
      <w:r w:rsidR="008E1B6F" w:rsidRPr="00565707">
        <w:rPr>
          <w:rFonts w:ascii="Verdana" w:hAnsi="Verdana"/>
          <w:bCs/>
          <w:sz w:val="20"/>
          <w:szCs w:val="20"/>
        </w:rPr>
        <w:t xml:space="preserve">renie nieruchomości wchodzących </w:t>
      </w:r>
      <w:r w:rsidRPr="00565707">
        <w:rPr>
          <w:rFonts w:ascii="Verdana" w:hAnsi="Verdana"/>
          <w:bCs/>
          <w:sz w:val="20"/>
          <w:szCs w:val="20"/>
        </w:rPr>
        <w:t>w skład zasobów gminnych spoczywa na: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Zarządzie Zasobu Komunalnego oraz Wrocławskich Mieszkaniach </w:t>
      </w:r>
      <w:r w:rsidR="00565707">
        <w:rPr>
          <w:rFonts w:ascii="Verdana" w:hAnsi="Verdana"/>
          <w:sz w:val="20"/>
          <w:szCs w:val="20"/>
        </w:rPr>
        <w:t>Spółka z ograniczoną odpowiedzialnością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="00347F6C" w:rsidRPr="00565707">
        <w:rPr>
          <w:rFonts w:ascii="Verdana" w:hAnsi="Verdana"/>
          <w:bCs/>
          <w:sz w:val="20"/>
          <w:szCs w:val="20"/>
        </w:rPr>
        <w:t>-</w:t>
      </w:r>
      <w:r w:rsidRPr="00565707">
        <w:rPr>
          <w:rFonts w:ascii="Verdana" w:hAnsi="Verdana"/>
          <w:bCs/>
          <w:sz w:val="20"/>
          <w:szCs w:val="20"/>
        </w:rPr>
        <w:t xml:space="preserve"> zarząd nad zasobem komunalnym Gminy Wrocław</w:t>
      </w:r>
      <w:r w:rsidR="00DC01A8" w:rsidRPr="00565707">
        <w:rPr>
          <w:rFonts w:ascii="Verdana" w:hAnsi="Verdana"/>
          <w:bCs/>
          <w:sz w:val="20"/>
          <w:szCs w:val="20"/>
        </w:rPr>
        <w:t>,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Zarządzie Zieleni Miejskiej </w:t>
      </w:r>
      <w:r w:rsidR="00DC01A8" w:rsidRPr="00565707">
        <w:rPr>
          <w:rFonts w:ascii="Verdana" w:hAnsi="Verdana"/>
          <w:bCs/>
          <w:sz w:val="20"/>
          <w:szCs w:val="20"/>
        </w:rPr>
        <w:t>-</w:t>
      </w:r>
      <w:r w:rsidRPr="00565707">
        <w:rPr>
          <w:rFonts w:ascii="Verdana" w:hAnsi="Verdana"/>
          <w:bCs/>
          <w:sz w:val="20"/>
          <w:szCs w:val="20"/>
        </w:rPr>
        <w:t xml:space="preserve"> tereny zieleni miejskiej, lasy komunalne, lasy państwowe przekazane Gminie Wrocław w zarząd wraz ze znajdującą się na tych terenach małą architekturą oraz urządzeniami wodno-melioracyjnymi,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Zarządzie Dróg i Utrzymania Miasta </w:t>
      </w:r>
      <w:r w:rsidR="00DC01A8" w:rsidRPr="00565707">
        <w:rPr>
          <w:rFonts w:ascii="Verdana" w:hAnsi="Verdana"/>
          <w:bCs/>
          <w:sz w:val="20"/>
          <w:szCs w:val="20"/>
        </w:rPr>
        <w:t>-</w:t>
      </w:r>
      <w:r w:rsidRPr="00565707">
        <w:rPr>
          <w:rFonts w:ascii="Verdana" w:hAnsi="Verdana"/>
          <w:bCs/>
          <w:sz w:val="20"/>
          <w:szCs w:val="20"/>
        </w:rPr>
        <w:t xml:space="preserve"> drogi publiczne i wewnętrzne, miejsca wyznaczone na postój pojazdów samochodowych w strefie płatnego parkowania oraz kanały technologiczne,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Miejski</w:t>
      </w:r>
      <w:r w:rsidR="002946E1" w:rsidRPr="00565707">
        <w:rPr>
          <w:rFonts w:ascii="Verdana" w:hAnsi="Verdana"/>
          <w:bCs/>
          <w:sz w:val="20"/>
          <w:szCs w:val="20"/>
        </w:rPr>
        <w:t>m</w:t>
      </w:r>
      <w:r w:rsidRPr="00565707">
        <w:rPr>
          <w:rFonts w:ascii="Verdana" w:hAnsi="Verdana"/>
          <w:bCs/>
          <w:sz w:val="20"/>
          <w:szCs w:val="20"/>
        </w:rPr>
        <w:t xml:space="preserve"> Przedsiębiorstw</w:t>
      </w:r>
      <w:r w:rsidR="002946E1" w:rsidRPr="00565707">
        <w:rPr>
          <w:rFonts w:ascii="Verdana" w:hAnsi="Verdana"/>
          <w:bCs/>
          <w:sz w:val="20"/>
          <w:szCs w:val="20"/>
        </w:rPr>
        <w:t>ie</w:t>
      </w:r>
      <w:r w:rsidRPr="00565707">
        <w:rPr>
          <w:rFonts w:ascii="Verdana" w:hAnsi="Verdana"/>
          <w:bCs/>
          <w:sz w:val="20"/>
          <w:szCs w:val="20"/>
        </w:rPr>
        <w:t xml:space="preserve"> Wodociągów i Kanalizacji </w:t>
      </w:r>
      <w:r w:rsidR="00565707">
        <w:rPr>
          <w:rFonts w:ascii="Verdana" w:hAnsi="Verdana"/>
          <w:sz w:val="20"/>
          <w:szCs w:val="20"/>
        </w:rPr>
        <w:t>Spółka Akcyjna</w:t>
      </w:r>
      <w:r w:rsidR="00565707" w:rsidRPr="00565707">
        <w:rPr>
          <w:rFonts w:ascii="Verdana" w:hAnsi="Verdana"/>
          <w:sz w:val="20"/>
          <w:szCs w:val="20"/>
        </w:rPr>
        <w:t xml:space="preserve"> </w:t>
      </w:r>
      <w:r w:rsidR="00DC01A8" w:rsidRPr="00565707">
        <w:rPr>
          <w:rFonts w:ascii="Verdana" w:hAnsi="Verdana"/>
          <w:bCs/>
          <w:sz w:val="20"/>
          <w:szCs w:val="20"/>
        </w:rPr>
        <w:t>-</w:t>
      </w:r>
      <w:r w:rsidR="002946E1" w:rsidRPr="00565707">
        <w:rPr>
          <w:rFonts w:ascii="Verdana" w:hAnsi="Verdana"/>
          <w:bCs/>
          <w:sz w:val="20"/>
          <w:szCs w:val="20"/>
        </w:rPr>
        <w:t xml:space="preserve"> z zakresie </w:t>
      </w:r>
      <w:r w:rsidRPr="00565707">
        <w:rPr>
          <w:rFonts w:ascii="Verdana" w:hAnsi="Verdana"/>
          <w:bCs/>
          <w:sz w:val="20"/>
          <w:szCs w:val="20"/>
        </w:rPr>
        <w:t>sie</w:t>
      </w:r>
      <w:r w:rsidR="002946E1" w:rsidRPr="00565707">
        <w:rPr>
          <w:rFonts w:ascii="Verdana" w:hAnsi="Verdana"/>
          <w:bCs/>
          <w:sz w:val="20"/>
          <w:szCs w:val="20"/>
        </w:rPr>
        <w:t>ci</w:t>
      </w:r>
      <w:r w:rsidRPr="00565707">
        <w:rPr>
          <w:rFonts w:ascii="Verdana" w:hAnsi="Verdana"/>
          <w:bCs/>
          <w:sz w:val="20"/>
          <w:szCs w:val="20"/>
        </w:rPr>
        <w:t xml:space="preserve"> kanalizacji sanitarnej</w:t>
      </w:r>
      <w:r w:rsidR="00423A66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i ogólnospławnej w obrębie Stare Miasto wraz ze studniami i wpustami deszczowymi oraz sie</w:t>
      </w:r>
      <w:r w:rsidR="002946E1" w:rsidRPr="00565707">
        <w:rPr>
          <w:rFonts w:ascii="Verdana" w:hAnsi="Verdana"/>
          <w:bCs/>
          <w:sz w:val="20"/>
          <w:szCs w:val="20"/>
        </w:rPr>
        <w:t>ci</w:t>
      </w:r>
      <w:r w:rsidRPr="00565707">
        <w:rPr>
          <w:rFonts w:ascii="Verdana" w:hAnsi="Verdana"/>
          <w:bCs/>
          <w:sz w:val="20"/>
          <w:szCs w:val="20"/>
        </w:rPr>
        <w:t xml:space="preserve"> kanalizacji sanitarnej grawitacyjnej o średnicach od 500 mm, przebiegająca w obrębach geodezyjnych: </w:t>
      </w:r>
      <w:r w:rsidRPr="00565707">
        <w:rPr>
          <w:rFonts w:ascii="Verdana" w:hAnsi="Verdana"/>
          <w:bCs/>
          <w:iCs/>
          <w:sz w:val="20"/>
          <w:szCs w:val="20"/>
        </w:rPr>
        <w:t>Gaj, Grabiszyn, Kleczków, Muchobór Mały, Plac Grunwaldzki, Południe, Popowice, Rakowiec, Stare Miasto, Tarnogaj,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lastRenderedPageBreak/>
        <w:t xml:space="preserve">Wydziale Finansowania Oświaty Urzędu Miejskiego Wrocławia </w:t>
      </w:r>
      <w:r w:rsidR="00DC01A8" w:rsidRPr="00565707">
        <w:rPr>
          <w:rFonts w:ascii="Verdana" w:hAnsi="Verdana"/>
          <w:bCs/>
          <w:sz w:val="20"/>
          <w:szCs w:val="20"/>
        </w:rPr>
        <w:t>-</w:t>
      </w:r>
      <w:r w:rsidRPr="00565707">
        <w:rPr>
          <w:rFonts w:ascii="Verdana" w:hAnsi="Verdana"/>
          <w:bCs/>
          <w:sz w:val="20"/>
          <w:szCs w:val="20"/>
        </w:rPr>
        <w:t xml:space="preserve"> szkoły i placówki oświatowe prowadzone przez Gminę Wrocław,</w:t>
      </w:r>
    </w:p>
    <w:p w:rsidR="00565764" w:rsidRPr="00565707" w:rsidRDefault="00565764" w:rsidP="00565707">
      <w:pPr>
        <w:numPr>
          <w:ilvl w:val="0"/>
          <w:numId w:val="31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Wydziale Obsługi Urzędu Urzędu Miejskiego Wrocławia </w:t>
      </w:r>
      <w:r w:rsidR="00DC01A8" w:rsidRPr="00565707">
        <w:rPr>
          <w:rFonts w:ascii="Verdana" w:hAnsi="Verdana"/>
          <w:bCs/>
          <w:sz w:val="20"/>
          <w:szCs w:val="20"/>
        </w:rPr>
        <w:t>-</w:t>
      </w:r>
      <w:r w:rsidRPr="00565707">
        <w:rPr>
          <w:rFonts w:ascii="Verdana" w:hAnsi="Verdana"/>
          <w:bCs/>
          <w:sz w:val="20"/>
          <w:szCs w:val="20"/>
        </w:rPr>
        <w:t xml:space="preserve"> obiekty Urzędu Miejskiego Wrocławia.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 ramach swojego funkcjonowania jednostki i spółki gminne podejmują prawem przewidziane działania mające na celu zwalczenie gryzoni na obszarach gminnych.</w:t>
      </w:r>
    </w:p>
    <w:p w:rsidR="00565764" w:rsidRPr="00565707" w:rsidRDefault="002946E1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</w:t>
      </w:r>
      <w:r w:rsidR="00565764" w:rsidRPr="00565707">
        <w:rPr>
          <w:rFonts w:ascii="Verdana" w:hAnsi="Verdana"/>
          <w:bCs/>
          <w:sz w:val="20"/>
          <w:szCs w:val="20"/>
        </w:rPr>
        <w:t xml:space="preserve"> związku z obserwowaną zwiększającą się liczbą szczurów występujących na terenie Miasta od 2018 roku interwencyjnie realizowana jest usługa kompleksowej deratyzacji gminnych terenów zewnętrznych. W tym czasie Wydział Środowiska i Rolnictwa przejmuje od zarządców gminnych obowiązki związane</w:t>
      </w:r>
      <w:r w:rsidR="00423A66" w:rsidRPr="00565707">
        <w:rPr>
          <w:rFonts w:ascii="Verdana" w:hAnsi="Verdana"/>
          <w:bCs/>
          <w:sz w:val="20"/>
          <w:szCs w:val="20"/>
        </w:rPr>
        <w:t xml:space="preserve"> </w:t>
      </w:r>
      <w:r w:rsidR="00565764" w:rsidRPr="00565707">
        <w:rPr>
          <w:rFonts w:ascii="Verdana" w:hAnsi="Verdana"/>
          <w:bCs/>
          <w:sz w:val="20"/>
          <w:szCs w:val="20"/>
        </w:rPr>
        <w:t>z zabezpieczeniem nieruchomości przed występowaniem na ich terenie gryzoni. Usługa ta wykonywana jest wyłącznie na terenach zewnętrznych rozumianych jako obszar ogólnodostępny poza obrysem obiektów budowlanych. Z roku na rok usługą tą obejmowany je</w:t>
      </w:r>
      <w:r w:rsidR="00565707">
        <w:rPr>
          <w:rFonts w:ascii="Verdana" w:hAnsi="Verdana"/>
          <w:bCs/>
          <w:sz w:val="20"/>
          <w:szCs w:val="20"/>
        </w:rPr>
        <w:t>st coraz większy obszar Miasta. W 2020 roku</w:t>
      </w:r>
      <w:r w:rsidR="00565764" w:rsidRPr="00565707">
        <w:rPr>
          <w:rFonts w:ascii="Verdana" w:hAnsi="Verdana"/>
          <w:bCs/>
          <w:sz w:val="20"/>
          <w:szCs w:val="20"/>
        </w:rPr>
        <w:t xml:space="preserve"> kompleksową deratyzacją objęto tereny gminne o powierzchni 45,887 </w:t>
      </w:r>
      <w:r w:rsidR="0051506A">
        <w:rPr>
          <w:rFonts w:ascii="Verdana" w:hAnsi="Verdana"/>
          <w:bCs/>
          <w:sz w:val="20"/>
          <w:szCs w:val="20"/>
        </w:rPr>
        <w:t>hektarów</w:t>
      </w:r>
      <w:r w:rsidR="00565764" w:rsidRPr="00565707">
        <w:rPr>
          <w:rFonts w:ascii="Verdana" w:hAnsi="Verdana"/>
          <w:bCs/>
          <w:sz w:val="20"/>
          <w:szCs w:val="20"/>
        </w:rPr>
        <w:t>, zlokalizowane w rejonie Osiedli Stare Miasto, Przedmieście Świdnickie i Oławski</w:t>
      </w:r>
      <w:r w:rsidR="00565707">
        <w:rPr>
          <w:rFonts w:ascii="Verdana" w:hAnsi="Verdana"/>
          <w:bCs/>
          <w:sz w:val="20"/>
          <w:szCs w:val="20"/>
        </w:rPr>
        <w:t>e oraz Nadodrze, gdzie w 2019 roku</w:t>
      </w:r>
      <w:r w:rsidR="00565764" w:rsidRPr="00565707">
        <w:rPr>
          <w:rFonts w:ascii="Verdana" w:hAnsi="Verdana"/>
          <w:bCs/>
          <w:sz w:val="20"/>
          <w:szCs w:val="20"/>
        </w:rPr>
        <w:t xml:space="preserve"> zaobserwowano największą liczbę gryzoni. W </w:t>
      </w:r>
      <w:r w:rsidR="00DC01A8" w:rsidRPr="00565707">
        <w:rPr>
          <w:rFonts w:ascii="Verdana" w:hAnsi="Verdana"/>
          <w:bCs/>
          <w:sz w:val="20"/>
          <w:szCs w:val="20"/>
        </w:rPr>
        <w:t>Obsza</w:t>
      </w:r>
      <w:r w:rsidR="00565764" w:rsidRPr="00565707">
        <w:rPr>
          <w:rFonts w:ascii="Verdana" w:hAnsi="Verdana"/>
          <w:bCs/>
          <w:sz w:val="20"/>
          <w:szCs w:val="20"/>
        </w:rPr>
        <w:t>rze Osiedla Przedmieście Oławskiego usługą objęto tereny</w:t>
      </w:r>
      <w:r w:rsidR="00565707">
        <w:rPr>
          <w:rFonts w:ascii="Verdana" w:hAnsi="Verdana"/>
          <w:bCs/>
          <w:sz w:val="20"/>
          <w:szCs w:val="20"/>
        </w:rPr>
        <w:t xml:space="preserve"> gminne o powierzchni ok. 7,5 hektarów</w:t>
      </w:r>
      <w:r w:rsidR="00565764" w:rsidRPr="00565707">
        <w:rPr>
          <w:rFonts w:ascii="Verdana" w:hAnsi="Verdana"/>
          <w:bCs/>
          <w:sz w:val="20"/>
          <w:szCs w:val="20"/>
        </w:rPr>
        <w:t xml:space="preserve">. W ramach zadania przedmiotowy teren od 6 </w:t>
      </w:r>
      <w:r w:rsidR="00565707">
        <w:rPr>
          <w:rFonts w:ascii="Verdana" w:hAnsi="Verdana"/>
          <w:bCs/>
          <w:sz w:val="20"/>
          <w:szCs w:val="20"/>
        </w:rPr>
        <w:t>kwietnia do 30 listopada 2020 roku</w:t>
      </w:r>
      <w:r w:rsidR="00565764" w:rsidRPr="00565707">
        <w:rPr>
          <w:rFonts w:ascii="Verdana" w:hAnsi="Verdana"/>
          <w:bCs/>
          <w:sz w:val="20"/>
          <w:szCs w:val="20"/>
        </w:rPr>
        <w:t xml:space="preserve"> poddany był ciągłemu monitoringowi pod kątem występowania szczurów oraz niezbędnym zabiegom deratyzacyjnym.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i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Należy przy tym zauważyć, że </w:t>
      </w:r>
      <w:r w:rsidRPr="00565707">
        <w:rPr>
          <w:rFonts w:ascii="Verdana" w:hAnsi="Verdana"/>
          <w:bCs/>
          <w:iCs/>
          <w:sz w:val="20"/>
          <w:szCs w:val="20"/>
        </w:rPr>
        <w:t xml:space="preserve">delegacja ustawowa nie daje gminom możliwości ingerowania w wybór metod i środków wykorzystywanych do realizacji powyższego obowiązku. Regulamin </w:t>
      </w:r>
      <w:r w:rsidRPr="00565707">
        <w:rPr>
          <w:rFonts w:ascii="Verdana" w:hAnsi="Verdana"/>
          <w:bCs/>
          <w:sz w:val="20"/>
          <w:szCs w:val="20"/>
        </w:rPr>
        <w:t>utrzymania czystości i porządku</w:t>
      </w:r>
      <w:r w:rsidRPr="00565707">
        <w:rPr>
          <w:rFonts w:ascii="Verdana" w:hAnsi="Verdana"/>
          <w:bCs/>
          <w:iCs/>
          <w:sz w:val="20"/>
          <w:szCs w:val="20"/>
        </w:rPr>
        <w:t xml:space="preserve"> może określać wyłącznie terminy oraz obszar przeprowadzania obowiązkowej deratyzacji.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 ramach powyższych działań skupiono się także na edukacji, dlatego też </w:t>
      </w:r>
      <w:r w:rsidR="0080508F" w:rsidRPr="00565707">
        <w:rPr>
          <w:rFonts w:ascii="Verdana" w:hAnsi="Verdana"/>
          <w:bCs/>
          <w:sz w:val="20"/>
          <w:szCs w:val="20"/>
        </w:rPr>
        <w:t>przygo</w:t>
      </w:r>
      <w:r w:rsidRPr="00565707">
        <w:rPr>
          <w:rFonts w:ascii="Verdana" w:hAnsi="Verdana"/>
          <w:bCs/>
          <w:sz w:val="20"/>
          <w:szCs w:val="20"/>
        </w:rPr>
        <w:t xml:space="preserve">towano kampanię skierowaną do mieszkańców Miasta, mającą </w:t>
      </w:r>
      <w:r w:rsidR="00565707">
        <w:rPr>
          <w:rFonts w:ascii="Verdana" w:hAnsi="Verdana"/>
          <w:bCs/>
          <w:sz w:val="20"/>
          <w:szCs w:val="20"/>
        </w:rPr>
        <w:t xml:space="preserve">na celu zwiększenie świadomości </w:t>
      </w:r>
      <w:r w:rsidRPr="00565707">
        <w:rPr>
          <w:rFonts w:ascii="Verdana" w:hAnsi="Verdana"/>
          <w:bCs/>
          <w:sz w:val="20"/>
          <w:szCs w:val="20"/>
        </w:rPr>
        <w:t>o przyczynach występowania szczurów, w tym tych intensyfikowanych działaniami człowieka, oraz sposobach przeciwdziałania pojawianiu się gryzoni. W ramach kampanii opracowano projekty materiałów informacyjnych (ulotki oraz plakaty), rozpoczęto druk oraz ich kolportaż. Materiały te:</w:t>
      </w:r>
    </w:p>
    <w:p w:rsidR="00565764" w:rsidRPr="00565707" w:rsidRDefault="00423A66" w:rsidP="00565707">
      <w:pPr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udostępniono Radom Osiedli</w:t>
      </w:r>
      <w:r w:rsidR="00565764" w:rsidRPr="00565707">
        <w:rPr>
          <w:rFonts w:ascii="Verdana" w:hAnsi="Verdana"/>
          <w:bCs/>
          <w:sz w:val="20"/>
          <w:szCs w:val="20"/>
        </w:rPr>
        <w:t>,</w:t>
      </w:r>
    </w:p>
    <w:p w:rsidR="00565764" w:rsidRPr="00565707" w:rsidRDefault="00565764" w:rsidP="00565707">
      <w:pPr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umieszczono w budynkach Urzędu Miejskiego Wrocławia,</w:t>
      </w:r>
    </w:p>
    <w:p w:rsidR="00565764" w:rsidRPr="00565707" w:rsidRDefault="00565764" w:rsidP="00565707">
      <w:pPr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przekazano zarządcom gminnym (</w:t>
      </w:r>
      <w:r w:rsidR="00565707">
        <w:rPr>
          <w:rFonts w:ascii="Verdana" w:hAnsi="Verdana"/>
          <w:bCs/>
          <w:sz w:val="20"/>
          <w:szCs w:val="20"/>
        </w:rPr>
        <w:t>Zarząd Zasobu Komunalnego we Wrocławiu</w:t>
      </w:r>
      <w:r w:rsidRPr="00565707">
        <w:rPr>
          <w:rFonts w:ascii="Verdana" w:hAnsi="Verdana"/>
          <w:bCs/>
          <w:sz w:val="20"/>
          <w:szCs w:val="20"/>
        </w:rPr>
        <w:t xml:space="preserve"> i </w:t>
      </w:r>
      <w:r w:rsidR="00565707">
        <w:rPr>
          <w:rFonts w:ascii="Verdana" w:hAnsi="Verdana"/>
          <w:sz w:val="20"/>
          <w:szCs w:val="20"/>
        </w:rPr>
        <w:t>Wrocławskie Mieszkania Spółka z ograniczoną odpowiedzialnością</w:t>
      </w:r>
      <w:r w:rsidRPr="00565707">
        <w:rPr>
          <w:rFonts w:ascii="Verdana" w:hAnsi="Verdana"/>
          <w:bCs/>
          <w:sz w:val="20"/>
          <w:szCs w:val="20"/>
        </w:rPr>
        <w:t>) w celu wywieszenia w częściach wspólnych (bramy, korytarze),</w:t>
      </w:r>
    </w:p>
    <w:p w:rsidR="00565764" w:rsidRPr="00565707" w:rsidRDefault="00565764" w:rsidP="00565707">
      <w:pPr>
        <w:numPr>
          <w:ilvl w:val="0"/>
          <w:numId w:val="33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 rejonach Miasta najbardziej dotkniętych problemem występowania szczurów ulotki umieszczono bezpośrednio w skrzynkach pocztowych mieszkańców.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  <w:u w:val="single"/>
        </w:rPr>
      </w:pPr>
      <w:r w:rsidRPr="00565707">
        <w:rPr>
          <w:rFonts w:ascii="Verdana" w:hAnsi="Verdana"/>
          <w:bCs/>
          <w:sz w:val="20"/>
          <w:szCs w:val="20"/>
        </w:rPr>
        <w:t xml:space="preserve">W ramach kampanii przewidziano także oznaczenie pojemników służących do gromadzenia odpadów komunalnych zlokalizowanych w rejonach najbardziej problematycznych naklejkami informacyjnymi. Za ich wydruk i dystrybucję odpowiedzialna jest Spółka Ekosystem </w:t>
      </w:r>
      <w:r w:rsidR="00565707">
        <w:rPr>
          <w:rFonts w:ascii="Verdana" w:hAnsi="Verdana"/>
          <w:sz w:val="20"/>
          <w:szCs w:val="20"/>
        </w:rPr>
        <w:t>Spółka z ograniczoną odpowiedzialnością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odpowiadająca za organizację oraz zarządzanie gminnym systemem odbioru odpadów komunalnych.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  <w:u w:val="single"/>
        </w:rPr>
      </w:pPr>
      <w:r w:rsidRPr="00565707">
        <w:rPr>
          <w:rFonts w:ascii="Verdana" w:hAnsi="Verdana"/>
          <w:bCs/>
          <w:sz w:val="20"/>
          <w:szCs w:val="20"/>
        </w:rPr>
        <w:t xml:space="preserve">Do Spółki Ekosystem </w:t>
      </w:r>
      <w:r w:rsidR="00565707">
        <w:rPr>
          <w:rFonts w:ascii="Verdana" w:hAnsi="Verdana"/>
          <w:sz w:val="20"/>
          <w:szCs w:val="20"/>
        </w:rPr>
        <w:t>Spółka z ograniczoną odpowiedzialnością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zwrócono się także o nadzorowanie zamykania klap w</w:t>
      </w:r>
      <w:r w:rsidR="00565707">
        <w:rPr>
          <w:rFonts w:ascii="Verdana" w:hAnsi="Verdana"/>
          <w:bCs/>
          <w:sz w:val="20"/>
          <w:szCs w:val="20"/>
        </w:rPr>
        <w:t>yżej wymienionych</w:t>
      </w:r>
      <w:r w:rsidRPr="00565707">
        <w:rPr>
          <w:rFonts w:ascii="Verdana" w:hAnsi="Verdana"/>
          <w:bCs/>
          <w:sz w:val="20"/>
          <w:szCs w:val="20"/>
        </w:rPr>
        <w:t xml:space="preserve"> pojemników przez pracowników firm realizujących zadania związane z odbiorem odpadów komunalnych oraz o kontrolę powstawania przepełnień w w</w:t>
      </w:r>
      <w:r w:rsidR="00565707">
        <w:rPr>
          <w:rFonts w:ascii="Verdana" w:hAnsi="Verdana"/>
          <w:bCs/>
          <w:sz w:val="20"/>
          <w:szCs w:val="20"/>
        </w:rPr>
        <w:t>yżej wymienionych</w:t>
      </w:r>
      <w:r w:rsidRPr="00565707">
        <w:rPr>
          <w:rFonts w:ascii="Verdana" w:hAnsi="Verdana"/>
          <w:bCs/>
          <w:sz w:val="20"/>
          <w:szCs w:val="20"/>
        </w:rPr>
        <w:t xml:space="preserve"> rejonach, aby zapobiec stwarzaniu dogodnych warunków do życia szczurów.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Jednocześnie </w:t>
      </w:r>
      <w:r w:rsidR="00423A66" w:rsidRPr="00565707">
        <w:rPr>
          <w:rFonts w:ascii="Verdana" w:hAnsi="Verdana"/>
          <w:bCs/>
          <w:sz w:val="20"/>
          <w:szCs w:val="20"/>
        </w:rPr>
        <w:t>należy</w:t>
      </w:r>
      <w:r w:rsidR="002946E1" w:rsidRPr="00565707">
        <w:rPr>
          <w:rFonts w:ascii="Verdana" w:hAnsi="Verdana"/>
          <w:bCs/>
          <w:sz w:val="20"/>
          <w:szCs w:val="20"/>
        </w:rPr>
        <w:t xml:space="preserve"> </w:t>
      </w:r>
      <w:r w:rsidR="00423A66" w:rsidRPr="00565707">
        <w:rPr>
          <w:rFonts w:ascii="Verdana" w:hAnsi="Verdana"/>
          <w:bCs/>
          <w:sz w:val="20"/>
          <w:szCs w:val="20"/>
        </w:rPr>
        <w:t>zauważyć</w:t>
      </w:r>
      <w:r w:rsidRPr="00565707">
        <w:rPr>
          <w:rFonts w:ascii="Verdana" w:hAnsi="Verdana"/>
          <w:bCs/>
          <w:sz w:val="20"/>
          <w:szCs w:val="20"/>
        </w:rPr>
        <w:t xml:space="preserve">, że do dnia wpłynięcia </w:t>
      </w:r>
      <w:r w:rsidR="00103D0E" w:rsidRPr="00565707">
        <w:rPr>
          <w:rFonts w:ascii="Verdana" w:hAnsi="Verdana"/>
          <w:bCs/>
          <w:sz w:val="20"/>
          <w:szCs w:val="20"/>
        </w:rPr>
        <w:t>przedmio</w:t>
      </w:r>
      <w:r w:rsidRPr="00565707">
        <w:rPr>
          <w:rFonts w:ascii="Verdana" w:hAnsi="Verdana"/>
          <w:bCs/>
          <w:sz w:val="20"/>
          <w:szCs w:val="20"/>
        </w:rPr>
        <w:t xml:space="preserve">towej petycji do Urzędu Miejskiego Wrocławia wpłynęło łącznie 6 zgłoszeń dotyczących występowania szczurów we wskazanym rejonie. W przypadku każdego zgłoszenia </w:t>
      </w:r>
      <w:r w:rsidRPr="00565707">
        <w:rPr>
          <w:rFonts w:ascii="Verdana" w:hAnsi="Verdana"/>
          <w:bCs/>
          <w:sz w:val="20"/>
          <w:szCs w:val="20"/>
        </w:rPr>
        <w:lastRenderedPageBreak/>
        <w:t xml:space="preserve">pracownicy </w:t>
      </w:r>
      <w:r w:rsidR="00565707">
        <w:rPr>
          <w:rFonts w:ascii="Verdana" w:hAnsi="Verdana"/>
          <w:bCs/>
          <w:sz w:val="20"/>
          <w:szCs w:val="20"/>
        </w:rPr>
        <w:t xml:space="preserve">Wydziału Środowiska </w:t>
      </w:r>
      <w:r w:rsidR="00423A66" w:rsidRPr="00565707">
        <w:rPr>
          <w:rFonts w:ascii="Verdana" w:hAnsi="Verdana"/>
          <w:bCs/>
          <w:sz w:val="20"/>
          <w:szCs w:val="20"/>
        </w:rPr>
        <w:t>i Rolnictwa Urzędu Miejskiego Wrocławia</w:t>
      </w:r>
      <w:r w:rsidRPr="00565707">
        <w:rPr>
          <w:rFonts w:ascii="Verdana" w:hAnsi="Verdana"/>
          <w:bCs/>
          <w:sz w:val="20"/>
          <w:szCs w:val="20"/>
        </w:rPr>
        <w:t xml:space="preserve"> podjęli działania zgodne z posiadanymi kompetencjami.</w:t>
      </w:r>
    </w:p>
    <w:p w:rsidR="00565764" w:rsidRPr="00565707" w:rsidRDefault="002946E1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Ponadto </w:t>
      </w:r>
      <w:r w:rsidR="00565764" w:rsidRPr="00565707">
        <w:rPr>
          <w:rFonts w:ascii="Verdana" w:hAnsi="Verdana"/>
          <w:bCs/>
          <w:sz w:val="20"/>
          <w:szCs w:val="20"/>
        </w:rPr>
        <w:t>pracownicy Wydziału Ś</w:t>
      </w:r>
      <w:r w:rsidR="003D0963" w:rsidRPr="00565707">
        <w:rPr>
          <w:rFonts w:ascii="Verdana" w:hAnsi="Verdana"/>
          <w:bCs/>
          <w:sz w:val="20"/>
          <w:szCs w:val="20"/>
        </w:rPr>
        <w:t>rodowiska i Rolnictwa</w:t>
      </w:r>
      <w:r w:rsidR="00423A66" w:rsidRPr="00565707">
        <w:rPr>
          <w:rFonts w:ascii="Verdana" w:hAnsi="Verdana"/>
          <w:bCs/>
          <w:sz w:val="20"/>
          <w:szCs w:val="20"/>
        </w:rPr>
        <w:t xml:space="preserve"> Urzędu Miejskiego Wrocławia</w:t>
      </w:r>
      <w:r w:rsidR="003D0963" w:rsidRPr="00565707">
        <w:rPr>
          <w:rFonts w:ascii="Verdana" w:hAnsi="Verdana"/>
          <w:bCs/>
          <w:sz w:val="20"/>
          <w:szCs w:val="20"/>
        </w:rPr>
        <w:t>, we współ</w:t>
      </w:r>
      <w:r w:rsidR="00565764" w:rsidRPr="00565707">
        <w:rPr>
          <w:rFonts w:ascii="Verdana" w:hAnsi="Verdana"/>
          <w:bCs/>
          <w:sz w:val="20"/>
          <w:szCs w:val="20"/>
        </w:rPr>
        <w:t>pracy</w:t>
      </w:r>
      <w:r w:rsidR="00423A66" w:rsidRPr="00565707">
        <w:rPr>
          <w:rFonts w:ascii="Verdana" w:hAnsi="Verdana"/>
          <w:bCs/>
          <w:sz w:val="20"/>
          <w:szCs w:val="20"/>
        </w:rPr>
        <w:t xml:space="preserve"> </w:t>
      </w:r>
      <w:r w:rsidR="00565764" w:rsidRPr="00565707">
        <w:rPr>
          <w:rFonts w:ascii="Verdana" w:hAnsi="Verdana"/>
          <w:bCs/>
          <w:sz w:val="20"/>
          <w:szCs w:val="20"/>
        </w:rPr>
        <w:t>z funkcjonariuszami Straży Miejskiej Wrocławia, prowadzą bieżące kontrole wypełniania obowiązku deratyzacji nieruchomości na terenie których stwierdzono występowanie gryzoni.</w:t>
      </w:r>
    </w:p>
    <w:p w:rsidR="00565764" w:rsidRPr="00565707" w:rsidRDefault="00565764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Wskazane wyżej działania mają na celu zminimalizowanie uciążliwości</w:t>
      </w:r>
      <w:r w:rsidR="00565707">
        <w:rPr>
          <w:rFonts w:ascii="Verdana" w:hAnsi="Verdana"/>
          <w:bCs/>
          <w:sz w:val="20"/>
          <w:szCs w:val="20"/>
        </w:rPr>
        <w:t xml:space="preserve"> związanych </w:t>
      </w:r>
      <w:r w:rsidRPr="00565707">
        <w:rPr>
          <w:rFonts w:ascii="Verdana" w:hAnsi="Verdana"/>
          <w:bCs/>
          <w:sz w:val="20"/>
          <w:szCs w:val="20"/>
        </w:rPr>
        <w:t xml:space="preserve">z występowaniem gryzoni. Nadmieniam przy tym, że działania Wydziału </w:t>
      </w:r>
      <w:r w:rsidR="00565707">
        <w:rPr>
          <w:rFonts w:ascii="Verdana" w:hAnsi="Verdana"/>
          <w:bCs/>
          <w:sz w:val="20"/>
          <w:szCs w:val="20"/>
        </w:rPr>
        <w:t xml:space="preserve">Środowiska </w:t>
      </w:r>
      <w:r w:rsidRPr="00565707">
        <w:rPr>
          <w:rFonts w:ascii="Verdana" w:hAnsi="Verdana"/>
          <w:bCs/>
          <w:sz w:val="20"/>
          <w:szCs w:val="20"/>
        </w:rPr>
        <w:t>i Rolnictwa będą w kontynuowane celem osiągnięcia poprawy w przedmiotowym zakresie.</w:t>
      </w:r>
    </w:p>
    <w:p w:rsidR="00103D0E" w:rsidRPr="00565707" w:rsidRDefault="00103D0E" w:rsidP="00565707">
      <w:pPr>
        <w:spacing w:line="271" w:lineRule="auto"/>
        <w:rPr>
          <w:rFonts w:ascii="Verdana" w:hAnsi="Verdana"/>
          <w:sz w:val="20"/>
          <w:szCs w:val="20"/>
        </w:rPr>
      </w:pPr>
    </w:p>
    <w:p w:rsidR="008E1B6F" w:rsidRPr="00565707" w:rsidRDefault="004D2B9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Z</w:t>
      </w:r>
      <w:r w:rsidR="008E1B6F" w:rsidRPr="00565707">
        <w:rPr>
          <w:rFonts w:ascii="Verdana" w:hAnsi="Verdana"/>
          <w:bCs/>
          <w:sz w:val="20"/>
          <w:szCs w:val="20"/>
        </w:rPr>
        <w:t xml:space="preserve">godnie z </w:t>
      </w:r>
      <w:r w:rsidRPr="00565707">
        <w:rPr>
          <w:rFonts w:ascii="Verdana" w:hAnsi="Verdana"/>
          <w:bCs/>
          <w:sz w:val="20"/>
          <w:szCs w:val="20"/>
        </w:rPr>
        <w:t>informacjami przekazanymi przez Miejskie</w:t>
      </w:r>
      <w:r w:rsidR="00565707">
        <w:rPr>
          <w:rFonts w:ascii="Verdana" w:hAnsi="Verdana"/>
          <w:bCs/>
          <w:sz w:val="20"/>
          <w:szCs w:val="20"/>
        </w:rPr>
        <w:t xml:space="preserve"> Przedsiębiorstwo Wodociągów </w:t>
      </w:r>
      <w:r w:rsidR="008E1B6F" w:rsidRPr="00565707">
        <w:rPr>
          <w:rFonts w:ascii="Verdana" w:hAnsi="Verdana"/>
          <w:bCs/>
          <w:sz w:val="20"/>
          <w:szCs w:val="20"/>
        </w:rPr>
        <w:t>i Komunikacji S</w:t>
      </w:r>
      <w:r w:rsidR="00565707">
        <w:rPr>
          <w:rFonts w:ascii="Verdana" w:hAnsi="Verdana"/>
          <w:bCs/>
          <w:sz w:val="20"/>
          <w:szCs w:val="20"/>
        </w:rPr>
        <w:t>półka Akcyjna</w:t>
      </w:r>
      <w:r w:rsidR="008E1B6F" w:rsidRPr="00565707">
        <w:rPr>
          <w:rFonts w:ascii="Verdana" w:hAnsi="Verdana"/>
          <w:bCs/>
          <w:sz w:val="20"/>
          <w:szCs w:val="20"/>
        </w:rPr>
        <w:t xml:space="preserve"> w latach 2017-2020 koszt deratyzacji obiektów </w:t>
      </w:r>
      <w:r w:rsidR="00565707" w:rsidRPr="00565707">
        <w:rPr>
          <w:rFonts w:ascii="Verdana" w:hAnsi="Verdana"/>
          <w:bCs/>
          <w:sz w:val="20"/>
          <w:szCs w:val="20"/>
        </w:rPr>
        <w:t>Miejskie</w:t>
      </w:r>
      <w:r w:rsidR="00565707">
        <w:rPr>
          <w:rFonts w:ascii="Verdana" w:hAnsi="Verdana"/>
          <w:bCs/>
          <w:sz w:val="20"/>
          <w:szCs w:val="20"/>
        </w:rPr>
        <w:t xml:space="preserve">go Przedsiębiorstwa Wodociągów </w:t>
      </w:r>
      <w:r w:rsidR="00565707" w:rsidRPr="00565707">
        <w:rPr>
          <w:rFonts w:ascii="Verdana" w:hAnsi="Verdana"/>
          <w:bCs/>
          <w:sz w:val="20"/>
          <w:szCs w:val="20"/>
        </w:rPr>
        <w:t>i Komunikacji S</w:t>
      </w:r>
      <w:r w:rsidR="00565707">
        <w:rPr>
          <w:rFonts w:ascii="Verdana" w:hAnsi="Verdana"/>
          <w:bCs/>
          <w:sz w:val="20"/>
          <w:szCs w:val="20"/>
        </w:rPr>
        <w:t>półka Akcyjna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="008E1B6F" w:rsidRPr="00565707">
        <w:rPr>
          <w:rFonts w:ascii="Verdana" w:hAnsi="Verdana"/>
          <w:bCs/>
          <w:sz w:val="20"/>
          <w:szCs w:val="20"/>
        </w:rPr>
        <w:t>oraz studzienek kanalizacyjnych zlokalizowanych we Wrocławiu wyniósł odpowiednio:</w:t>
      </w:r>
    </w:p>
    <w:p w:rsidR="008E1B6F" w:rsidRPr="00565707" w:rsidRDefault="008E1B6F" w:rsidP="00565707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2017 - 29 228,05 zł</w:t>
      </w:r>
      <w:r w:rsidR="00565707">
        <w:rPr>
          <w:rFonts w:ascii="Verdana" w:hAnsi="Verdana"/>
          <w:bCs/>
          <w:sz w:val="20"/>
          <w:szCs w:val="20"/>
        </w:rPr>
        <w:t>otych</w:t>
      </w:r>
      <w:r w:rsidRPr="00565707">
        <w:rPr>
          <w:rFonts w:ascii="Verdana" w:hAnsi="Verdana"/>
          <w:bCs/>
          <w:sz w:val="20"/>
          <w:szCs w:val="20"/>
        </w:rPr>
        <w:t>,</w:t>
      </w:r>
    </w:p>
    <w:p w:rsidR="008E1B6F" w:rsidRPr="00565707" w:rsidRDefault="008E1B6F" w:rsidP="00565707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2018 - 30 872,05 zł</w:t>
      </w:r>
      <w:r w:rsidR="00565707">
        <w:rPr>
          <w:rFonts w:ascii="Verdana" w:hAnsi="Verdana"/>
          <w:bCs/>
          <w:sz w:val="20"/>
          <w:szCs w:val="20"/>
        </w:rPr>
        <w:t>otych</w:t>
      </w:r>
      <w:r w:rsidRPr="00565707">
        <w:rPr>
          <w:rFonts w:ascii="Verdana" w:hAnsi="Verdana"/>
          <w:bCs/>
          <w:sz w:val="20"/>
          <w:szCs w:val="20"/>
        </w:rPr>
        <w:t>,</w:t>
      </w:r>
    </w:p>
    <w:p w:rsidR="008E1B6F" w:rsidRPr="00565707" w:rsidRDefault="008E1B6F" w:rsidP="00565707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2019 - 35 407,06 zł</w:t>
      </w:r>
      <w:r w:rsidR="00565707">
        <w:rPr>
          <w:rFonts w:ascii="Verdana" w:hAnsi="Verdana"/>
          <w:bCs/>
          <w:sz w:val="20"/>
          <w:szCs w:val="20"/>
        </w:rPr>
        <w:t>otych</w:t>
      </w:r>
      <w:r w:rsidRPr="00565707">
        <w:rPr>
          <w:rFonts w:ascii="Verdana" w:hAnsi="Verdana"/>
          <w:bCs/>
          <w:sz w:val="20"/>
          <w:szCs w:val="20"/>
        </w:rPr>
        <w:t>,</w:t>
      </w:r>
    </w:p>
    <w:p w:rsidR="008E1B6F" w:rsidRPr="00565707" w:rsidRDefault="008E1B6F" w:rsidP="00565707">
      <w:pPr>
        <w:numPr>
          <w:ilvl w:val="0"/>
          <w:numId w:val="28"/>
        </w:numPr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2020 - 59 994,80 zł</w:t>
      </w:r>
      <w:r w:rsidR="00565707">
        <w:rPr>
          <w:rFonts w:ascii="Verdana" w:hAnsi="Verdana"/>
          <w:bCs/>
          <w:sz w:val="20"/>
          <w:szCs w:val="20"/>
        </w:rPr>
        <w:t>otych</w:t>
      </w:r>
      <w:r w:rsidRPr="00565707">
        <w:rPr>
          <w:rFonts w:ascii="Verdana" w:hAnsi="Verdana"/>
          <w:bCs/>
          <w:sz w:val="20"/>
          <w:szCs w:val="20"/>
        </w:rPr>
        <w:t>.</w:t>
      </w:r>
    </w:p>
    <w:p w:rsidR="008E1B6F" w:rsidRPr="00565707" w:rsidRDefault="008E1B6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Należy przy tym zaznaczyć, że prowadzenie deratyzacji sieci kanalizacyjnej, ze względu na jej specyfikę (obiekt o charakterze liniowym zagłębiony od około 1 m</w:t>
      </w:r>
      <w:r w:rsidR="00565707">
        <w:rPr>
          <w:rFonts w:ascii="Verdana" w:hAnsi="Verdana"/>
          <w:bCs/>
          <w:sz w:val="20"/>
          <w:szCs w:val="20"/>
        </w:rPr>
        <w:t>etra</w:t>
      </w:r>
      <w:r w:rsidRPr="00565707">
        <w:rPr>
          <w:rFonts w:ascii="Verdana" w:hAnsi="Verdana"/>
          <w:bCs/>
          <w:sz w:val="20"/>
          <w:szCs w:val="20"/>
        </w:rPr>
        <w:t xml:space="preserve"> do około 10 m</w:t>
      </w:r>
      <w:r w:rsidR="00565707">
        <w:rPr>
          <w:rFonts w:ascii="Verdana" w:hAnsi="Verdana"/>
          <w:bCs/>
          <w:sz w:val="20"/>
          <w:szCs w:val="20"/>
        </w:rPr>
        <w:t>etrów</w:t>
      </w:r>
      <w:r w:rsidRPr="00565707">
        <w:rPr>
          <w:rFonts w:ascii="Verdana" w:hAnsi="Verdana"/>
          <w:bCs/>
          <w:sz w:val="20"/>
          <w:szCs w:val="20"/>
        </w:rPr>
        <w:t xml:space="preserve"> pod powierzchnią terenu z zamontowanymi i wyprowadzonymi do poziomu terenu studniami co około 25-100 m</w:t>
      </w:r>
      <w:r w:rsidR="00565707">
        <w:rPr>
          <w:rFonts w:ascii="Verdana" w:hAnsi="Verdana"/>
          <w:bCs/>
          <w:sz w:val="20"/>
          <w:szCs w:val="20"/>
        </w:rPr>
        <w:t>etrów</w:t>
      </w:r>
      <w:r w:rsidRPr="00565707">
        <w:rPr>
          <w:rFonts w:ascii="Verdana" w:hAnsi="Verdana"/>
          <w:bCs/>
          <w:sz w:val="20"/>
          <w:szCs w:val="20"/>
        </w:rPr>
        <w:t>, możliwość okresowego i czasowego spiętrzenia się ścieków w kanalizacji ogólnospławnej) zasadniczo odbiega od deratyzacji obiektów kubaturowych jakimi są budynki. Ponadto okres od 1 marca do 31 marca, ze względu na możliwość występowania podtopień kanalizacji ogólnospławnej z tytułu ewentualnych roztopów, może być potencjalnie mniej skuteczny w przypadku trutek wykładanych w studniach kanalizacyjnych.</w:t>
      </w:r>
    </w:p>
    <w:p w:rsidR="008E1B6F" w:rsidRPr="00565707" w:rsidRDefault="008E1B6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Problem większego gromadzenia się szczurów w okre</w:t>
      </w:r>
      <w:r w:rsidR="00423A66" w:rsidRPr="00565707">
        <w:rPr>
          <w:rFonts w:ascii="Verdana" w:hAnsi="Verdana"/>
          <w:bCs/>
          <w:sz w:val="20"/>
          <w:szCs w:val="20"/>
        </w:rPr>
        <w:t>ślonych obszarach miast</w:t>
      </w:r>
      <w:r w:rsidR="00565707">
        <w:rPr>
          <w:rFonts w:ascii="Verdana" w:hAnsi="Verdana"/>
          <w:bCs/>
          <w:sz w:val="20"/>
          <w:szCs w:val="20"/>
        </w:rPr>
        <w:t xml:space="preserve">a wynika </w:t>
      </w:r>
      <w:r w:rsidR="002946E1" w:rsidRPr="00565707">
        <w:rPr>
          <w:rFonts w:ascii="Verdana" w:hAnsi="Verdana"/>
          <w:bCs/>
          <w:sz w:val="20"/>
          <w:szCs w:val="20"/>
        </w:rPr>
        <w:t>w dużej mierze</w:t>
      </w:r>
      <w:r w:rsidRPr="00565707">
        <w:rPr>
          <w:rFonts w:ascii="Verdana" w:hAnsi="Verdana"/>
          <w:bCs/>
          <w:sz w:val="20"/>
          <w:szCs w:val="20"/>
        </w:rPr>
        <w:t xml:space="preserve"> z nieodpowiedzialnego gospodarowania odpadami w tych miejscach - do kanałów i kubłów na śmieci wyrzucane są duże ilości odpadów żywności, bardzo często również na terenach ogólnodostępnych mieszkańcy dokarmiają resztkami jedzenia zwierzęta wolnożyjące.</w:t>
      </w:r>
    </w:p>
    <w:p w:rsidR="008E1B6F" w:rsidRPr="00565707" w:rsidRDefault="008E1B6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Warto tutaj wskazać, że prowadzone przez </w:t>
      </w:r>
      <w:r w:rsidR="00565707" w:rsidRPr="00565707">
        <w:rPr>
          <w:rFonts w:ascii="Verdana" w:hAnsi="Verdana"/>
          <w:bCs/>
          <w:sz w:val="20"/>
          <w:szCs w:val="20"/>
        </w:rPr>
        <w:t>Miejskie</w:t>
      </w:r>
      <w:r w:rsidR="00565707">
        <w:rPr>
          <w:rFonts w:ascii="Verdana" w:hAnsi="Verdana"/>
          <w:bCs/>
          <w:sz w:val="20"/>
          <w:szCs w:val="20"/>
        </w:rPr>
        <w:t xml:space="preserve"> Przedsiębiorstwo Wodociągów </w:t>
      </w:r>
      <w:r w:rsidR="00565707" w:rsidRPr="00565707">
        <w:rPr>
          <w:rFonts w:ascii="Verdana" w:hAnsi="Verdana"/>
          <w:bCs/>
          <w:sz w:val="20"/>
          <w:szCs w:val="20"/>
        </w:rPr>
        <w:t>i Komunikacji S</w:t>
      </w:r>
      <w:r w:rsidR="00565707">
        <w:rPr>
          <w:rFonts w:ascii="Verdana" w:hAnsi="Verdana"/>
          <w:bCs/>
          <w:sz w:val="20"/>
          <w:szCs w:val="20"/>
        </w:rPr>
        <w:t>półka Akcyjna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regularne czyszczenia sieci kanalizacyjnej pozwalają na usuwanie zanieczyszczeń tam zgromadzonych, w tym resztek żywności mogących być potencjalnym źródłem pożywienia dla szczurów.</w:t>
      </w:r>
    </w:p>
    <w:p w:rsidR="008E1B6F" w:rsidRPr="00565707" w:rsidRDefault="008E1B6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Od</w:t>
      </w:r>
      <w:r w:rsidR="00565707">
        <w:rPr>
          <w:rFonts w:ascii="Verdana" w:hAnsi="Verdana"/>
          <w:bCs/>
          <w:sz w:val="20"/>
          <w:szCs w:val="20"/>
        </w:rPr>
        <w:t xml:space="preserve"> 2014 roku</w:t>
      </w:r>
      <w:r w:rsidRPr="00565707">
        <w:rPr>
          <w:rFonts w:ascii="Verdana" w:hAnsi="Verdana"/>
          <w:bCs/>
          <w:sz w:val="20"/>
          <w:szCs w:val="20"/>
        </w:rPr>
        <w:t xml:space="preserve"> </w:t>
      </w:r>
      <w:r w:rsidR="00565707" w:rsidRPr="00565707">
        <w:rPr>
          <w:rFonts w:ascii="Verdana" w:hAnsi="Verdana"/>
          <w:bCs/>
          <w:sz w:val="20"/>
          <w:szCs w:val="20"/>
        </w:rPr>
        <w:t>Miejskie</w:t>
      </w:r>
      <w:r w:rsidR="00565707">
        <w:rPr>
          <w:rFonts w:ascii="Verdana" w:hAnsi="Verdana"/>
          <w:bCs/>
          <w:sz w:val="20"/>
          <w:szCs w:val="20"/>
        </w:rPr>
        <w:t xml:space="preserve"> Przedsiębiorstwo Wodociągów </w:t>
      </w:r>
      <w:r w:rsidR="00565707" w:rsidRPr="00565707">
        <w:rPr>
          <w:rFonts w:ascii="Verdana" w:hAnsi="Verdana"/>
          <w:bCs/>
          <w:sz w:val="20"/>
          <w:szCs w:val="20"/>
        </w:rPr>
        <w:t>i Komunikacji S</w:t>
      </w:r>
      <w:r w:rsidR="00565707">
        <w:rPr>
          <w:rFonts w:ascii="Verdana" w:hAnsi="Verdana"/>
          <w:bCs/>
          <w:sz w:val="20"/>
          <w:szCs w:val="20"/>
        </w:rPr>
        <w:t>półka Akcyjna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prowadzi również kampanię pod hasłem „Nie zapychaj, pomyśl!”, której głównym celem jest podniesie świadomości mieszkańców Wrocławia i promowanie dobrych nawyków w korzystaniu z sieci kanalizacyjnej, a tym samym znaczące ograniczenie zatorów kanalizacyjnych i awaryjności sieci. Akcja informacyjn</w:t>
      </w:r>
      <w:r w:rsidR="00565707">
        <w:rPr>
          <w:rFonts w:ascii="Verdana" w:hAnsi="Verdana"/>
          <w:bCs/>
          <w:sz w:val="20"/>
          <w:szCs w:val="20"/>
        </w:rPr>
        <w:t xml:space="preserve">a w mediach lokalnych </w:t>
      </w:r>
      <w:r w:rsidRPr="00565707">
        <w:rPr>
          <w:rFonts w:ascii="Verdana" w:hAnsi="Verdana"/>
          <w:bCs/>
          <w:sz w:val="20"/>
          <w:szCs w:val="20"/>
        </w:rPr>
        <w:t>i społecznościowych oraz prowadzone działania edukacyjne obejmują m.in. uświadamianie użytkowników sieci, że resztki jedzenia nie powinny trafiać do toalet, zlewów i ulicznych studzienek.</w:t>
      </w:r>
    </w:p>
    <w:p w:rsidR="00EA34EB" w:rsidRPr="00565707" w:rsidRDefault="008E1B6F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Niezależnie od powyższego </w:t>
      </w:r>
      <w:r w:rsidR="00565707" w:rsidRPr="00565707">
        <w:rPr>
          <w:rFonts w:ascii="Verdana" w:hAnsi="Verdana"/>
          <w:bCs/>
          <w:sz w:val="20"/>
          <w:szCs w:val="20"/>
        </w:rPr>
        <w:t>Miejskie</w:t>
      </w:r>
      <w:r w:rsidR="00565707">
        <w:rPr>
          <w:rFonts w:ascii="Verdana" w:hAnsi="Verdana"/>
          <w:bCs/>
          <w:sz w:val="20"/>
          <w:szCs w:val="20"/>
        </w:rPr>
        <w:t xml:space="preserve"> Przedsiębiorstwo Wodociągów </w:t>
      </w:r>
      <w:r w:rsidR="00565707" w:rsidRPr="00565707">
        <w:rPr>
          <w:rFonts w:ascii="Verdana" w:hAnsi="Verdana"/>
          <w:bCs/>
          <w:sz w:val="20"/>
          <w:szCs w:val="20"/>
        </w:rPr>
        <w:t>i Komunikacji S</w:t>
      </w:r>
      <w:r w:rsidR="00565707">
        <w:rPr>
          <w:rFonts w:ascii="Verdana" w:hAnsi="Verdana"/>
          <w:bCs/>
          <w:sz w:val="20"/>
          <w:szCs w:val="20"/>
        </w:rPr>
        <w:t>półka Akcyjna</w:t>
      </w:r>
      <w:r w:rsidR="00565707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deklaruje podejmowanie dalszych działań służących poprawie stanu sanitarno-higienicznego sieci kanalizacyjnych, w tym i deratyzacji.</w:t>
      </w:r>
    </w:p>
    <w:p w:rsidR="003D0963" w:rsidRPr="00565707" w:rsidRDefault="003D0963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D0963" w:rsidRPr="00565707" w:rsidRDefault="004D2B93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65707">
        <w:rPr>
          <w:rStyle w:val="Pogrubienie"/>
          <w:rFonts w:ascii="Verdana" w:hAnsi="Verdana"/>
          <w:b w:val="0"/>
          <w:sz w:val="20"/>
          <w:szCs w:val="20"/>
        </w:rPr>
        <w:t>Informuję, że f</w:t>
      </w:r>
      <w:r w:rsidR="003D0963" w:rsidRPr="00565707">
        <w:rPr>
          <w:rStyle w:val="Pogrubienie"/>
          <w:rFonts w:ascii="Verdana" w:hAnsi="Verdana"/>
          <w:b w:val="0"/>
          <w:sz w:val="20"/>
          <w:szCs w:val="20"/>
        </w:rPr>
        <w:t>unkcjonariusze Straży Miejskiej Wrocł</w:t>
      </w:r>
      <w:r w:rsidRPr="00565707">
        <w:rPr>
          <w:rStyle w:val="Pogrubienie"/>
          <w:rFonts w:ascii="Verdana" w:hAnsi="Verdana"/>
          <w:b w:val="0"/>
          <w:sz w:val="20"/>
          <w:szCs w:val="20"/>
        </w:rPr>
        <w:t>awia samodzielnie oraz wspólnie</w:t>
      </w:r>
      <w:r w:rsidR="00565707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3D0963" w:rsidRPr="00565707">
        <w:rPr>
          <w:rStyle w:val="Pogrubienie"/>
          <w:rFonts w:ascii="Verdana" w:hAnsi="Verdana"/>
          <w:b w:val="0"/>
          <w:sz w:val="20"/>
          <w:szCs w:val="20"/>
        </w:rPr>
        <w:t xml:space="preserve">z pracownikami Wydziału Środowiska i Rolnictwa Urzędu Miejskiego </w:t>
      </w:r>
      <w:r w:rsidR="003D0963" w:rsidRPr="00565707">
        <w:rPr>
          <w:rStyle w:val="Pogrubienie"/>
          <w:rFonts w:ascii="Verdana" w:hAnsi="Verdana"/>
          <w:b w:val="0"/>
          <w:sz w:val="20"/>
          <w:szCs w:val="20"/>
        </w:rPr>
        <w:lastRenderedPageBreak/>
        <w:t>Wrocławia przeprowadzili kompleksowe kontrole wybranych nieruchomości pod kątem wywiązywania się z obowiązków przez właścicieli nieruchomości w zakresie przeprowadzania deratyzacji.</w:t>
      </w:r>
    </w:p>
    <w:p w:rsidR="003D0963" w:rsidRPr="00565707" w:rsidRDefault="00565707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Od początku 2020 roku</w:t>
      </w:r>
      <w:r w:rsidR="003D0963" w:rsidRPr="00565707">
        <w:rPr>
          <w:rStyle w:val="Pogrubienie"/>
          <w:rFonts w:ascii="Verdana" w:hAnsi="Verdana"/>
          <w:b w:val="0"/>
          <w:sz w:val="20"/>
          <w:szCs w:val="20"/>
        </w:rPr>
        <w:t xml:space="preserve"> przeprowadzono łącznie 125 kontroli (Stare Miasto i Śródmieście-31, Krzyki-86, Fabryczna-5, Fabryczna-5, Psie Pole-3) pod kątem wypełniania obowiązków określonych w </w:t>
      </w:r>
      <w:r>
        <w:rPr>
          <w:rStyle w:val="Pogrubienie"/>
          <w:rFonts w:ascii="Verdana" w:hAnsi="Verdana"/>
          <w:b w:val="0"/>
          <w:sz w:val="20"/>
          <w:szCs w:val="20"/>
        </w:rPr>
        <w:t>paragrafie</w:t>
      </w:r>
      <w:r w:rsidR="003D0963" w:rsidRPr="00565707">
        <w:rPr>
          <w:rStyle w:val="Pogrubienie"/>
          <w:rFonts w:ascii="Verdana" w:hAnsi="Verdana"/>
          <w:b w:val="0"/>
          <w:sz w:val="20"/>
          <w:szCs w:val="20"/>
        </w:rPr>
        <w:t xml:space="preserve"> 30 Regulaminu utrzymania czystości i porządku na terenie Wrocławia.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2C367B" w:rsidRPr="00565707">
        <w:rPr>
          <w:rStyle w:val="Pogrubienie"/>
          <w:rFonts w:ascii="Verdana" w:hAnsi="Verdana"/>
          <w:b w:val="0"/>
          <w:sz w:val="20"/>
          <w:szCs w:val="20"/>
        </w:rPr>
        <w:t>W wyniku tych kontroli ujawiono 2 przypadki uchybień i zaniedbań w wykonywaniu obowiązków określonych w Regulaminie, osoby za nie odpowiedzialne zostały ukarane mandatami karnymi na łączna kwotę 500 złotych. W przypadku kontroli nieruchomości prowadzono również działania informacyjno-prewencyjne polegające na informowaniu mieszkańców oraz zarządców nieruchomości o obowiązku deratyzacji na terenie Wrocławia oraz były rozdawane w tym temacie ulotki.</w:t>
      </w:r>
    </w:p>
    <w:p w:rsidR="002C367B" w:rsidRPr="00565707" w:rsidRDefault="00565707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W dniu 4 września 2020 roku</w:t>
      </w:r>
      <w:r w:rsidR="002C367B" w:rsidRPr="00565707">
        <w:rPr>
          <w:rStyle w:val="Pogrubienie"/>
          <w:rFonts w:ascii="Verdana" w:hAnsi="Verdana"/>
          <w:b w:val="0"/>
          <w:sz w:val="20"/>
          <w:szCs w:val="20"/>
        </w:rPr>
        <w:t xml:space="preserve"> przeprowadzono kampanię informacyjną skierowaną do 13 zarządców nieruchomości przekazując im materiały edukacyjne w postaci plakatów i ulotek celem wykorzystania w administrowanych posesjach.</w:t>
      </w:r>
    </w:p>
    <w:p w:rsidR="002C367B" w:rsidRPr="00565707" w:rsidRDefault="002C367B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65707">
        <w:rPr>
          <w:rStyle w:val="Pogrubienie"/>
          <w:rFonts w:ascii="Verdana" w:hAnsi="Verdana"/>
          <w:b w:val="0"/>
          <w:sz w:val="20"/>
          <w:szCs w:val="20"/>
        </w:rPr>
        <w:t>Ponadto w dniu 5 listopada 2020 r</w:t>
      </w:r>
      <w:r w:rsidR="00565707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565707">
        <w:rPr>
          <w:rStyle w:val="Pogrubienie"/>
          <w:rFonts w:ascii="Verdana" w:hAnsi="Verdana"/>
          <w:b w:val="0"/>
          <w:sz w:val="20"/>
          <w:szCs w:val="20"/>
        </w:rPr>
        <w:t xml:space="preserve"> na stronie internetowej Straży Miejskiej Wrocławia oraz oficjalnym profilu Facebook umieszczono artykuły informacyjne dotyczące terminów i zasad obowiązkowej deratyzacji.</w:t>
      </w:r>
    </w:p>
    <w:p w:rsidR="004D2B93" w:rsidRPr="00565707" w:rsidRDefault="004D2B93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65707">
        <w:rPr>
          <w:rStyle w:val="Pogrubienie"/>
          <w:rFonts w:ascii="Verdana" w:hAnsi="Verdana"/>
          <w:b w:val="0"/>
          <w:sz w:val="20"/>
          <w:szCs w:val="20"/>
        </w:rPr>
        <w:t>P</w:t>
      </w:r>
      <w:r w:rsidR="00565707">
        <w:rPr>
          <w:rStyle w:val="Pogrubienie"/>
          <w:rFonts w:ascii="Verdana" w:hAnsi="Verdana"/>
          <w:b w:val="0"/>
          <w:sz w:val="20"/>
          <w:szCs w:val="20"/>
        </w:rPr>
        <w:t>onadto w dniu 29 grudnia 2020 roku</w:t>
      </w:r>
      <w:r w:rsidRPr="00565707">
        <w:rPr>
          <w:rStyle w:val="Pogrubienie"/>
          <w:rFonts w:ascii="Verdana" w:hAnsi="Verdana"/>
          <w:b w:val="0"/>
          <w:sz w:val="20"/>
          <w:szCs w:val="20"/>
        </w:rPr>
        <w:t xml:space="preserve"> strażnicy Oddziału Ochrony Środowiska Straży Miejskiej Wrocławia wraz z pracownikami </w:t>
      </w:r>
      <w:r w:rsidR="00565707" w:rsidRPr="00565707">
        <w:rPr>
          <w:rStyle w:val="Pogrubienie"/>
          <w:rFonts w:ascii="Verdana" w:hAnsi="Verdana"/>
          <w:b w:val="0"/>
          <w:sz w:val="20"/>
          <w:szCs w:val="20"/>
        </w:rPr>
        <w:t xml:space="preserve">Wydziału Środowiska i Rolnictwa Urzędu Miejskiego Wrocławia </w:t>
      </w:r>
      <w:r w:rsidRPr="00565707">
        <w:rPr>
          <w:rStyle w:val="Pogrubienie"/>
          <w:rFonts w:ascii="Verdana" w:hAnsi="Verdana"/>
          <w:b w:val="0"/>
          <w:sz w:val="20"/>
          <w:szCs w:val="20"/>
        </w:rPr>
        <w:t>dokonali kontroli miejsc występowania gryzoni oraz wypełniania obowiązków przez zarządców nieruchomości odnośnie przeprowadzenia deratyzacji. Kontrole te będą prowadzone nadal, co winno przyczynić się do zminimalizowania niepożądanych uciążliwości związanych z występowaniem gryzoni.</w:t>
      </w:r>
    </w:p>
    <w:p w:rsidR="00EC10CB" w:rsidRPr="00565707" w:rsidRDefault="00565707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Od marca 2021 roku</w:t>
      </w:r>
      <w:r w:rsidR="00EC10CB" w:rsidRPr="00565707">
        <w:rPr>
          <w:rStyle w:val="Pogrubienie"/>
          <w:rFonts w:ascii="Verdana" w:hAnsi="Verdana"/>
          <w:b w:val="0"/>
          <w:sz w:val="20"/>
          <w:szCs w:val="20"/>
        </w:rPr>
        <w:t xml:space="preserve"> funkcjonariusze Straży Miejskiej Wrocławia wraz z pracownikami </w:t>
      </w:r>
      <w:r w:rsidRPr="00565707">
        <w:rPr>
          <w:rStyle w:val="Pogrubienie"/>
          <w:rFonts w:ascii="Verdana" w:hAnsi="Verdana"/>
          <w:b w:val="0"/>
          <w:sz w:val="20"/>
          <w:szCs w:val="20"/>
        </w:rPr>
        <w:t>Wydziału Środowiska i Rolnictwa Urzędu Miejskiego Wrocławia</w:t>
      </w:r>
      <w:r w:rsidR="00602462" w:rsidRPr="00565707">
        <w:rPr>
          <w:rStyle w:val="Pogrubienie"/>
          <w:rFonts w:ascii="Verdana" w:hAnsi="Verdana"/>
          <w:b w:val="0"/>
          <w:sz w:val="20"/>
          <w:szCs w:val="20"/>
        </w:rPr>
        <w:t>, a także we współpracy</w:t>
      </w:r>
      <w:r w:rsidR="00031FAE" w:rsidRPr="00565707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EC10CB" w:rsidRPr="00565707">
        <w:rPr>
          <w:rStyle w:val="Pogrubienie"/>
          <w:rFonts w:ascii="Verdana" w:hAnsi="Verdana"/>
          <w:b w:val="0"/>
          <w:sz w:val="20"/>
          <w:szCs w:val="20"/>
        </w:rPr>
        <w:t>z zarządcami nieruchomo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ści podejmą działania w oparciu </w:t>
      </w:r>
      <w:r w:rsidR="00EC10CB" w:rsidRPr="00565707">
        <w:rPr>
          <w:rStyle w:val="Pogrubienie"/>
          <w:rFonts w:ascii="Verdana" w:hAnsi="Verdana"/>
          <w:b w:val="0"/>
          <w:sz w:val="20"/>
          <w:szCs w:val="20"/>
        </w:rPr>
        <w:t>o stworzony plan kontroli pod kątem bytowania gryzoni na obszarze miasta.</w:t>
      </w:r>
    </w:p>
    <w:p w:rsidR="00EC10CB" w:rsidRPr="00565707" w:rsidRDefault="00EC10CB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03048A" w:rsidRPr="00565707" w:rsidRDefault="00570E55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 </w:t>
      </w:r>
      <w:r w:rsidR="004D2B93" w:rsidRPr="00565707">
        <w:rPr>
          <w:rFonts w:ascii="Verdana" w:hAnsi="Verdana"/>
          <w:bCs/>
          <w:sz w:val="20"/>
          <w:szCs w:val="20"/>
        </w:rPr>
        <w:t>opinii</w:t>
      </w:r>
      <w:r w:rsidRPr="00565707">
        <w:rPr>
          <w:rFonts w:ascii="Verdana" w:hAnsi="Verdana"/>
          <w:bCs/>
          <w:sz w:val="20"/>
          <w:szCs w:val="20"/>
        </w:rPr>
        <w:t xml:space="preserve"> </w:t>
      </w:r>
      <w:r w:rsidR="0003048A" w:rsidRPr="00565707">
        <w:rPr>
          <w:rFonts w:ascii="Verdana" w:hAnsi="Verdana"/>
          <w:bCs/>
          <w:sz w:val="20"/>
          <w:szCs w:val="20"/>
        </w:rPr>
        <w:t>Spółki Wro</w:t>
      </w:r>
      <w:r w:rsidR="004D2B93" w:rsidRPr="00565707">
        <w:rPr>
          <w:rFonts w:ascii="Verdana" w:hAnsi="Verdana"/>
          <w:bCs/>
          <w:sz w:val="20"/>
          <w:szCs w:val="20"/>
        </w:rPr>
        <w:t xml:space="preserve">cławskie Mieszkania </w:t>
      </w:r>
      <w:r w:rsidR="005C33F6">
        <w:rPr>
          <w:rFonts w:ascii="Verdana" w:hAnsi="Verdana"/>
          <w:sz w:val="20"/>
          <w:szCs w:val="20"/>
        </w:rPr>
        <w:t>Spółka z ograniczoną odpowiedzialnością</w:t>
      </w:r>
      <w:r w:rsidR="005C33F6" w:rsidRPr="00565707">
        <w:rPr>
          <w:rFonts w:ascii="Verdana" w:hAnsi="Verdana"/>
          <w:bCs/>
          <w:sz w:val="20"/>
          <w:szCs w:val="20"/>
        </w:rPr>
        <w:t xml:space="preserve"> </w:t>
      </w:r>
      <w:r w:rsidR="0003048A" w:rsidRPr="00565707">
        <w:rPr>
          <w:rFonts w:ascii="Verdana" w:hAnsi="Verdana"/>
          <w:bCs/>
          <w:sz w:val="20"/>
          <w:szCs w:val="20"/>
        </w:rPr>
        <w:t>deratyzacja nieruchomości gminnych wchodzących w skład gminnego zasobu komunalnego, co do którego Gmina Wrocław powierzyła czynności zarządzania i gospodarowania Spółce Wrocławskie Mieszkania jest prowadzona zgodnie obowiązującymi w tym zakresie przepisami o utrzymaniu</w:t>
      </w:r>
      <w:r w:rsidR="005C33F6">
        <w:rPr>
          <w:rFonts w:ascii="Verdana" w:hAnsi="Verdana"/>
          <w:bCs/>
          <w:sz w:val="20"/>
          <w:szCs w:val="20"/>
        </w:rPr>
        <w:t xml:space="preserve"> czystości </w:t>
      </w:r>
      <w:r w:rsidR="0003048A" w:rsidRPr="00565707">
        <w:rPr>
          <w:rFonts w:ascii="Verdana" w:hAnsi="Verdana"/>
          <w:bCs/>
          <w:sz w:val="20"/>
          <w:szCs w:val="20"/>
        </w:rPr>
        <w:t>i porządku w Gminie Wrocław. Ponadto Spółka, w zakresie przyznanych na ten cel środków finansowych, podejmuje dodatkowe czynności mające na celu zapobieganie zwiększaniu się populacji gryzoni w obszarach szczególnie zagrożonych, w tym w rejonie Przedmieścia Oławskiego.</w:t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 odniesieniu do szczegółowych postulatów zawartych w załączonej petycji uprzejmie informujemy, że w obszarze Przedmieścia Oławskiego Spółka Wrocławskie Mieszkania zarządza nieruchomościami stanowiącymi zasób Gminy Wrocław, oznaczonymi kolorem na poniższej mapie. Pozostałe tereny stanowią własność innych podmiotów lub osób fizycznych, które w takim samym zakresie jak jednostki gminne, podlegają obowiązkowi deratyzacji wynikającym z przepisów prawa.</w:t>
      </w:r>
    </w:p>
    <w:p w:rsidR="0003048A" w:rsidRPr="00565707" w:rsidRDefault="0003048A" w:rsidP="00565707">
      <w:pPr>
        <w:tabs>
          <w:tab w:val="left" w:pos="6379"/>
        </w:tabs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noProof/>
          <w:sz w:val="20"/>
          <w:szCs w:val="20"/>
        </w:rPr>
        <w:lastRenderedPageBreak/>
        <w:drawing>
          <wp:inline distT="0" distB="0" distL="0" distR="0">
            <wp:extent cx="4057650" cy="2505075"/>
            <wp:effectExtent l="19050" t="0" r="0" b="0"/>
            <wp:docPr id="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zedmieścieOławskie_mapa_W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017" cy="253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Na powyższej mapie kolorem oznaczono tereny, które mogą być deratyzowane przez Spółkę w ramach gminnych środków finansowych. Ponadto informuję, że część tych </w:t>
      </w:r>
      <w:r w:rsidR="005C33F6">
        <w:rPr>
          <w:rFonts w:ascii="Verdana" w:hAnsi="Verdana"/>
          <w:bCs/>
          <w:sz w:val="20"/>
          <w:szCs w:val="20"/>
        </w:rPr>
        <w:t xml:space="preserve">obszarów </w:t>
      </w:r>
      <w:r w:rsidRPr="00565707">
        <w:rPr>
          <w:rFonts w:ascii="Verdana" w:hAnsi="Verdana"/>
          <w:bCs/>
          <w:sz w:val="20"/>
          <w:szCs w:val="20"/>
        </w:rPr>
        <w:t xml:space="preserve">w rejonie Przedmieścia Oławskiego </w:t>
      </w:r>
      <w:r w:rsidR="0051506A">
        <w:rPr>
          <w:rFonts w:ascii="Verdana" w:hAnsi="Verdana"/>
          <w:bCs/>
          <w:sz w:val="20"/>
          <w:szCs w:val="20"/>
        </w:rPr>
        <w:t>w miesiącach sierpień-</w:t>
      </w:r>
      <w:r w:rsidRPr="00565707">
        <w:rPr>
          <w:rFonts w:ascii="Verdana" w:hAnsi="Verdana"/>
          <w:bCs/>
          <w:sz w:val="20"/>
          <w:szCs w:val="20"/>
        </w:rPr>
        <w:t>listopad b</w:t>
      </w:r>
      <w:r w:rsidR="0051506A">
        <w:rPr>
          <w:rFonts w:ascii="Verdana" w:hAnsi="Verdana"/>
          <w:bCs/>
          <w:sz w:val="20"/>
          <w:szCs w:val="20"/>
        </w:rPr>
        <w:t>ieżącego roku</w:t>
      </w:r>
      <w:r w:rsidRPr="00565707">
        <w:rPr>
          <w:rFonts w:ascii="Verdana" w:hAnsi="Verdana"/>
          <w:bCs/>
          <w:sz w:val="20"/>
          <w:szCs w:val="20"/>
        </w:rPr>
        <w:t xml:space="preserve"> została objęta dodatko</w:t>
      </w:r>
      <w:r w:rsidR="005C33F6">
        <w:rPr>
          <w:rFonts w:ascii="Verdana" w:hAnsi="Verdana"/>
          <w:bCs/>
          <w:sz w:val="20"/>
          <w:szCs w:val="20"/>
        </w:rPr>
        <w:t xml:space="preserve">wą, interwencyjną deratyzacją. </w:t>
      </w:r>
      <w:r w:rsidRPr="00565707">
        <w:rPr>
          <w:rFonts w:ascii="Verdana" w:hAnsi="Verdana"/>
          <w:bCs/>
          <w:sz w:val="20"/>
          <w:szCs w:val="20"/>
        </w:rPr>
        <w:t>W tym celu na nieruchomościach: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Więckowskiego 20-34,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Świstackiego 6,20,24,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Traugutta 133,135,137,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Kościuszki 176-186,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Komuny Paryskiej 96,</w:t>
      </w:r>
    </w:p>
    <w:p w:rsidR="0003048A" w:rsidRPr="00565707" w:rsidRDefault="0003048A" w:rsidP="005C33F6">
      <w:pPr>
        <w:numPr>
          <w:ilvl w:val="0"/>
          <w:numId w:val="30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Prądzyńskiego 18-24, 23-25,</w:t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były wykonywane comiesięczne deratyzacje. O akcji tej zostali powiadomieni zarządcy okolicznych nieruchomości, w celu wdrożenia odpowiednich procedur mogących znacząco ograniczyć występowanie populacji gryzoni w danym obszarze. Niestety ani Gmina, ani Spółka nie dysponuje żadnymi środkami przymusu w powyższym zakresie.</w:t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Wzrost populacji szczurów w niektórych rejonach Wrocławia jest ściśle związany z:</w:t>
      </w:r>
    </w:p>
    <w:p w:rsidR="0003048A" w:rsidRPr="00565707" w:rsidRDefault="0003048A" w:rsidP="005C33F6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nagminnym wyrzucaniem śmieci poza przeznaczone na ten cel pojemniki, </w:t>
      </w:r>
    </w:p>
    <w:p w:rsidR="0003048A" w:rsidRPr="00565707" w:rsidRDefault="0003048A" w:rsidP="005C33F6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wyrzucaniem jedzenia w celu dokarmiania ptaków, </w:t>
      </w:r>
    </w:p>
    <w:p w:rsidR="0003048A" w:rsidRPr="00565707" w:rsidRDefault="0003048A" w:rsidP="005C33F6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niezamykaniem pokryw pojemników przeznaczonych na odpady, </w:t>
      </w:r>
    </w:p>
    <w:p w:rsidR="0003048A" w:rsidRPr="00565707" w:rsidRDefault="0003048A" w:rsidP="00565707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brakiem lub ograniczeniem deratyzacji w bu</w:t>
      </w:r>
      <w:r w:rsidR="005C33F6">
        <w:rPr>
          <w:rFonts w:ascii="Verdana" w:hAnsi="Verdana"/>
          <w:bCs/>
          <w:sz w:val="20"/>
          <w:szCs w:val="20"/>
        </w:rPr>
        <w:t xml:space="preserve">dynkach Wspólnot Mieszkaniowych </w:t>
      </w:r>
      <w:r w:rsidRPr="00565707">
        <w:rPr>
          <w:rFonts w:ascii="Verdana" w:hAnsi="Verdana"/>
          <w:bCs/>
          <w:sz w:val="20"/>
          <w:szCs w:val="20"/>
        </w:rPr>
        <w:t>i Spółdzielni, a także przynależących do nich terenów zewnętrznych oraz terenów dzierżawionych o</w:t>
      </w:r>
      <w:r w:rsidR="0032503F" w:rsidRPr="00565707">
        <w:rPr>
          <w:rFonts w:ascii="Verdana" w:hAnsi="Verdana"/>
          <w:bCs/>
          <w:sz w:val="20"/>
          <w:szCs w:val="20"/>
        </w:rPr>
        <w:t>d Gminy na cel zbiórki odpadów,</w:t>
      </w:r>
    </w:p>
    <w:p w:rsidR="0003048A" w:rsidRPr="00565707" w:rsidRDefault="0003048A" w:rsidP="00565707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brakiem sprzątania i utrzymania w czystości miejsc zbiórki odpadów</w:t>
      </w:r>
      <w:r w:rsidR="0032503F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 xml:space="preserve">wykorzystywanych przez właścicieli nieruchomości mieszkalnych i użytkowych, </w:t>
      </w:r>
      <w:r w:rsidR="0032503F" w:rsidRPr="00565707">
        <w:rPr>
          <w:rFonts w:ascii="Verdana" w:hAnsi="Verdana"/>
          <w:bCs/>
          <w:sz w:val="20"/>
          <w:szCs w:val="20"/>
        </w:rPr>
        <w:t>w których wytwarzane są odpady,</w:t>
      </w:r>
    </w:p>
    <w:p w:rsidR="0003048A" w:rsidRPr="00565707" w:rsidRDefault="0003048A" w:rsidP="00565707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niedostosowaniem częstotliwości odbioru odpadów do skali ich wytwarzania zgłaszanych przez zarządców,</w:t>
      </w:r>
    </w:p>
    <w:p w:rsidR="0003048A" w:rsidRPr="00565707" w:rsidRDefault="0003048A" w:rsidP="00565707">
      <w:pPr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tworzeniem dzikich wysypisk śmieci we wnętrzach podwórzowych, </w:t>
      </w:r>
      <w:r w:rsidR="005C33F6">
        <w:rPr>
          <w:rFonts w:ascii="Verdana" w:hAnsi="Verdana"/>
          <w:bCs/>
          <w:sz w:val="20"/>
          <w:szCs w:val="20"/>
        </w:rPr>
        <w:t xml:space="preserve">w związku </w:t>
      </w:r>
      <w:r w:rsidRPr="00565707">
        <w:rPr>
          <w:rFonts w:ascii="Verdana" w:hAnsi="Verdana"/>
          <w:bCs/>
          <w:sz w:val="20"/>
          <w:szCs w:val="20"/>
        </w:rPr>
        <w:t xml:space="preserve">z nieprzestrzeganiem przez Mieszkańców harmonogramów odbiorów odpadów wielkogabarytowych, </w:t>
      </w:r>
      <w:r w:rsidR="005C33F6">
        <w:rPr>
          <w:rFonts w:ascii="Verdana" w:hAnsi="Verdana"/>
          <w:bCs/>
          <w:sz w:val="20"/>
          <w:szCs w:val="20"/>
        </w:rPr>
        <w:t>i tym podobnych</w:t>
      </w:r>
      <w:r w:rsidR="0032503F" w:rsidRPr="00565707">
        <w:rPr>
          <w:rFonts w:ascii="Verdana" w:hAnsi="Verdana"/>
          <w:bCs/>
          <w:sz w:val="20"/>
          <w:szCs w:val="20"/>
        </w:rPr>
        <w:t>.</w:t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Gmina Wrocław, dysponując środkami publicznymi, może zlecać i przeprowadzać deratyzacje na obszarach stanowiących jej własność. Deratyzacja zaś jedynie nieruchomości gminnych może chwilowo ograniczyć lecz nie będzie długofalowo skuteczna wobec plagi szczurów, która w szybkim tempie odbudowuje swoją populację, przy niczym nie ograniczonym dostępie do pożywienia.</w:t>
      </w:r>
    </w:p>
    <w:p w:rsidR="0003048A" w:rsidRPr="00565707" w:rsidRDefault="0003048A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Żadna interwencyjna akcja gminnych jednostek mająca na celu ograniczenie populacji gryzoni nie przyniesie</w:t>
      </w:r>
      <w:r w:rsidR="0032503F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 xml:space="preserve">oczekiwanych przez Mieszkańców efektów, jeśli nie będzie prowadzona kompleksowo, z użyciem wszelkich dostępnych środków i </w:t>
      </w:r>
      <w:r w:rsidRPr="00565707">
        <w:rPr>
          <w:rFonts w:ascii="Verdana" w:hAnsi="Verdana"/>
          <w:bCs/>
          <w:sz w:val="20"/>
          <w:szCs w:val="20"/>
        </w:rPr>
        <w:lastRenderedPageBreak/>
        <w:t>metod przez wszystkich właścicieli nieruchomości, w całym obszarze, na którym występuje zagrożenie. Nie jest to możliwe również bez aktywnej postawy Mieszkańców, rzeczowej współpracy wszystkich właścicieli i zarządców nieruchomości, mobilizacji społecznej</w:t>
      </w:r>
      <w:r w:rsidR="0032503F" w:rsidRPr="00565707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w zakresie respektowania przepisów o utrzymaniu czystości i porządku.</w:t>
      </w:r>
    </w:p>
    <w:p w:rsidR="00EC10CB" w:rsidRPr="00565707" w:rsidRDefault="00EC10CB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2503F" w:rsidRPr="00565707" w:rsidRDefault="001C16CC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Informuję, że </w:t>
      </w:r>
      <w:r w:rsidR="0032503F" w:rsidRPr="00565707">
        <w:rPr>
          <w:rFonts w:ascii="Verdana" w:hAnsi="Verdana"/>
          <w:bCs/>
          <w:sz w:val="20"/>
          <w:szCs w:val="20"/>
        </w:rPr>
        <w:t>Zarząd Dróg i Utrzymania Miasta we Wrocławiu interwencyjnie zleca przeprowadzanie deratyzacji zieleni przyulicznej na terenach będących pod naszym zarządem. Prace wykonywane są na podstawie zgłoszeń o występowaniu gryzoni na danym terenie otrzymywanych od n</w:t>
      </w:r>
      <w:r w:rsidR="005C33F6">
        <w:rPr>
          <w:rFonts w:ascii="Verdana" w:hAnsi="Verdana"/>
          <w:bCs/>
          <w:sz w:val="20"/>
          <w:szCs w:val="20"/>
        </w:rPr>
        <w:t>a przykład</w:t>
      </w:r>
      <w:r w:rsidR="0032503F" w:rsidRPr="00565707">
        <w:rPr>
          <w:rFonts w:ascii="Verdana" w:hAnsi="Verdana"/>
          <w:bCs/>
          <w:sz w:val="20"/>
          <w:szCs w:val="20"/>
        </w:rPr>
        <w:t xml:space="preserve"> mieszkańców, </w:t>
      </w:r>
      <w:r w:rsidR="000D4E48" w:rsidRPr="00565707">
        <w:rPr>
          <w:rStyle w:val="Pogrubienie"/>
          <w:rFonts w:ascii="Verdana" w:hAnsi="Verdana"/>
          <w:b w:val="0"/>
          <w:sz w:val="20"/>
          <w:szCs w:val="20"/>
        </w:rPr>
        <w:t>Wydziału Środowiska i Rolnictwa Urzędu Miejskiego</w:t>
      </w:r>
      <w:r w:rsidR="000D4E48">
        <w:rPr>
          <w:rStyle w:val="Pogrubienie"/>
          <w:rFonts w:ascii="Verdana" w:hAnsi="Verdana"/>
          <w:b w:val="0"/>
          <w:sz w:val="20"/>
          <w:szCs w:val="20"/>
        </w:rPr>
        <w:t xml:space="preserve"> Wrocławia</w:t>
      </w:r>
      <w:r w:rsidR="0032503F" w:rsidRPr="00565707">
        <w:rPr>
          <w:rFonts w:ascii="Verdana" w:hAnsi="Verdana"/>
          <w:bCs/>
          <w:sz w:val="20"/>
          <w:szCs w:val="20"/>
        </w:rPr>
        <w:t>. Każde zgłoszenie jest weryfikowane pod kątem własności terenu i śladów występowania szkodników (n</w:t>
      </w:r>
      <w:r w:rsidR="005C33F6">
        <w:rPr>
          <w:rFonts w:ascii="Verdana" w:hAnsi="Verdana"/>
          <w:bCs/>
          <w:sz w:val="20"/>
          <w:szCs w:val="20"/>
        </w:rPr>
        <w:t>a przykład</w:t>
      </w:r>
      <w:r w:rsidR="0032503F" w:rsidRPr="00565707">
        <w:rPr>
          <w:rFonts w:ascii="Verdana" w:hAnsi="Verdana"/>
          <w:bCs/>
          <w:sz w:val="20"/>
          <w:szCs w:val="20"/>
        </w:rPr>
        <w:t xml:space="preserve"> nory).</w:t>
      </w:r>
    </w:p>
    <w:p w:rsidR="0032503F" w:rsidRPr="00565707" w:rsidRDefault="0032503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Obecnie prowadzona jest deratyzacja zieleni przyulicznej zlokalizowanej</w:t>
      </w:r>
      <w:r w:rsidR="000D4E48">
        <w:rPr>
          <w:rFonts w:ascii="Verdana" w:hAnsi="Verdana"/>
          <w:bCs/>
          <w:sz w:val="20"/>
          <w:szCs w:val="20"/>
        </w:rPr>
        <w:t xml:space="preserve"> przy ulicy</w:t>
      </w:r>
      <w:r w:rsidR="00641C8C" w:rsidRPr="00565707">
        <w:rPr>
          <w:rFonts w:ascii="Verdana" w:hAnsi="Verdana"/>
          <w:bCs/>
          <w:sz w:val="20"/>
          <w:szCs w:val="20"/>
        </w:rPr>
        <w:t xml:space="preserve"> </w:t>
      </w:r>
      <w:r w:rsidR="004D2B93" w:rsidRPr="00565707">
        <w:rPr>
          <w:rFonts w:ascii="Verdana" w:hAnsi="Verdana"/>
          <w:bCs/>
          <w:sz w:val="20"/>
          <w:szCs w:val="20"/>
        </w:rPr>
        <w:t>Stacha Świstackiego.</w:t>
      </w:r>
    </w:p>
    <w:p w:rsidR="00A01CF8" w:rsidRPr="00565707" w:rsidRDefault="00A01CF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95088F" w:rsidRPr="00565707" w:rsidRDefault="004D2B9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Nadto</w:t>
      </w:r>
      <w:r w:rsidR="00347F6C" w:rsidRPr="00565707">
        <w:rPr>
          <w:rFonts w:ascii="Verdana" w:hAnsi="Verdana"/>
          <w:bCs/>
          <w:sz w:val="20"/>
          <w:szCs w:val="20"/>
        </w:rPr>
        <w:t xml:space="preserve"> i</w:t>
      </w:r>
      <w:r w:rsidR="0095088F" w:rsidRPr="00565707">
        <w:rPr>
          <w:rFonts w:ascii="Verdana" w:hAnsi="Verdana"/>
          <w:bCs/>
          <w:sz w:val="20"/>
          <w:szCs w:val="20"/>
        </w:rPr>
        <w:t>nfor</w:t>
      </w:r>
      <w:r w:rsidRPr="00565707">
        <w:rPr>
          <w:rFonts w:ascii="Verdana" w:hAnsi="Verdana"/>
          <w:bCs/>
          <w:sz w:val="20"/>
          <w:szCs w:val="20"/>
        </w:rPr>
        <w:t xml:space="preserve">muję, że </w:t>
      </w:r>
      <w:r w:rsidR="0095088F" w:rsidRPr="00565707">
        <w:rPr>
          <w:rFonts w:ascii="Verdana" w:hAnsi="Verdana"/>
          <w:bCs/>
          <w:sz w:val="20"/>
          <w:szCs w:val="20"/>
        </w:rPr>
        <w:t>Zarząd Zasobu Komunalnego</w:t>
      </w:r>
      <w:r w:rsidRPr="00565707">
        <w:rPr>
          <w:rFonts w:ascii="Verdana" w:hAnsi="Verdana"/>
          <w:bCs/>
          <w:sz w:val="20"/>
          <w:szCs w:val="20"/>
        </w:rPr>
        <w:t xml:space="preserve"> we Wrocławiu</w:t>
      </w:r>
      <w:r w:rsidR="0095088F" w:rsidRPr="00565707">
        <w:rPr>
          <w:rFonts w:ascii="Verdana" w:hAnsi="Verdana"/>
          <w:bCs/>
          <w:sz w:val="20"/>
          <w:szCs w:val="20"/>
        </w:rPr>
        <w:t xml:space="preserve"> współdziała z </w:t>
      </w:r>
      <w:r w:rsidRPr="00565707">
        <w:rPr>
          <w:rFonts w:ascii="Verdana" w:hAnsi="Verdana"/>
          <w:bCs/>
          <w:sz w:val="20"/>
          <w:szCs w:val="20"/>
        </w:rPr>
        <w:t>W</w:t>
      </w:r>
      <w:r w:rsidR="000D4E48">
        <w:rPr>
          <w:rFonts w:ascii="Verdana" w:hAnsi="Verdana"/>
          <w:bCs/>
          <w:sz w:val="20"/>
          <w:szCs w:val="20"/>
        </w:rPr>
        <w:t>y</w:t>
      </w:r>
      <w:r w:rsidRPr="00565707">
        <w:rPr>
          <w:rFonts w:ascii="Verdana" w:hAnsi="Verdana"/>
          <w:bCs/>
          <w:sz w:val="20"/>
          <w:szCs w:val="20"/>
        </w:rPr>
        <w:t xml:space="preserve">działem Środowiska </w:t>
      </w:r>
      <w:r w:rsidR="0095088F" w:rsidRPr="00565707">
        <w:rPr>
          <w:rFonts w:ascii="Verdana" w:hAnsi="Verdana"/>
          <w:bCs/>
          <w:sz w:val="20"/>
          <w:szCs w:val="20"/>
        </w:rPr>
        <w:t xml:space="preserve">i Rolnictwa </w:t>
      </w:r>
      <w:r w:rsidR="000D4E48">
        <w:rPr>
          <w:rFonts w:ascii="Verdana" w:hAnsi="Verdana"/>
          <w:bCs/>
          <w:sz w:val="20"/>
          <w:szCs w:val="20"/>
        </w:rPr>
        <w:t>Urzędu Miejskiego Wrocławia</w:t>
      </w:r>
      <w:r w:rsidR="0095088F" w:rsidRPr="00565707">
        <w:rPr>
          <w:rFonts w:ascii="Verdana" w:hAnsi="Verdana"/>
          <w:bCs/>
          <w:sz w:val="20"/>
          <w:szCs w:val="20"/>
        </w:rPr>
        <w:t xml:space="preserve"> w ustaleniu obszarów Przedmieścia Oławskiego, za których deratyzację odpowiada </w:t>
      </w:r>
      <w:r w:rsidR="000D4E48">
        <w:rPr>
          <w:rFonts w:ascii="Verdana" w:hAnsi="Verdana"/>
          <w:bCs/>
          <w:sz w:val="20"/>
          <w:szCs w:val="20"/>
        </w:rPr>
        <w:t>Wydział</w:t>
      </w:r>
      <w:r w:rsidR="000D4E48" w:rsidRPr="00565707">
        <w:rPr>
          <w:rFonts w:ascii="Verdana" w:hAnsi="Verdana"/>
          <w:bCs/>
          <w:sz w:val="20"/>
          <w:szCs w:val="20"/>
        </w:rPr>
        <w:t xml:space="preserve"> Środowiska i Rolnictwa </w:t>
      </w:r>
      <w:r w:rsidR="000D4E48">
        <w:rPr>
          <w:rFonts w:ascii="Verdana" w:hAnsi="Verdana"/>
          <w:bCs/>
          <w:sz w:val="20"/>
          <w:szCs w:val="20"/>
        </w:rPr>
        <w:t>Urzędu Miejskiego Wrocławia</w:t>
      </w:r>
      <w:r w:rsidR="000D4E48" w:rsidRPr="00565707">
        <w:rPr>
          <w:rFonts w:ascii="Verdana" w:hAnsi="Verdana"/>
          <w:bCs/>
          <w:sz w:val="20"/>
          <w:szCs w:val="20"/>
        </w:rPr>
        <w:t xml:space="preserve"> </w:t>
      </w:r>
      <w:r w:rsidR="0095088F" w:rsidRPr="00565707">
        <w:rPr>
          <w:rFonts w:ascii="Verdana" w:hAnsi="Verdana"/>
          <w:bCs/>
          <w:sz w:val="20"/>
          <w:szCs w:val="20"/>
        </w:rPr>
        <w:t xml:space="preserve">oraz </w:t>
      </w:r>
      <w:r w:rsidR="000D4E48" w:rsidRPr="00565707">
        <w:rPr>
          <w:rFonts w:ascii="Verdana" w:hAnsi="Verdana"/>
          <w:bCs/>
          <w:sz w:val="20"/>
          <w:szCs w:val="20"/>
        </w:rPr>
        <w:t>Zarząd Zasobu Komunalnego we Wrocławiu</w:t>
      </w:r>
      <w:r w:rsidR="0095088F" w:rsidRPr="00565707">
        <w:rPr>
          <w:rFonts w:ascii="Verdana" w:hAnsi="Verdana"/>
          <w:bCs/>
          <w:sz w:val="20"/>
          <w:szCs w:val="20"/>
        </w:rPr>
        <w:t xml:space="preserve">. Podobnie jak </w:t>
      </w:r>
      <w:r w:rsidR="000D4E48">
        <w:rPr>
          <w:rFonts w:ascii="Verdana" w:hAnsi="Verdana"/>
          <w:bCs/>
          <w:sz w:val="20"/>
          <w:szCs w:val="20"/>
        </w:rPr>
        <w:t>Wydział</w:t>
      </w:r>
      <w:r w:rsidR="000D4E48" w:rsidRPr="00565707">
        <w:rPr>
          <w:rFonts w:ascii="Verdana" w:hAnsi="Verdana"/>
          <w:bCs/>
          <w:sz w:val="20"/>
          <w:szCs w:val="20"/>
        </w:rPr>
        <w:t xml:space="preserve"> Środowiska i Rolnictwa </w:t>
      </w:r>
      <w:r w:rsidR="000D4E48">
        <w:rPr>
          <w:rFonts w:ascii="Verdana" w:hAnsi="Verdana"/>
          <w:bCs/>
          <w:sz w:val="20"/>
          <w:szCs w:val="20"/>
        </w:rPr>
        <w:t>Urzędu Miejskiego Wrocławia</w:t>
      </w:r>
      <w:r w:rsidR="0095088F" w:rsidRPr="00565707">
        <w:rPr>
          <w:rFonts w:ascii="Verdana" w:hAnsi="Verdana"/>
          <w:bCs/>
          <w:sz w:val="20"/>
          <w:szCs w:val="20"/>
        </w:rPr>
        <w:t xml:space="preserve">, </w:t>
      </w:r>
      <w:r w:rsidR="000D4E48" w:rsidRPr="00565707">
        <w:rPr>
          <w:rFonts w:ascii="Verdana" w:hAnsi="Verdana"/>
          <w:bCs/>
          <w:sz w:val="20"/>
          <w:szCs w:val="20"/>
        </w:rPr>
        <w:t xml:space="preserve">Zarząd Zasobu Komunalnego we Wrocławiu </w:t>
      </w:r>
      <w:r w:rsidR="0095088F" w:rsidRPr="00565707">
        <w:rPr>
          <w:rFonts w:ascii="Verdana" w:hAnsi="Verdana"/>
          <w:bCs/>
          <w:sz w:val="20"/>
          <w:szCs w:val="20"/>
        </w:rPr>
        <w:t>ma pod</w:t>
      </w:r>
      <w:r w:rsidRPr="00565707">
        <w:rPr>
          <w:rFonts w:ascii="Verdana" w:hAnsi="Verdana"/>
          <w:bCs/>
          <w:sz w:val="20"/>
          <w:szCs w:val="20"/>
        </w:rPr>
        <w:t xml:space="preserve">pisane umowy na wykonanie usług </w:t>
      </w:r>
      <w:r w:rsidR="0095088F" w:rsidRPr="00565707">
        <w:rPr>
          <w:rFonts w:ascii="Verdana" w:hAnsi="Verdana"/>
          <w:bCs/>
          <w:sz w:val="20"/>
          <w:szCs w:val="20"/>
        </w:rPr>
        <w:t>z zakresu deratyzacji z wyspecjalizowaną firmą, posia</w:t>
      </w:r>
      <w:r w:rsidRPr="00565707">
        <w:rPr>
          <w:rFonts w:ascii="Verdana" w:hAnsi="Verdana"/>
          <w:bCs/>
          <w:sz w:val="20"/>
          <w:szCs w:val="20"/>
        </w:rPr>
        <w:t xml:space="preserve">dająca odpowiednie kwalifikacje </w:t>
      </w:r>
      <w:r w:rsidR="0095088F" w:rsidRPr="00565707">
        <w:rPr>
          <w:rFonts w:ascii="Verdana" w:hAnsi="Verdana"/>
          <w:bCs/>
          <w:sz w:val="20"/>
          <w:szCs w:val="20"/>
        </w:rPr>
        <w:t>i doświadczenie w wykonywaniu tych usług.</w:t>
      </w:r>
    </w:p>
    <w:p w:rsidR="0095088F" w:rsidRPr="00565707" w:rsidRDefault="0095088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Skuteczność zabiegów deratyzacyjnych zależy od równoczesnego ich przeprowadzenia przez wszystkich właścicieli nieruchomości zarówno w budynkach</w:t>
      </w:r>
      <w:r w:rsidR="000D4E48">
        <w:rPr>
          <w:rFonts w:ascii="Verdana" w:hAnsi="Verdana"/>
          <w:bCs/>
          <w:sz w:val="20"/>
          <w:szCs w:val="20"/>
        </w:rPr>
        <w:t>,</w:t>
      </w:r>
      <w:r w:rsidRPr="00565707">
        <w:rPr>
          <w:rFonts w:ascii="Verdana" w:hAnsi="Verdana"/>
          <w:bCs/>
          <w:sz w:val="20"/>
          <w:szCs w:val="20"/>
        </w:rPr>
        <w:t xml:space="preserve"> jak i na terenach zewnętrznych. Istotą sprawy jest zapobieganie przyczynom nadmiernego wzrostu populacji gryzoni poprzez stymulowanie warunków ich bytowania na takie, w których nie będą czuły się bezpiecznie. Odcięcie licznych i łatwo dostępnych źródeł pożywienia to podstawowy element walki z liczebnością gryzoni.</w:t>
      </w:r>
    </w:p>
    <w:p w:rsidR="0095088F" w:rsidRPr="00565707" w:rsidRDefault="0095088F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Szeroko zakrojona kampania informacyjna naświetlająca i wyjaśniająca zachowania, które uniemożliwiają skuteczna walkę z gryzoniami, takie jak: dokarmianie zwierząt przez mieszkańców, gromadzenie odpadów w nadmiernych ilościach, niezamykanie pojemników na odpady, nieregularny wywóz odpadów, w tym odpadów wielkogabarytowych to narzędzie niezbędne w walce, w której dla osiągnięcia celu potrzeba zjednać wysiłki wszystkich właścicieli by wyeliminować sprzyjające warunki rozwoju dla gryzoni.</w:t>
      </w:r>
    </w:p>
    <w:p w:rsidR="00031FAE" w:rsidRPr="00565707" w:rsidRDefault="00031FAE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31FAE" w:rsidRPr="00565707" w:rsidRDefault="004D2B9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Dodatkowo informuję, że </w:t>
      </w:r>
      <w:r w:rsidR="00A01CF8" w:rsidRPr="00565707">
        <w:rPr>
          <w:rFonts w:ascii="Verdana" w:hAnsi="Verdana"/>
          <w:bCs/>
          <w:sz w:val="20"/>
          <w:szCs w:val="20"/>
        </w:rPr>
        <w:t xml:space="preserve">Zarząd Zieleni Miejskiej </w:t>
      </w:r>
      <w:r w:rsidR="00031FAE" w:rsidRPr="00565707">
        <w:rPr>
          <w:rFonts w:ascii="Verdana" w:hAnsi="Verdana"/>
          <w:bCs/>
          <w:sz w:val="20"/>
          <w:szCs w:val="20"/>
        </w:rPr>
        <w:t xml:space="preserve">we Wrocławiu </w:t>
      </w:r>
      <w:r w:rsidR="00A01CF8" w:rsidRPr="00565707">
        <w:rPr>
          <w:rFonts w:ascii="Verdana" w:hAnsi="Verdana"/>
          <w:bCs/>
          <w:sz w:val="20"/>
          <w:szCs w:val="20"/>
        </w:rPr>
        <w:t>na obszarze Przedmieścia Oławskiego przeprowadza deratyzację trzykrotnie na terenie Skweru Zygmunta Krasińskiego. Ponadto realizowana jest trzyk</w:t>
      </w:r>
      <w:r w:rsidR="00EA34EB" w:rsidRPr="00565707">
        <w:rPr>
          <w:rFonts w:ascii="Verdana" w:hAnsi="Verdana"/>
          <w:bCs/>
          <w:sz w:val="20"/>
          <w:szCs w:val="20"/>
        </w:rPr>
        <w:t xml:space="preserve">rotna w skali roku deratyzacja </w:t>
      </w:r>
      <w:r w:rsidR="00A01CF8" w:rsidRPr="00565707">
        <w:rPr>
          <w:rFonts w:ascii="Verdana" w:hAnsi="Verdana"/>
          <w:bCs/>
          <w:sz w:val="20"/>
          <w:szCs w:val="20"/>
        </w:rPr>
        <w:t>Fosy Miejskiej wraz z Promenadą nad Fosą.</w:t>
      </w:r>
    </w:p>
    <w:p w:rsidR="00A01CF8" w:rsidRPr="00565707" w:rsidRDefault="00A01CF8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 zasobach </w:t>
      </w:r>
      <w:r w:rsidR="000D4E48" w:rsidRPr="00565707">
        <w:rPr>
          <w:rFonts w:ascii="Verdana" w:hAnsi="Verdana"/>
          <w:bCs/>
          <w:sz w:val="20"/>
          <w:szCs w:val="20"/>
        </w:rPr>
        <w:t>Zarząd</w:t>
      </w:r>
      <w:r w:rsidR="000D4E48">
        <w:rPr>
          <w:rFonts w:ascii="Verdana" w:hAnsi="Verdana"/>
          <w:bCs/>
          <w:sz w:val="20"/>
          <w:szCs w:val="20"/>
        </w:rPr>
        <w:t>u</w:t>
      </w:r>
      <w:r w:rsidR="000D4E48" w:rsidRPr="00565707">
        <w:rPr>
          <w:rFonts w:ascii="Verdana" w:hAnsi="Verdana"/>
          <w:bCs/>
          <w:sz w:val="20"/>
          <w:szCs w:val="20"/>
        </w:rPr>
        <w:t xml:space="preserve"> Zieleni Miejskiej we Wrocławiu </w:t>
      </w:r>
      <w:r w:rsidRPr="00565707">
        <w:rPr>
          <w:rFonts w:ascii="Verdana" w:hAnsi="Verdana"/>
          <w:bCs/>
          <w:sz w:val="20"/>
          <w:szCs w:val="20"/>
        </w:rPr>
        <w:t xml:space="preserve">na obszarze Przedmieścia Oławskiego znajduje się Promenada nad Oławą, na której nie odnotowano dotychczas obecności gryzoni. W przypadku ich wystąpienia </w:t>
      </w:r>
      <w:r w:rsidR="000D4E48" w:rsidRPr="00565707">
        <w:rPr>
          <w:rFonts w:ascii="Verdana" w:hAnsi="Verdana"/>
          <w:bCs/>
          <w:sz w:val="20"/>
          <w:szCs w:val="20"/>
        </w:rPr>
        <w:t xml:space="preserve">Zarząd Zieleni Miejskiej we Wrocławiu </w:t>
      </w:r>
      <w:r w:rsidRPr="00565707">
        <w:rPr>
          <w:rFonts w:ascii="Verdana" w:hAnsi="Verdana"/>
          <w:bCs/>
          <w:sz w:val="20"/>
          <w:szCs w:val="20"/>
        </w:rPr>
        <w:t>każdorazowo zleca zabi</w:t>
      </w:r>
      <w:r w:rsidR="00EA34EB" w:rsidRPr="00565707">
        <w:rPr>
          <w:rFonts w:ascii="Verdana" w:hAnsi="Verdana"/>
          <w:bCs/>
          <w:sz w:val="20"/>
          <w:szCs w:val="20"/>
        </w:rPr>
        <w:t>egi deratyzacji interwencyjnej.</w:t>
      </w: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 xml:space="preserve">W ramach działań dotyczących szerszej skali, obejmujących nie tylko jednostki i spółki gminne ale także władających, zarządzających i użytkujących nieruchomości położone na terenie Miasta, z początkiem roku 2020 rozpoczęto prace nad zmianą Regulaminu utrzymania czystości i porządku na terenie Wrocławia w zakresie dotyczącym obowiązkowej deratyzacji. Zmiana Regulaminu w przedmiotowym </w:t>
      </w:r>
      <w:r w:rsidRPr="00565707">
        <w:rPr>
          <w:rFonts w:ascii="Verdana" w:hAnsi="Verdana"/>
          <w:bCs/>
          <w:sz w:val="20"/>
          <w:szCs w:val="20"/>
        </w:rPr>
        <w:lastRenderedPageBreak/>
        <w:t>zakresie była szeroko konsultowana.</w:t>
      </w:r>
      <w:r w:rsidR="000D4E48">
        <w:rPr>
          <w:rFonts w:ascii="Verdana" w:hAnsi="Verdana"/>
          <w:bCs/>
          <w:sz w:val="20"/>
          <w:szCs w:val="20"/>
        </w:rPr>
        <w:t xml:space="preserve"> </w:t>
      </w:r>
      <w:r w:rsidRPr="00565707">
        <w:rPr>
          <w:rFonts w:ascii="Verdana" w:hAnsi="Verdana"/>
          <w:bCs/>
          <w:sz w:val="20"/>
          <w:szCs w:val="20"/>
        </w:rPr>
        <w:t>W niniejszych konsultacjach udział wzięli przedstawiciele jednostek i spółek zarządzających zasobami gminnymi, a także przedstawiciele Straży Miejskiej Wrocławia, Powiatowej Stacji Sanitarno-Epidemiologicznej we Wrocławiu oraz Polskiego Stowarzyszenia Pracowników Dezynfekcji, Dezynsekcji i Deratyzacji. Efektem przedmiotowych prac jest Uchwała numer XXV/672/20 Rady Miejskiej W</w:t>
      </w:r>
      <w:r w:rsidR="000D4E48">
        <w:rPr>
          <w:rFonts w:ascii="Verdana" w:hAnsi="Verdana"/>
          <w:bCs/>
          <w:sz w:val="20"/>
          <w:szCs w:val="20"/>
        </w:rPr>
        <w:t>rocławia z dnia 23 lipca 2020 roku</w:t>
      </w:r>
      <w:r w:rsidRPr="00565707">
        <w:rPr>
          <w:rFonts w:ascii="Verdana" w:hAnsi="Verdana"/>
          <w:bCs/>
          <w:sz w:val="20"/>
          <w:szCs w:val="20"/>
        </w:rPr>
        <w:t xml:space="preserve"> w sprawie regulaminu utrzymania czystości i porządku na terenie Wrocławia, która wprowadziła zmiany w zakresie przeprowadzania obowiązkowej deratyzacji obejmujące:</w:t>
      </w:r>
    </w:p>
    <w:p w:rsidR="003D0963" w:rsidRPr="00565707" w:rsidRDefault="003D0963" w:rsidP="000D4E48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dostosowanie częstotliwości i okresów trwania obowiązkowych deratyzacji,</w:t>
      </w:r>
    </w:p>
    <w:p w:rsidR="003D0963" w:rsidRPr="00565707" w:rsidRDefault="003D0963" w:rsidP="00565707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rozszerzenie obowiązku prowadzenia deratyzacji wnętrz międzyblokowych i miejsc gromadzenia odpadów w zabudowie wielolokalowej o nowe tereny,</w:t>
      </w:r>
    </w:p>
    <w:p w:rsidR="003D0963" w:rsidRPr="00565707" w:rsidRDefault="003D0963" w:rsidP="00565707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line="271" w:lineRule="auto"/>
        <w:ind w:left="0" w:firstLine="0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wprowadzenie obowiązku prowadzenia dodatkowej deratyzacji w miejscach występowania gryzoni.</w:t>
      </w: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Poniżej przedstawiono porównanie zapisów dotychczasowych oraz nowych:</w:t>
      </w:r>
    </w:p>
    <w:tbl>
      <w:tblPr>
        <w:tblpPr w:leftFromText="141" w:rightFromText="141" w:vertAnchor="text" w:horzAnchor="margin" w:tblpX="19" w:tblpY="83"/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9"/>
        <w:gridCol w:w="4120"/>
      </w:tblGrid>
      <w:tr w:rsidR="003D0963" w:rsidRPr="00565707" w:rsidTr="009B024E">
        <w:trPr>
          <w:trHeight w:val="20"/>
        </w:trPr>
        <w:tc>
          <w:tcPr>
            <w:tcW w:w="4119" w:type="dxa"/>
            <w:shd w:val="clear" w:color="auto" w:fill="D9D9D9" w:themeFill="background1" w:themeFillShade="D9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Dotychczas:</w:t>
            </w:r>
          </w:p>
        </w:tc>
        <w:tc>
          <w:tcPr>
            <w:tcW w:w="4120" w:type="dxa"/>
            <w:shd w:val="clear" w:color="auto" w:fill="D9D9D9" w:themeFill="background1" w:themeFillShade="D9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Po zmianie:</w:t>
            </w:r>
          </w:p>
        </w:tc>
      </w:tr>
      <w:tr w:rsidR="003D0963" w:rsidRPr="00565707" w:rsidTr="009B024E">
        <w:trPr>
          <w:trHeight w:val="21"/>
        </w:trPr>
        <w:tc>
          <w:tcPr>
            <w:tcW w:w="4119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trzy (w przypadku ścisłego centrum) lub dwa terminy trwające dwa tygodnie,</w:t>
            </w:r>
          </w:p>
        </w:tc>
        <w:tc>
          <w:tcPr>
            <w:tcW w:w="4120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trzy lub dwa terminy trwające jeden miesiąc,</w:t>
            </w:r>
          </w:p>
        </w:tc>
      </w:tr>
      <w:tr w:rsidR="003D0963" w:rsidRPr="00565707" w:rsidTr="009B024E">
        <w:trPr>
          <w:trHeight w:val="21"/>
        </w:trPr>
        <w:tc>
          <w:tcPr>
            <w:tcW w:w="4119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l</w:t>
            </w:r>
            <w:r w:rsidR="000D4E48">
              <w:rPr>
                <w:rFonts w:ascii="Verdana" w:hAnsi="Verdana"/>
                <w:bCs/>
                <w:sz w:val="20"/>
                <w:szCs w:val="20"/>
              </w:rPr>
              <w:t xml:space="preserve">etnia deratyzacja obowiązująca </w:t>
            </w:r>
            <w:r w:rsidRPr="00565707">
              <w:rPr>
                <w:rFonts w:ascii="Verdana" w:hAnsi="Verdana"/>
                <w:bCs/>
                <w:sz w:val="20"/>
                <w:szCs w:val="20"/>
              </w:rPr>
              <w:t>w ścisłym centrum Miasta,</w:t>
            </w:r>
          </w:p>
        </w:tc>
        <w:tc>
          <w:tcPr>
            <w:tcW w:w="4120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letnia deratyzacja obowiązująca na większym obszarze, ustalonym na podstawie odnotowanych interwencji (rycina poniżej)</w:t>
            </w:r>
          </w:p>
        </w:tc>
      </w:tr>
      <w:tr w:rsidR="003D0963" w:rsidRPr="00565707" w:rsidTr="009B024E">
        <w:trPr>
          <w:trHeight w:val="20"/>
        </w:trPr>
        <w:tc>
          <w:tcPr>
            <w:tcW w:w="4119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4D2B93" w:rsidRPr="00565707" w:rsidRDefault="004D2B9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3D0963" w:rsidRPr="00565707" w:rsidRDefault="003D0963" w:rsidP="000D4E48">
            <w:pPr>
              <w:spacing w:line="271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X</w:t>
            </w:r>
          </w:p>
        </w:tc>
        <w:tc>
          <w:tcPr>
            <w:tcW w:w="4120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dodatkowa obowiązkowa deratyzacja każdorazowo w przypadku stwierdzenia występowania gryzoni na terenie nieruchomości</w:t>
            </w:r>
          </w:p>
        </w:tc>
      </w:tr>
      <w:tr w:rsidR="003D0963" w:rsidRPr="00565707" w:rsidTr="009B024E">
        <w:trPr>
          <w:trHeight w:val="20"/>
        </w:trPr>
        <w:tc>
          <w:tcPr>
            <w:tcW w:w="4119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wnętrza międzyblokowe oraz miejsca zbierania odpadów w zabudowie wielolokalowej na obszarze ścisłego centrum</w:t>
            </w:r>
          </w:p>
        </w:tc>
        <w:tc>
          <w:tcPr>
            <w:tcW w:w="4120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wnętrza międzyblokowe oraz miejsca gromadzenia odpadów w zabudowie wielolokalowej na terenie całego Miasta</w:t>
            </w:r>
          </w:p>
        </w:tc>
      </w:tr>
      <w:tr w:rsidR="003D0963" w:rsidRPr="00565707" w:rsidTr="009B024E">
        <w:trPr>
          <w:trHeight w:val="372"/>
        </w:trPr>
        <w:tc>
          <w:tcPr>
            <w:tcW w:w="4119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sz w:val="20"/>
                <w:szCs w:val="20"/>
              </w:rPr>
              <w:t>deratyzacja</w:t>
            </w: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 xml:space="preserve"> sieci kanalizacji sanitarnej grawitacyjnej o średnicach od 500 </w:t>
            </w:r>
            <w:r w:rsidR="000D4E48">
              <w:rPr>
                <w:rFonts w:ascii="Verdana" w:hAnsi="Verdana"/>
                <w:bCs/>
                <w:iCs/>
                <w:sz w:val="20"/>
                <w:szCs w:val="20"/>
              </w:rPr>
              <w:t>milimetrów</w:t>
            </w: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>, przebiegającej w obrębach geodezyjnych:</w:t>
            </w:r>
          </w:p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>Plac Grunwaldzki, Południe, Gaj, Rakowiec, Tarnogaj, Borek, Grabiszyn</w:t>
            </w:r>
          </w:p>
        </w:tc>
        <w:tc>
          <w:tcPr>
            <w:tcW w:w="4120" w:type="dxa"/>
            <w:shd w:val="clear" w:color="auto" w:fill="FBFBFB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 xml:space="preserve">deratyzacja sieci kanalizacji sanitarnej grawitacyjnej o średnicach od 500 </w:t>
            </w:r>
            <w:r w:rsidR="000D4E48">
              <w:rPr>
                <w:rFonts w:ascii="Verdana" w:hAnsi="Verdana"/>
                <w:bCs/>
                <w:iCs/>
                <w:sz w:val="20"/>
                <w:szCs w:val="20"/>
              </w:rPr>
              <w:t>milimetrów</w:t>
            </w: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>, przebiegającej w obrębach geodezyjnych:</w:t>
            </w:r>
          </w:p>
          <w:p w:rsidR="003D0963" w:rsidRPr="00565707" w:rsidRDefault="003D0963" w:rsidP="00565707">
            <w:pPr>
              <w:spacing w:line="271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65707">
              <w:rPr>
                <w:rFonts w:ascii="Verdana" w:hAnsi="Verdana"/>
                <w:bCs/>
                <w:iCs/>
                <w:sz w:val="20"/>
                <w:szCs w:val="20"/>
              </w:rPr>
              <w:t>Gaj, Grabiszyn, Kleczków, Muchobór Mały, Plac Grunwaldzki, Południe, Popowice, Rakowiec, Stare Miasto, Tarnogaj</w:t>
            </w:r>
          </w:p>
        </w:tc>
      </w:tr>
    </w:tbl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4D2B93" w:rsidRDefault="004D2B93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D4E48" w:rsidRPr="00565707" w:rsidRDefault="000D4E48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lastRenderedPageBreak/>
        <w:t>Na rycinie przedstawiono powiększony obszar obowiązywania letniej deratyzacji:</w:t>
      </w:r>
    </w:p>
    <w:p w:rsidR="003D0963" w:rsidRPr="00565707" w:rsidRDefault="003D0963" w:rsidP="00565707">
      <w:pPr>
        <w:tabs>
          <w:tab w:val="left" w:pos="6379"/>
        </w:tabs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noProof/>
          <w:sz w:val="20"/>
          <w:szCs w:val="20"/>
        </w:rPr>
        <w:drawing>
          <wp:inline distT="0" distB="0" distL="0" distR="0">
            <wp:extent cx="4042311" cy="2790701"/>
            <wp:effectExtent l="19050" t="0" r="0" b="0"/>
            <wp:docPr id="4" name="Obraz 5" descr="porównan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 descr="porównanie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883" cy="279178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D0963" w:rsidRPr="00565707" w:rsidRDefault="003D0963" w:rsidP="00565707">
      <w:pPr>
        <w:spacing w:line="271" w:lineRule="auto"/>
        <w:rPr>
          <w:rFonts w:ascii="Verdana" w:hAnsi="Verdana"/>
          <w:bCs/>
          <w:sz w:val="20"/>
          <w:szCs w:val="20"/>
        </w:rPr>
      </w:pPr>
      <w:r w:rsidRPr="00565707">
        <w:rPr>
          <w:rFonts w:ascii="Verdana" w:hAnsi="Verdana"/>
          <w:bCs/>
          <w:sz w:val="20"/>
          <w:szCs w:val="20"/>
        </w:rPr>
        <w:t>Kolorem żółtym zaznaczono dotychczasowy obszar przeprowadzania letniej obowiązkowej deratyzacji; czerwonym nowy, powiększy obszar, który ustalono na podstawie interwencji dotyczących występowania szczurów jakie Wydział Środowiska i Rolnictwa Urzędu Miejskiego Wrocławia odnotował w 2019 r</w:t>
      </w:r>
      <w:r w:rsidR="000D4E48">
        <w:rPr>
          <w:rFonts w:ascii="Verdana" w:hAnsi="Verdana"/>
          <w:bCs/>
          <w:sz w:val="20"/>
          <w:szCs w:val="20"/>
        </w:rPr>
        <w:t>oku</w:t>
      </w:r>
      <w:r w:rsidRPr="00565707">
        <w:rPr>
          <w:rFonts w:ascii="Verdana" w:hAnsi="Verdana"/>
          <w:bCs/>
          <w:sz w:val="20"/>
          <w:szCs w:val="20"/>
        </w:rPr>
        <w:t>.</w:t>
      </w:r>
    </w:p>
    <w:p w:rsidR="00270190" w:rsidRPr="00565707" w:rsidRDefault="00270190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5329A" w:rsidRPr="00565707" w:rsidRDefault="00270190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65707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565707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209BE" w:rsidRPr="00565707" w:rsidRDefault="000D4E48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</w:t>
      </w:r>
      <w:r w:rsidR="0051506A">
        <w:rPr>
          <w:rStyle w:val="Pogrubienie"/>
          <w:rFonts w:ascii="Verdana" w:hAnsi="Verdana"/>
          <w:b w:val="0"/>
          <w:sz w:val="20"/>
          <w:szCs w:val="20"/>
        </w:rPr>
        <w:t>okument podpisała</w:t>
      </w:r>
    </w:p>
    <w:p w:rsidR="006209BE" w:rsidRPr="00565707" w:rsidRDefault="0051506A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6209BE" w:rsidRPr="00565707" w:rsidRDefault="0051506A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565707" w:rsidRDefault="006209BE" w:rsidP="0056570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565707" w:rsidRDefault="00DF170F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Otrzymują: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1. Adresat,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 xml:space="preserve">2. Miejskie Przedsiębiorstwo Wodociągów i Kanalizacji </w:t>
      </w:r>
      <w:r w:rsidR="0051506A">
        <w:rPr>
          <w:rFonts w:ascii="Verdana" w:hAnsi="Verdana"/>
          <w:sz w:val="20"/>
          <w:szCs w:val="20"/>
        </w:rPr>
        <w:t>Spółka Akcyjna</w:t>
      </w:r>
      <w:r w:rsidRPr="00565707">
        <w:rPr>
          <w:rFonts w:ascii="Verdana" w:hAnsi="Verdana"/>
          <w:sz w:val="20"/>
          <w:szCs w:val="20"/>
        </w:rPr>
        <w:t xml:space="preserve"> we Wrocławiu,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3. Straż Miejska Wrocławia,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4. Wrocławskie Mieszkania Sp</w:t>
      </w:r>
      <w:r w:rsidR="0051506A">
        <w:rPr>
          <w:rFonts w:ascii="Verdana" w:hAnsi="Verdana"/>
          <w:sz w:val="20"/>
          <w:szCs w:val="20"/>
        </w:rPr>
        <w:t>ółka z ograniczoną odpowiedzialnością,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5. Zarząd Dróg i Utrzymania Miasta we Wrocławiu,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6. Zarząd Zasobu Komunalnego we Wrocławiu,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7. Zarząd Zieleni Miejskiej we Wrocławiu,</w:t>
      </w:r>
    </w:p>
    <w:p w:rsidR="00A11102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8. Departament Zrównoważonego Rozwoju U</w:t>
      </w:r>
      <w:r w:rsidR="0051506A">
        <w:rPr>
          <w:rFonts w:ascii="Verdana" w:hAnsi="Verdana"/>
          <w:sz w:val="20"/>
          <w:szCs w:val="20"/>
        </w:rPr>
        <w:t xml:space="preserve">rzędu </w:t>
      </w:r>
      <w:r w:rsidRPr="00565707">
        <w:rPr>
          <w:rFonts w:ascii="Verdana" w:hAnsi="Verdana"/>
          <w:sz w:val="20"/>
          <w:szCs w:val="20"/>
        </w:rPr>
        <w:t>M</w:t>
      </w:r>
      <w:r w:rsidR="0051506A">
        <w:rPr>
          <w:rFonts w:ascii="Verdana" w:hAnsi="Verdana"/>
          <w:sz w:val="20"/>
          <w:szCs w:val="20"/>
        </w:rPr>
        <w:t>iejskiego</w:t>
      </w:r>
      <w:r w:rsidRPr="00565707">
        <w:rPr>
          <w:rFonts w:ascii="Verdana" w:hAnsi="Verdana"/>
          <w:sz w:val="20"/>
          <w:szCs w:val="20"/>
        </w:rPr>
        <w:t xml:space="preserve"> Wrocławia,</w:t>
      </w:r>
    </w:p>
    <w:p w:rsidR="00D5782F" w:rsidRPr="00565707" w:rsidRDefault="00A11102" w:rsidP="0056570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65707">
        <w:rPr>
          <w:rFonts w:ascii="Verdana" w:hAnsi="Verdana"/>
          <w:sz w:val="20"/>
          <w:szCs w:val="20"/>
        </w:rPr>
        <w:t>9. a</w:t>
      </w:r>
      <w:r w:rsidR="0051506A">
        <w:rPr>
          <w:rFonts w:ascii="Verdana" w:hAnsi="Verdana"/>
          <w:sz w:val="20"/>
          <w:szCs w:val="20"/>
        </w:rPr>
        <w:t xml:space="preserve">d </w:t>
      </w:r>
      <w:r w:rsidRPr="00565707">
        <w:rPr>
          <w:rFonts w:ascii="Verdana" w:hAnsi="Verdana"/>
          <w:sz w:val="20"/>
          <w:szCs w:val="20"/>
        </w:rPr>
        <w:t>a</w:t>
      </w:r>
      <w:r w:rsidR="0051506A">
        <w:rPr>
          <w:rFonts w:ascii="Verdana" w:hAnsi="Verdana"/>
          <w:sz w:val="20"/>
          <w:szCs w:val="20"/>
        </w:rPr>
        <w:t>cta</w:t>
      </w:r>
      <w:r w:rsidRPr="00565707">
        <w:rPr>
          <w:rFonts w:ascii="Verdana" w:hAnsi="Verdana"/>
          <w:sz w:val="20"/>
          <w:szCs w:val="20"/>
        </w:rPr>
        <w:t>.</w:t>
      </w:r>
    </w:p>
    <w:sectPr w:rsidR="00D5782F" w:rsidRPr="00565707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8F" w:rsidRDefault="00DF078F">
      <w:r>
        <w:separator/>
      </w:r>
    </w:p>
  </w:endnote>
  <w:endnote w:type="continuationSeparator" w:id="1">
    <w:p w:rsidR="00DF078F" w:rsidRDefault="00DF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949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94932" w:rsidRPr="004D6885">
      <w:rPr>
        <w:sz w:val="14"/>
        <w:szCs w:val="14"/>
      </w:rPr>
      <w:fldChar w:fldCharType="separate"/>
    </w:r>
    <w:r w:rsidR="0051506A">
      <w:rPr>
        <w:noProof/>
        <w:sz w:val="14"/>
        <w:szCs w:val="14"/>
      </w:rPr>
      <w:t>2</w:t>
    </w:r>
    <w:r w:rsidR="0079493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949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94932" w:rsidRPr="004D6885">
      <w:rPr>
        <w:sz w:val="14"/>
        <w:szCs w:val="14"/>
      </w:rPr>
      <w:fldChar w:fldCharType="separate"/>
    </w:r>
    <w:r w:rsidR="0051506A">
      <w:rPr>
        <w:noProof/>
        <w:sz w:val="14"/>
        <w:szCs w:val="14"/>
      </w:rPr>
      <w:t>8</w:t>
    </w:r>
    <w:r w:rsidR="0079493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8F" w:rsidRDefault="00DF078F">
      <w:r>
        <w:separator/>
      </w:r>
    </w:p>
  </w:footnote>
  <w:footnote w:type="continuationSeparator" w:id="1">
    <w:p w:rsidR="00DF078F" w:rsidRDefault="00DF0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949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415417"/>
    <w:multiLevelType w:val="hybridMultilevel"/>
    <w:tmpl w:val="9C5A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F4907"/>
    <w:multiLevelType w:val="hybridMultilevel"/>
    <w:tmpl w:val="46BE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7599A"/>
    <w:multiLevelType w:val="hybridMultilevel"/>
    <w:tmpl w:val="46940AC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4F1163"/>
    <w:multiLevelType w:val="hybridMultilevel"/>
    <w:tmpl w:val="16A4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9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28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C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5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90313B"/>
    <w:multiLevelType w:val="hybridMultilevel"/>
    <w:tmpl w:val="9EF8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C2704"/>
    <w:multiLevelType w:val="hybridMultilevel"/>
    <w:tmpl w:val="8968C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9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20"/>
  </w:num>
  <w:num w:numId="30">
    <w:abstractNumId w:val="30"/>
  </w:num>
  <w:num w:numId="31">
    <w:abstractNumId w:val="31"/>
  </w:num>
  <w:num w:numId="32">
    <w:abstractNumId w:val="2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048A"/>
    <w:rsid w:val="00031FAE"/>
    <w:rsid w:val="000338E4"/>
    <w:rsid w:val="000458D8"/>
    <w:rsid w:val="00053D2C"/>
    <w:rsid w:val="00057DFD"/>
    <w:rsid w:val="00062583"/>
    <w:rsid w:val="000811CA"/>
    <w:rsid w:val="00097AEF"/>
    <w:rsid w:val="000A15F9"/>
    <w:rsid w:val="000A2B78"/>
    <w:rsid w:val="000B1DE6"/>
    <w:rsid w:val="000C2F7F"/>
    <w:rsid w:val="000C744E"/>
    <w:rsid w:val="000C748B"/>
    <w:rsid w:val="000D4E48"/>
    <w:rsid w:val="000E2896"/>
    <w:rsid w:val="000F2BE1"/>
    <w:rsid w:val="000F3BFD"/>
    <w:rsid w:val="00103D0E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62F3"/>
    <w:rsid w:val="001656EA"/>
    <w:rsid w:val="00166DB9"/>
    <w:rsid w:val="00180DF6"/>
    <w:rsid w:val="00190D4E"/>
    <w:rsid w:val="001910ED"/>
    <w:rsid w:val="001922B7"/>
    <w:rsid w:val="00193ACC"/>
    <w:rsid w:val="001A16D8"/>
    <w:rsid w:val="001C16CC"/>
    <w:rsid w:val="001C1C58"/>
    <w:rsid w:val="001E2687"/>
    <w:rsid w:val="001F1452"/>
    <w:rsid w:val="001F32AC"/>
    <w:rsid w:val="002018DC"/>
    <w:rsid w:val="00215AEB"/>
    <w:rsid w:val="0022042D"/>
    <w:rsid w:val="002210BF"/>
    <w:rsid w:val="002226C3"/>
    <w:rsid w:val="0023295F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83BC6"/>
    <w:rsid w:val="002921DD"/>
    <w:rsid w:val="002946E1"/>
    <w:rsid w:val="002970A6"/>
    <w:rsid w:val="002B6140"/>
    <w:rsid w:val="002B7EEC"/>
    <w:rsid w:val="002C367B"/>
    <w:rsid w:val="002C5F5A"/>
    <w:rsid w:val="002E22A4"/>
    <w:rsid w:val="002E4538"/>
    <w:rsid w:val="002F292D"/>
    <w:rsid w:val="003050AD"/>
    <w:rsid w:val="00313545"/>
    <w:rsid w:val="00316E97"/>
    <w:rsid w:val="00323052"/>
    <w:rsid w:val="003247EF"/>
    <w:rsid w:val="0032503F"/>
    <w:rsid w:val="00345256"/>
    <w:rsid w:val="003469AD"/>
    <w:rsid w:val="00347F6C"/>
    <w:rsid w:val="00353727"/>
    <w:rsid w:val="00377191"/>
    <w:rsid w:val="0038283D"/>
    <w:rsid w:val="003907B8"/>
    <w:rsid w:val="0039267C"/>
    <w:rsid w:val="0039755A"/>
    <w:rsid w:val="003B16C5"/>
    <w:rsid w:val="003B1957"/>
    <w:rsid w:val="003B3FD0"/>
    <w:rsid w:val="003B4793"/>
    <w:rsid w:val="003D0963"/>
    <w:rsid w:val="003D7E34"/>
    <w:rsid w:val="003E3B7A"/>
    <w:rsid w:val="003F20D6"/>
    <w:rsid w:val="003F669D"/>
    <w:rsid w:val="00405E88"/>
    <w:rsid w:val="00410A92"/>
    <w:rsid w:val="00423A66"/>
    <w:rsid w:val="00435B56"/>
    <w:rsid w:val="004508B6"/>
    <w:rsid w:val="0045784D"/>
    <w:rsid w:val="004654FD"/>
    <w:rsid w:val="00467C03"/>
    <w:rsid w:val="00477621"/>
    <w:rsid w:val="004A21ED"/>
    <w:rsid w:val="004A2629"/>
    <w:rsid w:val="004A442D"/>
    <w:rsid w:val="004A4842"/>
    <w:rsid w:val="004A59F8"/>
    <w:rsid w:val="004B245D"/>
    <w:rsid w:val="004C06E6"/>
    <w:rsid w:val="004C552B"/>
    <w:rsid w:val="004D2B93"/>
    <w:rsid w:val="004D6885"/>
    <w:rsid w:val="004E0DD2"/>
    <w:rsid w:val="004E3C14"/>
    <w:rsid w:val="004E5C8D"/>
    <w:rsid w:val="004F33E3"/>
    <w:rsid w:val="004F3F12"/>
    <w:rsid w:val="004F4FD0"/>
    <w:rsid w:val="0051506A"/>
    <w:rsid w:val="005247CF"/>
    <w:rsid w:val="00526951"/>
    <w:rsid w:val="005275A0"/>
    <w:rsid w:val="0053315B"/>
    <w:rsid w:val="00534914"/>
    <w:rsid w:val="005427BF"/>
    <w:rsid w:val="00550110"/>
    <w:rsid w:val="00550A23"/>
    <w:rsid w:val="00553488"/>
    <w:rsid w:val="00565707"/>
    <w:rsid w:val="00565764"/>
    <w:rsid w:val="005677F8"/>
    <w:rsid w:val="00570E55"/>
    <w:rsid w:val="0059050A"/>
    <w:rsid w:val="0059717F"/>
    <w:rsid w:val="005A2BA2"/>
    <w:rsid w:val="005A3893"/>
    <w:rsid w:val="005B4652"/>
    <w:rsid w:val="005C33F6"/>
    <w:rsid w:val="005C5E14"/>
    <w:rsid w:val="005C62FF"/>
    <w:rsid w:val="005D0F05"/>
    <w:rsid w:val="005D18D1"/>
    <w:rsid w:val="005D2A19"/>
    <w:rsid w:val="005F13C6"/>
    <w:rsid w:val="005F364E"/>
    <w:rsid w:val="005F7647"/>
    <w:rsid w:val="00602462"/>
    <w:rsid w:val="00604BC9"/>
    <w:rsid w:val="00616280"/>
    <w:rsid w:val="006209BE"/>
    <w:rsid w:val="00621B43"/>
    <w:rsid w:val="00627F0C"/>
    <w:rsid w:val="00637D6C"/>
    <w:rsid w:val="00641C8C"/>
    <w:rsid w:val="00657CFE"/>
    <w:rsid w:val="00663D6E"/>
    <w:rsid w:val="00683BAF"/>
    <w:rsid w:val="00696B6F"/>
    <w:rsid w:val="006A2841"/>
    <w:rsid w:val="006A6730"/>
    <w:rsid w:val="006B2E21"/>
    <w:rsid w:val="006B4C03"/>
    <w:rsid w:val="006B5FF8"/>
    <w:rsid w:val="006C6BF9"/>
    <w:rsid w:val="006E0D91"/>
    <w:rsid w:val="006E19A6"/>
    <w:rsid w:val="00701FA2"/>
    <w:rsid w:val="00703E41"/>
    <w:rsid w:val="0070427A"/>
    <w:rsid w:val="0071234B"/>
    <w:rsid w:val="007130DE"/>
    <w:rsid w:val="00715A2C"/>
    <w:rsid w:val="00716439"/>
    <w:rsid w:val="007258AF"/>
    <w:rsid w:val="007341AD"/>
    <w:rsid w:val="00734FF5"/>
    <w:rsid w:val="00735B5F"/>
    <w:rsid w:val="00745A89"/>
    <w:rsid w:val="0075415A"/>
    <w:rsid w:val="00756BF0"/>
    <w:rsid w:val="007711A3"/>
    <w:rsid w:val="007878BA"/>
    <w:rsid w:val="00794932"/>
    <w:rsid w:val="00795582"/>
    <w:rsid w:val="007A09E9"/>
    <w:rsid w:val="007A6EE9"/>
    <w:rsid w:val="007D171D"/>
    <w:rsid w:val="007D26F0"/>
    <w:rsid w:val="007D3661"/>
    <w:rsid w:val="007D4097"/>
    <w:rsid w:val="007D5CE8"/>
    <w:rsid w:val="007E50C8"/>
    <w:rsid w:val="007F1692"/>
    <w:rsid w:val="007F1B42"/>
    <w:rsid w:val="007F7022"/>
    <w:rsid w:val="007F7539"/>
    <w:rsid w:val="007F75D7"/>
    <w:rsid w:val="00802335"/>
    <w:rsid w:val="0080508F"/>
    <w:rsid w:val="00812A81"/>
    <w:rsid w:val="00836667"/>
    <w:rsid w:val="0084151F"/>
    <w:rsid w:val="008441B9"/>
    <w:rsid w:val="00861768"/>
    <w:rsid w:val="0088160D"/>
    <w:rsid w:val="008A2434"/>
    <w:rsid w:val="008A5D20"/>
    <w:rsid w:val="008B1002"/>
    <w:rsid w:val="008B7065"/>
    <w:rsid w:val="008C5477"/>
    <w:rsid w:val="008D7F81"/>
    <w:rsid w:val="008E1B6F"/>
    <w:rsid w:val="008F7D65"/>
    <w:rsid w:val="00916B2A"/>
    <w:rsid w:val="00920DDA"/>
    <w:rsid w:val="009256AE"/>
    <w:rsid w:val="00927394"/>
    <w:rsid w:val="0093003D"/>
    <w:rsid w:val="0095088F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D332A"/>
    <w:rsid w:val="009D4877"/>
    <w:rsid w:val="009E55B6"/>
    <w:rsid w:val="00A005FB"/>
    <w:rsid w:val="00A00D3C"/>
    <w:rsid w:val="00A01CF8"/>
    <w:rsid w:val="00A03A1D"/>
    <w:rsid w:val="00A05119"/>
    <w:rsid w:val="00A11102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86"/>
    <w:rsid w:val="00B002B2"/>
    <w:rsid w:val="00B022FC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E702E"/>
    <w:rsid w:val="00BF6454"/>
    <w:rsid w:val="00C04FFA"/>
    <w:rsid w:val="00C06404"/>
    <w:rsid w:val="00C2127D"/>
    <w:rsid w:val="00C2157F"/>
    <w:rsid w:val="00C26895"/>
    <w:rsid w:val="00C30F91"/>
    <w:rsid w:val="00C34B8A"/>
    <w:rsid w:val="00C53C41"/>
    <w:rsid w:val="00C56C0B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259A"/>
    <w:rsid w:val="00D23966"/>
    <w:rsid w:val="00D33992"/>
    <w:rsid w:val="00D40A1F"/>
    <w:rsid w:val="00D44232"/>
    <w:rsid w:val="00D4540D"/>
    <w:rsid w:val="00D4673B"/>
    <w:rsid w:val="00D5782F"/>
    <w:rsid w:val="00D627A1"/>
    <w:rsid w:val="00D62CB9"/>
    <w:rsid w:val="00D67C1A"/>
    <w:rsid w:val="00D81AFC"/>
    <w:rsid w:val="00D8547D"/>
    <w:rsid w:val="00D90F87"/>
    <w:rsid w:val="00D91E3E"/>
    <w:rsid w:val="00D957D0"/>
    <w:rsid w:val="00DA1959"/>
    <w:rsid w:val="00DB105F"/>
    <w:rsid w:val="00DB2564"/>
    <w:rsid w:val="00DB5521"/>
    <w:rsid w:val="00DC01A8"/>
    <w:rsid w:val="00DC191D"/>
    <w:rsid w:val="00DC6D24"/>
    <w:rsid w:val="00DD1371"/>
    <w:rsid w:val="00DD6CD5"/>
    <w:rsid w:val="00DE3DC0"/>
    <w:rsid w:val="00DF078F"/>
    <w:rsid w:val="00DF170F"/>
    <w:rsid w:val="00DF6287"/>
    <w:rsid w:val="00E00A22"/>
    <w:rsid w:val="00E11AE4"/>
    <w:rsid w:val="00E15009"/>
    <w:rsid w:val="00E25E6A"/>
    <w:rsid w:val="00E35A19"/>
    <w:rsid w:val="00E45FA0"/>
    <w:rsid w:val="00E52576"/>
    <w:rsid w:val="00E52F8E"/>
    <w:rsid w:val="00E636D8"/>
    <w:rsid w:val="00E64B6C"/>
    <w:rsid w:val="00E756DD"/>
    <w:rsid w:val="00EA34EB"/>
    <w:rsid w:val="00EA3EC6"/>
    <w:rsid w:val="00EC10CB"/>
    <w:rsid w:val="00EC3392"/>
    <w:rsid w:val="00EC5A39"/>
    <w:rsid w:val="00ED3E79"/>
    <w:rsid w:val="00ED63AE"/>
    <w:rsid w:val="00F00126"/>
    <w:rsid w:val="00F0115F"/>
    <w:rsid w:val="00F06711"/>
    <w:rsid w:val="00F07118"/>
    <w:rsid w:val="00F1322D"/>
    <w:rsid w:val="00F20447"/>
    <w:rsid w:val="00F20915"/>
    <w:rsid w:val="00F22E34"/>
    <w:rsid w:val="00F261E5"/>
    <w:rsid w:val="00F275DC"/>
    <w:rsid w:val="00F3501A"/>
    <w:rsid w:val="00F35488"/>
    <w:rsid w:val="00F40755"/>
    <w:rsid w:val="00F426EA"/>
    <w:rsid w:val="00F459A8"/>
    <w:rsid w:val="00F57B9A"/>
    <w:rsid w:val="00F6066F"/>
    <w:rsid w:val="00F608FB"/>
    <w:rsid w:val="00F6597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1C1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6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6CC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5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57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66AD-2F77-43FE-B9E4-38826BA3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51</TotalTime>
  <Pages>8</Pages>
  <Words>3025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2020-09-11T06:19:00Z</cp:lastPrinted>
  <dcterms:created xsi:type="dcterms:W3CDTF">2021-03-02T07:35:00Z</dcterms:created>
  <dcterms:modified xsi:type="dcterms:W3CDTF">2021-03-02T08:28:00Z</dcterms:modified>
</cp:coreProperties>
</file>