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E3" w:rsidRDefault="008C76E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OBWIESZCZENIE  PREZYDENTA  WROCŁAWIA</w:t>
      </w:r>
    </w:p>
    <w:p w:rsidR="008C76E3" w:rsidRDefault="008C76E3">
      <w:pPr>
        <w:jc w:val="both"/>
        <w:rPr>
          <w:sz w:val="18"/>
          <w:szCs w:val="18"/>
        </w:rPr>
      </w:pPr>
    </w:p>
    <w:p w:rsidR="008C76E3" w:rsidRDefault="008C76E3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11f ust. 3 i 4 ustawy z dnia 10 kwietnia 2003 r. – o szczególnych zasadach przygotowania i realizacji inwestycji w zakresie dróg publicznych (jednolity tekst: Dz. U. z 2020 r., poz. 1363, ze zmianami) oraz na podstawie art. 49 § 1 ustawy z dnia 14 czerwca 1960 r. - Kodeks postępowania administracyjnego (jednolity tekst: Dz. U. z 2020 r., poz. 256 ze zmianami)</w:t>
      </w:r>
    </w:p>
    <w:p w:rsidR="008C76E3" w:rsidRDefault="008C76E3">
      <w:pPr>
        <w:jc w:val="both"/>
        <w:rPr>
          <w:sz w:val="18"/>
          <w:szCs w:val="18"/>
        </w:rPr>
      </w:pPr>
    </w:p>
    <w:p w:rsidR="008C76E3" w:rsidRDefault="008C76E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zawiadamiam  strony  postępowania,</w:t>
      </w:r>
    </w:p>
    <w:p w:rsidR="008C76E3" w:rsidRDefault="008C76E3">
      <w:pPr>
        <w:pStyle w:val="BodyText2"/>
        <w:jc w:val="both"/>
        <w:rPr>
          <w:color w:val="auto"/>
          <w:sz w:val="18"/>
          <w:szCs w:val="18"/>
        </w:rPr>
      </w:pPr>
    </w:p>
    <w:p w:rsidR="008C76E3" w:rsidRDefault="008C76E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28.01.2021 r.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nr 289/2021 </w:t>
      </w:r>
      <w:r>
        <w:rPr>
          <w:color w:val="auto"/>
          <w:sz w:val="18"/>
          <w:szCs w:val="18"/>
        </w:rPr>
        <w:t xml:space="preserve">o zezwoleniu na realizację inwestycji drogowej, na rzecz Prezydenta Wrocławia, </w:t>
      </w:r>
      <w:bookmarkStart w:id="0" w:name="OLE_LINK18"/>
      <w:bookmarkStart w:id="1" w:name="OLE_LINK20"/>
      <w:r>
        <w:rPr>
          <w:color w:val="auto"/>
          <w:sz w:val="18"/>
          <w:szCs w:val="18"/>
        </w:rPr>
        <w:t xml:space="preserve">dla zadania pod nazwą </w:t>
      </w:r>
      <w:bookmarkEnd w:id="0"/>
      <w:bookmarkEnd w:id="1"/>
      <w:r>
        <w:rPr>
          <w:b/>
          <w:bCs/>
          <w:color w:val="auto"/>
          <w:sz w:val="18"/>
          <w:szCs w:val="18"/>
        </w:rPr>
        <w:t xml:space="preserve">„Rozbudowa </w:t>
      </w:r>
      <w:r>
        <w:rPr>
          <w:b/>
          <w:bCs/>
          <w:color w:val="auto"/>
          <w:sz w:val="18"/>
          <w:szCs w:val="18"/>
        </w:rPr>
        <w:br/>
        <w:t>ul. Sądowej we Wrocławiu Projekt nr 05060 – drogi rowerowe na ul. Sądowej – Etap I”</w:t>
      </w:r>
      <w:r>
        <w:rPr>
          <w:color w:val="auto"/>
          <w:sz w:val="18"/>
          <w:szCs w:val="18"/>
        </w:rPr>
        <w:t>, polegającego na wyznaczeniu ścieżek rowerowych w ul. Sądowej i Krupniczej oraz przebudowie kolidującej infrastruktury technicznej.</w:t>
      </w:r>
    </w:p>
    <w:p w:rsidR="008C76E3" w:rsidRDefault="008C76E3">
      <w:pPr>
        <w:jc w:val="both"/>
        <w:rPr>
          <w:sz w:val="18"/>
          <w:szCs w:val="18"/>
        </w:rPr>
      </w:pPr>
    </w:p>
    <w:p w:rsidR="008C76E3" w:rsidRDefault="008C76E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decyzji jw. </w:t>
      </w:r>
      <w:r>
        <w:rPr>
          <w:b/>
          <w:bCs/>
          <w:sz w:val="18"/>
          <w:szCs w:val="18"/>
        </w:rPr>
        <w:t>zatwierdzeniu podlega podział nieruchomości</w:t>
      </w:r>
      <w:r>
        <w:rPr>
          <w:sz w:val="18"/>
          <w:szCs w:val="18"/>
        </w:rPr>
        <w:t xml:space="preserve">: </w:t>
      </w:r>
    </w:p>
    <w:p w:rsidR="008C76E3" w:rsidRDefault="008C76E3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664"/>
        <w:gridCol w:w="461"/>
        <w:gridCol w:w="1523"/>
        <w:gridCol w:w="1701"/>
        <w:gridCol w:w="1559"/>
        <w:gridCol w:w="1701"/>
      </w:tblGrid>
      <w:tr w:rsidR="008C76E3">
        <w:trPr>
          <w:cantSplit/>
        </w:trPr>
        <w:tc>
          <w:tcPr>
            <w:tcW w:w="463" w:type="dxa"/>
            <w:vMerge w:val="restart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664" w:type="dxa"/>
            <w:vMerge w:val="restart"/>
          </w:tcPr>
          <w:p w:rsidR="008C76E3" w:rsidRDefault="008C76E3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461" w:type="dxa"/>
            <w:vMerge w:val="restart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224" w:type="dxa"/>
            <w:gridSpan w:val="2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Stan przed podziałem</w:t>
            </w:r>
          </w:p>
        </w:tc>
        <w:tc>
          <w:tcPr>
            <w:tcW w:w="3260" w:type="dxa"/>
            <w:gridSpan w:val="2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Stan po podziale</w:t>
            </w:r>
          </w:p>
        </w:tc>
      </w:tr>
      <w:tr w:rsidR="008C76E3">
        <w:trPr>
          <w:cantSplit/>
        </w:trPr>
        <w:tc>
          <w:tcPr>
            <w:tcW w:w="463" w:type="dxa"/>
            <w:vMerge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701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  <w:tc>
          <w:tcPr>
            <w:tcW w:w="1559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701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</w:tr>
      <w:tr w:rsidR="008C76E3">
        <w:trPr>
          <w:cantSplit/>
        </w:trPr>
        <w:tc>
          <w:tcPr>
            <w:tcW w:w="463" w:type="dxa"/>
            <w:vMerge w:val="restart"/>
            <w:vAlign w:val="center"/>
          </w:tcPr>
          <w:p w:rsidR="008C76E3" w:rsidRDefault="008C76E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61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23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</w:t>
            </w:r>
          </w:p>
        </w:tc>
        <w:tc>
          <w:tcPr>
            <w:tcW w:w="1701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0.0670</w:t>
            </w:r>
          </w:p>
        </w:tc>
        <w:tc>
          <w:tcPr>
            <w:tcW w:w="1559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10/3</w:t>
            </w:r>
          </w:p>
        </w:tc>
        <w:tc>
          <w:tcPr>
            <w:tcW w:w="1701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0.0011</w:t>
            </w:r>
          </w:p>
        </w:tc>
      </w:tr>
      <w:tr w:rsidR="008C76E3">
        <w:trPr>
          <w:cantSplit/>
        </w:trPr>
        <w:tc>
          <w:tcPr>
            <w:tcW w:w="463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10/4</w:t>
            </w:r>
          </w:p>
        </w:tc>
        <w:tc>
          <w:tcPr>
            <w:tcW w:w="1701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0.0659</w:t>
            </w:r>
          </w:p>
        </w:tc>
      </w:tr>
      <w:tr w:rsidR="008C76E3">
        <w:trPr>
          <w:cantSplit/>
        </w:trPr>
        <w:tc>
          <w:tcPr>
            <w:tcW w:w="463" w:type="dxa"/>
            <w:vMerge w:val="restart"/>
            <w:vAlign w:val="center"/>
          </w:tcPr>
          <w:p w:rsidR="008C76E3" w:rsidRDefault="008C76E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61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23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12/8</w:t>
            </w:r>
          </w:p>
        </w:tc>
        <w:tc>
          <w:tcPr>
            <w:tcW w:w="1701" w:type="dxa"/>
            <w:vMerge w:val="restart"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0.0279</w:t>
            </w:r>
          </w:p>
        </w:tc>
        <w:tc>
          <w:tcPr>
            <w:tcW w:w="1559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12/9</w:t>
            </w:r>
          </w:p>
        </w:tc>
        <w:tc>
          <w:tcPr>
            <w:tcW w:w="1701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0.0251</w:t>
            </w:r>
          </w:p>
        </w:tc>
      </w:tr>
      <w:tr w:rsidR="008C76E3">
        <w:trPr>
          <w:cantSplit/>
        </w:trPr>
        <w:tc>
          <w:tcPr>
            <w:tcW w:w="463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12/10</w:t>
            </w:r>
          </w:p>
        </w:tc>
        <w:tc>
          <w:tcPr>
            <w:tcW w:w="1701" w:type="dxa"/>
          </w:tcPr>
          <w:p w:rsidR="008C76E3" w:rsidRDefault="008C76E3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0.0028</w:t>
            </w:r>
          </w:p>
        </w:tc>
      </w:tr>
    </w:tbl>
    <w:p w:rsidR="008C76E3" w:rsidRDefault="008C76E3">
      <w:pPr>
        <w:jc w:val="both"/>
        <w:rPr>
          <w:sz w:val="18"/>
          <w:szCs w:val="18"/>
        </w:rPr>
      </w:pPr>
    </w:p>
    <w:p w:rsidR="008C76E3" w:rsidRDefault="008C76E3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Granice inwestycji</w:t>
      </w:r>
      <w:r>
        <w:rPr>
          <w:sz w:val="18"/>
          <w:szCs w:val="18"/>
        </w:rPr>
        <w:t xml:space="preserve"> ustalone ww. decyzją obejmują: </w:t>
      </w:r>
    </w:p>
    <w:p w:rsidR="008C76E3" w:rsidRDefault="008C76E3">
      <w:pPr>
        <w:pStyle w:val="BodyText2"/>
        <w:rPr>
          <w:b/>
          <w:bCs/>
        </w:rPr>
      </w:pPr>
    </w:p>
    <w:p w:rsidR="008C76E3" w:rsidRDefault="008C76E3">
      <w:pPr>
        <w:pStyle w:val="BodyText2"/>
        <w:numPr>
          <w:ilvl w:val="0"/>
          <w:numId w:val="1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Linie rozgraniczające teren, wyznaczone na mapie (załącznik nr 1 do niniejszej decyzji), obejmują następujące nieruchomości lub ich części (przeznaczone na pas drogowy): </w:t>
      </w:r>
    </w:p>
    <w:p w:rsidR="008C76E3" w:rsidRDefault="008C76E3">
      <w:pPr>
        <w:pStyle w:val="BodyText2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9"/>
        <w:gridCol w:w="1559"/>
        <w:gridCol w:w="590"/>
        <w:gridCol w:w="1493"/>
        <w:gridCol w:w="1418"/>
        <w:gridCol w:w="3515"/>
      </w:tblGrid>
      <w:tr w:rsidR="008C76E3">
        <w:trPr>
          <w:cantSplit/>
          <w:tblHeader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76E3" w:rsidRDefault="008C76E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6E3" w:rsidRDefault="008C76E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6E3" w:rsidRDefault="008C76E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76E3" w:rsidRDefault="008C7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zajęcia stałego [ha]</w:t>
            </w:r>
          </w:p>
        </w:tc>
      </w:tr>
      <w:tr w:rsidR="008C76E3">
        <w:trPr>
          <w:cantSplit/>
          <w:tblHeader/>
          <w:jc w:val="center"/>
        </w:trPr>
        <w:tc>
          <w:tcPr>
            <w:tcW w:w="4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pStyle w:val="12Zwyrazamiszacunku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C76E3" w:rsidRDefault="008C76E3">
            <w:pPr>
              <w:jc w:val="center"/>
              <w:rPr>
                <w:sz w:val="16"/>
                <w:szCs w:val="16"/>
              </w:rPr>
            </w:pP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0.0251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0.0011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0.0017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0.0057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0.0478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0.0008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0.0028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0.0152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0.6978</w:t>
            </w:r>
          </w:p>
        </w:tc>
      </w:tr>
      <w:tr w:rsidR="008C76E3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0.0348</w:t>
            </w:r>
          </w:p>
        </w:tc>
      </w:tr>
    </w:tbl>
    <w:p w:rsidR="008C76E3" w:rsidRDefault="008C76E3">
      <w:pPr>
        <w:pStyle w:val="BodyTextIndent2"/>
        <w:ind w:firstLine="0"/>
        <w:rPr>
          <w:rFonts w:eastAsia="Arial Unicode MS"/>
          <w:sz w:val="18"/>
          <w:szCs w:val="18"/>
        </w:rPr>
      </w:pPr>
    </w:p>
    <w:p w:rsidR="008C76E3" w:rsidRDefault="008C76E3">
      <w:pPr>
        <w:pStyle w:val="BodyText2"/>
        <w:numPr>
          <w:ilvl w:val="0"/>
          <w:numId w:val="1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Tereny niezbędne dla realizacji obiektów i robót budowlanych, na których roboty będą prowadzone na podstawie oświadczenia o posiadanym prawie do dysponowania nieruchomościami na cele budowlane, wyznaczono na mapie (załącznik nr 1 do niniejszej decyzji):</w:t>
      </w:r>
    </w:p>
    <w:p w:rsidR="008C76E3" w:rsidRDefault="008C76E3">
      <w:pPr>
        <w:pStyle w:val="14StanowiskoPodpisujacego"/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1281"/>
        <w:gridCol w:w="426"/>
        <w:gridCol w:w="1559"/>
        <w:gridCol w:w="1134"/>
        <w:gridCol w:w="4252"/>
      </w:tblGrid>
      <w:tr w:rsidR="008C76E3">
        <w:trPr>
          <w:cantSplit/>
          <w:tblHeader/>
        </w:trPr>
        <w:tc>
          <w:tcPr>
            <w:tcW w:w="420" w:type="dxa"/>
            <w:vMerge w:val="restart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81" w:type="dxa"/>
            <w:vMerge w:val="restart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426" w:type="dxa"/>
            <w:vMerge w:val="restart"/>
            <w:tcMar>
              <w:left w:w="68" w:type="dxa"/>
              <w:right w:w="68" w:type="dxa"/>
            </w:tcMar>
          </w:tcPr>
          <w:p w:rsidR="008C76E3" w:rsidRDefault="008C76E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2693" w:type="dxa"/>
            <w:gridSpan w:val="2"/>
            <w:tcMar>
              <w:left w:w="68" w:type="dxa"/>
              <w:right w:w="68" w:type="dxa"/>
            </w:tcMar>
          </w:tcPr>
          <w:p w:rsidR="008C76E3" w:rsidRDefault="008C76E3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4252" w:type="dxa"/>
            <w:vMerge w:val="restart"/>
            <w:tcMar>
              <w:left w:w="68" w:type="dxa"/>
              <w:right w:w="68" w:type="dxa"/>
            </w:tcMar>
          </w:tcPr>
          <w:p w:rsidR="008C76E3" w:rsidRDefault="008C76E3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zajęcia czasowego</w:t>
            </w:r>
          </w:p>
        </w:tc>
      </w:tr>
      <w:tr w:rsidR="008C76E3">
        <w:trPr>
          <w:cantSplit/>
          <w:trHeight w:val="50"/>
          <w:tblHeader/>
        </w:trPr>
        <w:tc>
          <w:tcPr>
            <w:tcW w:w="420" w:type="dxa"/>
            <w:vMerge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68" w:type="dxa"/>
              <w:right w:w="68" w:type="dxa"/>
            </w:tcMar>
          </w:tcPr>
          <w:p w:rsidR="008C76E3" w:rsidRDefault="008C76E3">
            <w:pPr>
              <w:pStyle w:val="12Zwyrazamiszacunku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4252" w:type="dxa"/>
            <w:vMerge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4"/>
                <w:szCs w:val="14"/>
              </w:rPr>
            </w:pPr>
          </w:p>
        </w:tc>
      </w:tr>
      <w:tr w:rsidR="008C76E3">
        <w:trPr>
          <w:trHeight w:val="50"/>
        </w:trPr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10/2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10/4</w:t>
            </w:r>
          </w:p>
        </w:tc>
        <w:tc>
          <w:tcPr>
            <w:tcW w:w="4252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Nasadzenia uzupełniające na skwerze Zbigniewa Rysia</w:t>
            </w:r>
          </w:p>
        </w:tc>
      </w:tr>
      <w:tr w:rsidR="008C76E3">
        <w:trPr>
          <w:trHeight w:val="50"/>
        </w:trPr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37/4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t>-</w:t>
            </w:r>
          </w:p>
        </w:tc>
        <w:tc>
          <w:tcPr>
            <w:tcW w:w="4252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skrzyżowania z drogą gminną klasy Z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(ul. Podwale) w zakresie nawierzchni i geometrii oraz sygnalizacji świetlnej i zasilania tablicy informacyjnej</w:t>
            </w:r>
          </w:p>
        </w:tc>
      </w:tr>
      <w:tr w:rsidR="008C76E3"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26/1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drogi gminnej klasy Z (pl. Legionów)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zakresie nawierzchni drogi rowerowej</w:t>
            </w:r>
          </w:p>
        </w:tc>
      </w:tr>
      <w:tr w:rsidR="008C76E3"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30/1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skrzyżowania z drogą gminną klasy D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(pl. Legionów-jezdnia boczna) w zakresie nawierzchni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 geometrii </w:t>
            </w:r>
          </w:p>
        </w:tc>
      </w:tr>
      <w:tr w:rsidR="008C76E3"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skrzyżowania z drogą gminną klasy D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(ul. Świebodzka) w zakresie nawierzchni i geometrii oraz odwodnienia</w:t>
            </w:r>
          </w:p>
        </w:tc>
      </w:tr>
      <w:tr w:rsidR="008C76E3">
        <w:trPr>
          <w:cantSplit/>
          <w:trHeight w:val="143"/>
        </w:trPr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52/1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vMerge w:val="restart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skrzyżowania z drogą gminną klasy Z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(ul. Podwale-Krupnicza) w zakresie nawierzchni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geometrii oraz odwodnienia</w:t>
            </w:r>
          </w:p>
        </w:tc>
      </w:tr>
      <w:tr w:rsidR="008C76E3">
        <w:trPr>
          <w:cantSplit/>
        </w:trPr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52/2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tcMar>
              <w:left w:w="68" w:type="dxa"/>
              <w:right w:w="68" w:type="dxa"/>
            </w:tcMar>
          </w:tcPr>
          <w:p w:rsidR="008C76E3" w:rsidRDefault="008C76E3"/>
        </w:tc>
      </w:tr>
      <w:tr w:rsidR="008C76E3">
        <w:tc>
          <w:tcPr>
            <w:tcW w:w="420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numPr>
                <w:ilvl w:val="0"/>
                <w:numId w:val="26"/>
              </w:numPr>
              <w:tabs>
                <w:tab w:val="clear" w:pos="397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 Miasto</w:t>
            </w:r>
          </w:p>
        </w:tc>
        <w:tc>
          <w:tcPr>
            <w:tcW w:w="426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34" w:type="dxa"/>
            <w:tcMar>
              <w:left w:w="68" w:type="dxa"/>
              <w:right w:w="68" w:type="dxa"/>
            </w:tcMar>
            <w:vAlign w:val="center"/>
          </w:tcPr>
          <w:p w:rsidR="008C76E3" w:rsidRDefault="008C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2" w:type="dxa"/>
            <w:tcMar>
              <w:left w:w="68" w:type="dxa"/>
              <w:right w:w="68" w:type="dxa"/>
            </w:tcMar>
          </w:tcPr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drogi gminnej klasy Z (ul. Krupnicza)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 zakresie nawierzchni i geometrii oraz odwodnienia </w:t>
            </w:r>
          </w:p>
          <w:p w:rsidR="008C76E3" w:rsidRDefault="008C76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sygnalizacji świetlnej</w:t>
            </w:r>
          </w:p>
        </w:tc>
      </w:tr>
    </w:tbl>
    <w:p w:rsidR="008C76E3" w:rsidRDefault="008C76E3">
      <w:pPr>
        <w:jc w:val="both"/>
        <w:rPr>
          <w:sz w:val="18"/>
          <w:szCs w:val="18"/>
        </w:rPr>
      </w:pPr>
    </w:p>
    <w:p w:rsidR="008C76E3" w:rsidRDefault="008C76E3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49 § 2 Kodeksu postępowania administracyjnego, wskazuje się dzień 04.02.2021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8C76E3" w:rsidRDefault="008C76E3">
      <w:pPr>
        <w:jc w:val="both"/>
        <w:rPr>
          <w:sz w:val="18"/>
          <w:szCs w:val="18"/>
        </w:rPr>
      </w:pPr>
    </w:p>
    <w:p w:rsidR="008C76E3" w:rsidRDefault="008C76E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treścią decyzji oraz aktami sprawy można zapoznać się w Informacji Wydziału Architektury </w:t>
      </w:r>
      <w:r>
        <w:rPr>
          <w:sz w:val="18"/>
          <w:szCs w:val="18"/>
        </w:rPr>
        <w:br/>
        <w:t xml:space="preserve">i Budownictwa Urzędu Miejskiego Wrocławia, pl. Nowy Targ 1-8, parter, pok. 1c stanowisko 5, 6 </w:t>
      </w:r>
      <w:r>
        <w:rPr>
          <w:sz w:val="18"/>
          <w:szCs w:val="18"/>
        </w:rPr>
        <w:br/>
        <w:t xml:space="preserve">i 7, w godz. 8:00-15:00. Ze względów organizacyjnych wskazane jest uprzednie zawiadomienie tut. Wydziału z co najmniej jednodniowym wyprzedzeniem o potrzebie zapewnienia dostępu do akt sprawy (tel. +48 71 777 80 58), co usprawni realizację przysługującego stronie uprawnienia. </w:t>
      </w:r>
    </w:p>
    <w:p w:rsidR="008C76E3" w:rsidRDefault="008C76E3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8C76E3" w:rsidRDefault="008C76E3">
      <w:pPr>
        <w:jc w:val="both"/>
        <w:rPr>
          <w:sz w:val="18"/>
          <w:szCs w:val="18"/>
        </w:rPr>
      </w:pPr>
      <w:r>
        <w:rPr>
          <w:sz w:val="18"/>
          <w:szCs w:val="18"/>
        </w:rPr>
        <w:t>D-ZRID-33349-2020-Sądowa</w:t>
      </w:r>
    </w:p>
    <w:p w:rsidR="008C76E3" w:rsidRDefault="008C76E3">
      <w:pPr>
        <w:jc w:val="both"/>
        <w:rPr>
          <w:sz w:val="18"/>
          <w:szCs w:val="18"/>
        </w:rPr>
      </w:pPr>
      <w:bookmarkStart w:id="2" w:name="_GoBack"/>
      <w:bookmarkEnd w:id="2"/>
    </w:p>
    <w:p w:rsidR="008C76E3" w:rsidRDefault="008C76E3">
      <w:pPr>
        <w:pStyle w:val="14StanowiskoPodpisujaceg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8C76E3" w:rsidRDefault="008C76E3">
      <w:pPr>
        <w:ind w:left="5000"/>
        <w:jc w:val="both"/>
        <w:rPr>
          <w:sz w:val="18"/>
          <w:szCs w:val="18"/>
        </w:rPr>
      </w:pPr>
      <w:r>
        <w:rPr>
          <w:sz w:val="18"/>
          <w:szCs w:val="18"/>
        </w:rPr>
        <w:t>Piotr Fokczyński</w:t>
      </w:r>
    </w:p>
    <w:p w:rsidR="008C76E3" w:rsidRDefault="008C76E3">
      <w:pPr>
        <w:ind w:left="5000"/>
        <w:jc w:val="both"/>
        <w:rPr>
          <w:sz w:val="18"/>
          <w:szCs w:val="18"/>
        </w:rPr>
      </w:pPr>
      <w:r>
        <w:rPr>
          <w:sz w:val="18"/>
          <w:szCs w:val="18"/>
        </w:rPr>
        <w:t>Dyrektor Wydziału</w:t>
      </w:r>
    </w:p>
    <w:p w:rsidR="008C76E3" w:rsidRDefault="008C76E3">
      <w:pPr>
        <w:ind w:left="5000"/>
        <w:jc w:val="both"/>
        <w:rPr>
          <w:sz w:val="18"/>
          <w:szCs w:val="18"/>
        </w:rPr>
      </w:pPr>
      <w:r>
        <w:rPr>
          <w:sz w:val="18"/>
          <w:szCs w:val="18"/>
        </w:rPr>
        <w:t>Architektury i Budownictwa</w:t>
      </w:r>
    </w:p>
    <w:p w:rsidR="008C76E3" w:rsidRDefault="008C76E3">
      <w:pPr>
        <w:ind w:left="5000"/>
        <w:jc w:val="both"/>
        <w:rPr>
          <w:sz w:val="18"/>
          <w:szCs w:val="18"/>
        </w:rPr>
      </w:pPr>
      <w:r>
        <w:rPr>
          <w:sz w:val="18"/>
          <w:szCs w:val="18"/>
        </w:rPr>
        <w:t>Architekt Miasta</w:t>
      </w:r>
    </w:p>
    <w:sectPr w:rsidR="008C76E3" w:rsidSect="008C76E3">
      <w:footerReference w:type="default" r:id="rId7"/>
      <w:footerReference w:type="first" r:id="rId8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6E3" w:rsidRDefault="008C7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C76E3" w:rsidRDefault="008C7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E3" w:rsidRDefault="008C76E3">
    <w:pPr>
      <w:pStyle w:val="Footer"/>
      <w:rPr>
        <w:rFonts w:ascii="Times New Roman" w:hAnsi="Times New Roman" w:cs="Times New Roman"/>
        <w:sz w:val="14"/>
        <w:szCs w:val="14"/>
      </w:rPr>
    </w:pPr>
  </w:p>
  <w:p w:rsidR="008C76E3" w:rsidRDefault="008C76E3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E3" w:rsidRDefault="008C76E3">
    <w:pPr>
      <w:pStyle w:val="Footer"/>
      <w:rPr>
        <w:rFonts w:ascii="Times New Roman" w:hAnsi="Times New Roman" w:cs="Times New Roman"/>
        <w:sz w:val="8"/>
        <w:szCs w:val="8"/>
      </w:rPr>
    </w:pPr>
  </w:p>
  <w:p w:rsidR="008C76E3" w:rsidRDefault="008C76E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6E3" w:rsidRDefault="008C7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C76E3" w:rsidRDefault="008C7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8C2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6D32B86"/>
    <w:multiLevelType w:val="hybridMultilevel"/>
    <w:tmpl w:val="77F4628A"/>
    <w:lvl w:ilvl="0" w:tplc="3DC2A86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9001572"/>
    <w:multiLevelType w:val="hybridMultilevel"/>
    <w:tmpl w:val="CB040636"/>
    <w:lvl w:ilvl="0" w:tplc="DEE22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9B8214E"/>
    <w:multiLevelType w:val="hybridMultilevel"/>
    <w:tmpl w:val="C178D0C6"/>
    <w:lvl w:ilvl="0" w:tplc="E63C4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17B0215"/>
    <w:multiLevelType w:val="hybridMultilevel"/>
    <w:tmpl w:val="128AA4CE"/>
    <w:lvl w:ilvl="0" w:tplc="F110A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E242C7F"/>
    <w:multiLevelType w:val="hybridMultilevel"/>
    <w:tmpl w:val="9F44A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2304B10"/>
    <w:multiLevelType w:val="hybridMultilevel"/>
    <w:tmpl w:val="F85ED5A0"/>
    <w:lvl w:ilvl="0" w:tplc="517A2D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70D86730"/>
    <w:multiLevelType w:val="hybridMultilevel"/>
    <w:tmpl w:val="B88AF942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750B74E1"/>
    <w:multiLevelType w:val="hybridMultilevel"/>
    <w:tmpl w:val="4F168512"/>
    <w:lvl w:ilvl="0" w:tplc="11E2832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CE83337"/>
    <w:multiLevelType w:val="hybridMultilevel"/>
    <w:tmpl w:val="2B6E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18"/>
  </w:num>
  <w:num w:numId="11">
    <w:abstractNumId w:val="12"/>
  </w:num>
  <w:num w:numId="12">
    <w:abstractNumId w:val="1"/>
  </w:num>
  <w:num w:numId="13">
    <w:abstractNumId w:val="15"/>
  </w:num>
  <w:num w:numId="14">
    <w:abstractNumId w:val="5"/>
  </w:num>
  <w:num w:numId="15">
    <w:abstractNumId w:val="14"/>
  </w:num>
  <w:num w:numId="16">
    <w:abstractNumId w:val="2"/>
  </w:num>
  <w:num w:numId="17">
    <w:abstractNumId w:val="16"/>
  </w:num>
  <w:num w:numId="18">
    <w:abstractNumId w:val="9"/>
  </w:num>
  <w:num w:numId="19">
    <w:abstractNumId w:val="13"/>
  </w:num>
  <w:num w:numId="20">
    <w:abstractNumId w:val="19"/>
  </w:num>
  <w:num w:numId="21">
    <w:abstractNumId w:val="21"/>
  </w:num>
  <w:num w:numId="22">
    <w:abstractNumId w:val="7"/>
  </w:num>
  <w:num w:numId="23">
    <w:abstractNumId w:val="20"/>
  </w:num>
  <w:num w:numId="24">
    <w:abstractNumId w:val="11"/>
  </w:num>
  <w:num w:numId="25">
    <w:abstractNumId w:val="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6E3"/>
    <w:rsid w:val="008C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5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nyPo6pt">
    <w:name w:val="Normalny + Po:  6 pt"/>
    <w:basedOn w:val="Normal"/>
    <w:uiPriority w:val="99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efaultParagraphFont"/>
    <w:uiPriority w:val="99"/>
    <w:rPr>
      <w:rFonts w:ascii="Times New Roman" w:hAnsi="Times New Roman" w:cs="Times New Roman"/>
    </w:rPr>
  </w:style>
  <w:style w:type="character" w:customStyle="1" w:styleId="txt-new">
    <w:name w:val="txt-new"/>
    <w:basedOn w:val="DefaultParagraphFont"/>
    <w:uiPriority w:val="99"/>
    <w:rPr>
      <w:rFonts w:ascii="Times New Roman" w:hAnsi="Times New Roman" w:cs="Times New Roman"/>
    </w:rPr>
  </w:style>
  <w:style w:type="character" w:customStyle="1" w:styleId="tabulatory">
    <w:name w:val="tabulatory"/>
    <w:basedOn w:val="DefaultParagraphFont"/>
    <w:uiPriority w:val="99"/>
    <w:rPr>
      <w:rFonts w:ascii="Times New Roman" w:hAnsi="Times New Roman" w:cs="Times New Roman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708"/>
      </w:tabs>
      <w:jc w:val="both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percze4">
    <w:name w:val="Hiperłącze4"/>
    <w:basedOn w:val="DefaultParagraphFont"/>
    <w:uiPriority w:val="99"/>
    <w:rPr>
      <w:rFonts w:ascii="Times New Roman" w:hAnsi="Times New Roman" w:cs="Times New Roman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g-bindingng-scope">
    <w:name w:val="ng-binding ng-scop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Verdana" w:hAnsi="Verdana" w:cs="Verdana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lbalb-wt">
    <w:name w:val="a_lb a_lb-wt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al"/>
    <w:uiPriority w:val="99"/>
    <w:pPr>
      <w:jc w:val="both"/>
    </w:pPr>
    <w:rPr>
      <w:sz w:val="24"/>
      <w:szCs w:val="24"/>
    </w:rPr>
  </w:style>
  <w:style w:type="paragraph" w:customStyle="1" w:styleId="Styl1">
    <w:name w:val="Styl1"/>
    <w:basedOn w:val="Normal"/>
    <w:uiPriority w:val="99"/>
    <w:pPr>
      <w:tabs>
        <w:tab w:val="left" w:pos="284"/>
        <w:tab w:val="left" w:pos="993"/>
      </w:tabs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"/>
    <w:uiPriority w:val="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/>
    </w:rPr>
  </w:style>
  <w:style w:type="character" w:customStyle="1" w:styleId="ng-binding">
    <w:name w:val="ng-binding"/>
    <w:basedOn w:val="DefaultParagraphFont"/>
    <w:uiPriority w:val="99"/>
    <w:rPr>
      <w:rFonts w:ascii="Times New Roman" w:hAnsi="Times New Roman" w:cs="Times New Roman"/>
    </w:rPr>
  </w:style>
  <w:style w:type="character" w:customStyle="1" w:styleId="ng-scope">
    <w:name w:val="ng-scope"/>
    <w:basedOn w:val="DefaultParagraphFont"/>
    <w:uiPriority w:val="99"/>
    <w:rPr>
      <w:rFonts w:ascii="Times New Roman" w:hAnsi="Times New Roman" w:cs="Times New Roman"/>
    </w:rPr>
  </w:style>
  <w:style w:type="character" w:customStyle="1" w:styleId="fn-ref">
    <w:name w:val="fn-ref"/>
    <w:basedOn w:val="DefaultParagraphFont"/>
    <w:uiPriority w:val="99"/>
    <w:rPr>
      <w:rFonts w:ascii="Times New Roman" w:hAnsi="Times New Roman" w:cs="Times New Roman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 w:cs="Cambria"/>
      <w:sz w:val="24"/>
      <w:szCs w:val="24"/>
    </w:r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 w:cs="Cambria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highlight1">
    <w:name w:val="highlight1"/>
    <w:uiPriority w:val="99"/>
    <w:rPr>
      <w:b/>
      <w:bCs/>
    </w:rPr>
  </w:style>
  <w:style w:type="paragraph" w:customStyle="1" w:styleId="Tekstpodstawowy22">
    <w:name w:val="Tekst podstawowy 22"/>
    <w:basedOn w:val="Normal"/>
    <w:uiPriority w:val="99"/>
    <w:pPr>
      <w:jc w:val="both"/>
    </w:pPr>
    <w:rPr>
      <w:sz w:val="24"/>
      <w:szCs w:val="24"/>
    </w:rPr>
  </w:style>
  <w:style w:type="paragraph" w:customStyle="1" w:styleId="Normalny1">
    <w:name w:val="Normalny1"/>
    <w:uiPriority w:val="99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efaultParagraphFon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Haładewicz</dc:creator>
  <cp:keywords/>
  <dc:description/>
  <cp:lastModifiedBy>umdabi01</cp:lastModifiedBy>
  <cp:revision>7</cp:revision>
  <cp:lastPrinted>2021-01-25T12:52:00Z</cp:lastPrinted>
  <dcterms:created xsi:type="dcterms:W3CDTF">2021-01-25T12:51:00Z</dcterms:created>
  <dcterms:modified xsi:type="dcterms:W3CDTF">2021-02-01T09:35:00Z</dcterms:modified>
</cp:coreProperties>
</file>