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7A" w:rsidRDefault="00817B7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OBWIESZCZENIE  PREZYDENTA  WROCŁAWIA</w:t>
      </w:r>
    </w:p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11f ust. 3 i 4 ustawy z dnia 10 kwietnia 2003 r. – o szczególnych zasadach przygotowania i realizacji inwestycji w zakresie dróg publicznych (jednolity tekst: Dz. U. z 2020 r., poz. 1363) oraz na podstawie art. 49 § 1 ustawy z dnia 14 czerwca 1960 r. - Kodeks postępowania administracyjnego (jednolity tekst: Dz. U. z 2020 r., poz. 256 ze zmianami)</w:t>
      </w:r>
    </w:p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zawiadamiam  strony  postępowania,</w:t>
      </w:r>
    </w:p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</w:t>
      </w:r>
      <w:r>
        <w:rPr>
          <w:b/>
          <w:bCs/>
          <w:color w:val="auto"/>
          <w:sz w:val="18"/>
          <w:szCs w:val="18"/>
        </w:rPr>
        <w:t>26.11.2020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>nr 4983/2020</w:t>
      </w:r>
      <w:r>
        <w:rPr>
          <w:color w:val="auto"/>
          <w:sz w:val="18"/>
          <w:szCs w:val="18"/>
        </w:rPr>
        <w:t xml:space="preserve"> o zezwoleniu na realizację inwestycji drogowej, na rzecz Prezydenta Wrocławia, </w:t>
      </w:r>
      <w:bookmarkStart w:id="0" w:name="OLE_LINK18"/>
      <w:bookmarkStart w:id="1" w:name="OLE_LINK20"/>
    </w:p>
    <w:p w:rsidR="00817B7A" w:rsidRDefault="00817B7A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dla przedsięwzięcia polegającego na rozbudowie ulicy Ślęzoujście (ulica gminna), na odcinku od ul. Potokowej do istniejącej zabudowy wraz z przebudową skrzyżowań i zjazdów oraz przebudową przepustu na rzece Ługowinie, budową odwodnienia, oświetlenia drogowego, kanału technologicznego, przebudową i zabezpieczeniem kolizyjnej infrastruktury, </w:t>
      </w:r>
    </w:p>
    <w:p w:rsidR="00817B7A" w:rsidRDefault="00817B7A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 ramach zadania inwestycyjnego pn.: </w:t>
      </w:r>
      <w:r>
        <w:rPr>
          <w:b/>
          <w:bCs/>
          <w:color w:val="auto"/>
          <w:sz w:val="18"/>
          <w:szCs w:val="18"/>
        </w:rPr>
        <w:t xml:space="preserve">„Rozbudowa ul. Ślęzoujście od ul. Rędzińskiej do </w:t>
      </w:r>
      <w:r>
        <w:rPr>
          <w:b/>
          <w:bCs/>
          <w:color w:val="auto"/>
          <w:sz w:val="18"/>
          <w:szCs w:val="18"/>
        </w:rPr>
        <w:br/>
        <w:t xml:space="preserve">ul. Potokowej  we Wrocławiu” </w:t>
      </w:r>
      <w:r>
        <w:rPr>
          <w:color w:val="auto"/>
          <w:sz w:val="18"/>
          <w:szCs w:val="18"/>
        </w:rPr>
        <w:t>- której to decyzji nadano rygor natychmiastowej wykonalności</w:t>
      </w:r>
      <w:bookmarkEnd w:id="0"/>
      <w:bookmarkEnd w:id="1"/>
      <w:r>
        <w:rPr>
          <w:color w:val="auto"/>
          <w:sz w:val="18"/>
          <w:szCs w:val="18"/>
        </w:rPr>
        <w:t>.</w:t>
      </w:r>
    </w:p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decyzji jw. </w:t>
      </w:r>
      <w:r>
        <w:rPr>
          <w:b/>
          <w:bCs/>
          <w:sz w:val="18"/>
          <w:szCs w:val="18"/>
        </w:rPr>
        <w:t>zatwierdzeniu podlega podział nieruchomości</w:t>
      </w:r>
      <w:r>
        <w:rPr>
          <w:sz w:val="18"/>
          <w:szCs w:val="18"/>
        </w:rPr>
        <w:t xml:space="preserve">: </w:t>
      </w:r>
    </w:p>
    <w:p w:rsidR="00817B7A" w:rsidRDefault="00817B7A">
      <w:pPr>
        <w:jc w:val="both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248"/>
        <w:gridCol w:w="564"/>
        <w:gridCol w:w="1399"/>
        <w:gridCol w:w="1828"/>
        <w:gridCol w:w="1675"/>
        <w:gridCol w:w="1895"/>
      </w:tblGrid>
      <w:tr w:rsidR="00817B7A">
        <w:trPr>
          <w:cantSplit/>
          <w:tblHeader/>
        </w:trPr>
        <w:tc>
          <w:tcPr>
            <w:tcW w:w="463" w:type="dxa"/>
            <w:vMerge w:val="restart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48" w:type="dxa"/>
            <w:vMerge w:val="restart"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4" w:type="dxa"/>
            <w:vMerge w:val="restart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227" w:type="dxa"/>
            <w:gridSpan w:val="2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Stan przed podziałem</w:t>
            </w:r>
          </w:p>
        </w:tc>
        <w:tc>
          <w:tcPr>
            <w:tcW w:w="3570" w:type="dxa"/>
            <w:gridSpan w:val="2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Stan po podziale</w:t>
            </w:r>
          </w:p>
        </w:tc>
      </w:tr>
      <w:tr w:rsidR="00817B7A">
        <w:trPr>
          <w:cantSplit/>
          <w:tblHeader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828" w:type="dxa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4/17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0.0769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4/31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0.0078</w:t>
            </w:r>
          </w:p>
        </w:tc>
      </w:tr>
      <w:tr w:rsidR="00817B7A">
        <w:trPr>
          <w:cantSplit/>
        </w:trPr>
        <w:tc>
          <w:tcPr>
            <w:tcW w:w="463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4/32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0.0691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0.3371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0.0075</w:t>
            </w:r>
          </w:p>
        </w:tc>
      </w:tr>
      <w:tr w:rsidR="00817B7A">
        <w:trPr>
          <w:cantSplit/>
        </w:trPr>
        <w:tc>
          <w:tcPr>
            <w:tcW w:w="463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0.3296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0.0472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0.0061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9/16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0.0411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9/10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1.4568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9/19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0.0149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1.4419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9/12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0.4507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9/17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0.0034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9/18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0.4473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0.1387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13/6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0.0102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13/7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0.1285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13/3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0.2157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13/8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0.0185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13/9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0.1972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0.1424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0.1376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1.3495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52/1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0.0404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52/2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1.3091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0.4289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56/1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0.1177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56/2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0.3112</w:t>
            </w:r>
          </w:p>
        </w:tc>
      </w:tr>
      <w:tr w:rsidR="00817B7A">
        <w:trPr>
          <w:cantSplit/>
        </w:trPr>
        <w:tc>
          <w:tcPr>
            <w:tcW w:w="463" w:type="dxa"/>
            <w:vMerge w:val="restart"/>
            <w:vAlign w:val="center"/>
          </w:tcPr>
          <w:p w:rsidR="00817B7A" w:rsidRDefault="00817B7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Maślice</w:t>
            </w:r>
          </w:p>
        </w:tc>
        <w:tc>
          <w:tcPr>
            <w:tcW w:w="564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99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28" w:type="dxa"/>
            <w:vMerge w:val="restart"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0.6223</w:t>
            </w: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0.0245</w:t>
            </w:r>
          </w:p>
        </w:tc>
      </w:tr>
      <w:tr w:rsidR="00817B7A">
        <w:trPr>
          <w:cantSplit/>
        </w:trPr>
        <w:tc>
          <w:tcPr>
            <w:tcW w:w="463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:rsidR="00817B7A" w:rsidRDefault="00817B7A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</w:t>
            </w:r>
          </w:p>
        </w:tc>
        <w:tc>
          <w:tcPr>
            <w:tcW w:w="1895" w:type="dxa"/>
          </w:tcPr>
          <w:p w:rsidR="00817B7A" w:rsidRDefault="00817B7A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0.5978</w:t>
            </w:r>
          </w:p>
        </w:tc>
      </w:tr>
    </w:tbl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jc w:val="both"/>
        <w:rPr>
          <w:b/>
          <w:bCs/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Granice inwestycji</w:t>
      </w:r>
      <w:r>
        <w:rPr>
          <w:sz w:val="18"/>
          <w:szCs w:val="18"/>
        </w:rPr>
        <w:t xml:space="preserve"> ustalone ww. decyzją obejmują następujące nieruchomości lub ich części: </w:t>
      </w:r>
    </w:p>
    <w:p w:rsidR="00817B7A" w:rsidRDefault="00817B7A">
      <w:pPr>
        <w:pStyle w:val="BodyText2"/>
        <w:rPr>
          <w:b/>
          <w:bCs/>
        </w:rPr>
      </w:pPr>
    </w:p>
    <w:p w:rsidR="00817B7A" w:rsidRDefault="00817B7A">
      <w:pPr>
        <w:pStyle w:val="BodyText2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Nieruchomości położone w liniach rozgraniczających teren inwestycji, przeznaczone na pas drogowy drogi gminnej:</w:t>
      </w:r>
    </w:p>
    <w:p w:rsidR="00817B7A" w:rsidRDefault="00817B7A">
      <w:pPr>
        <w:pStyle w:val="BodyText2"/>
        <w:rPr>
          <w:color w:val="auto"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567"/>
        <w:gridCol w:w="1417"/>
        <w:gridCol w:w="1418"/>
        <w:gridCol w:w="4252"/>
      </w:tblGrid>
      <w:tr w:rsidR="00817B7A">
        <w:trPr>
          <w:cantSplit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bookmarkStart w:id="2" w:name="OLE_LINK7"/>
            <w:r>
              <w:rPr>
                <w:sz w:val="14"/>
                <w:szCs w:val="14"/>
                <w:lang w:val="de-DE"/>
              </w:rPr>
              <w:t>Lp.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Obręb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AM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 działki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7B7A" w:rsidRDefault="00817B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Powierzchnia zajęcia stałego [ha]</w:t>
            </w:r>
          </w:p>
        </w:tc>
      </w:tr>
      <w:tr w:rsidR="00817B7A">
        <w:trPr>
          <w:cantSplit/>
          <w:tblHeader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przed podziałem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 podziale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7B7A" w:rsidRDefault="00817B7A">
            <w:pPr>
              <w:jc w:val="center"/>
              <w:rPr>
                <w:sz w:val="16"/>
                <w:szCs w:val="16"/>
              </w:rPr>
            </w:pP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0.0078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0.1576 </w:t>
            </w:r>
          </w:p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(roboty w granicach określonych na zał. nr 1 do decyzji)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0.0075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0.0061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0.0034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0.0149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0.1882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0.0185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0.0102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0.0449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0.0035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0.0050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0.0026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0.0014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0.0126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0.2859</w:t>
            </w:r>
          </w:p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(roboty w granicach określonych na zał. nr 1 do decyzji)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0.0245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0.1177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0.0404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0.1803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0.2194</w:t>
            </w:r>
          </w:p>
        </w:tc>
      </w:tr>
      <w:bookmarkEnd w:id="2"/>
    </w:tbl>
    <w:p w:rsidR="00817B7A" w:rsidRDefault="00817B7A">
      <w:pPr>
        <w:pStyle w:val="BodyTextIndent2"/>
        <w:ind w:firstLine="0"/>
        <w:rPr>
          <w:rFonts w:eastAsia="Arial Unicode MS"/>
          <w:sz w:val="18"/>
          <w:szCs w:val="18"/>
        </w:rPr>
      </w:pPr>
    </w:p>
    <w:p w:rsidR="00817B7A" w:rsidRDefault="00817B7A">
      <w:pPr>
        <w:pStyle w:val="BodyText2"/>
        <w:widowControl w:val="0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Tereny niezbędne dla realizacji obiektów i robót budowlanych, na których roboty będą prowadzone na podstawie oświadczenia o posiadanym prawie do dysponowania nieruchomościami na cele budowlane:</w:t>
      </w:r>
    </w:p>
    <w:p w:rsidR="00817B7A" w:rsidRDefault="00817B7A">
      <w:pPr>
        <w:pStyle w:val="14StanowiskoPodpisujacego"/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1"/>
        <w:gridCol w:w="1310"/>
        <w:gridCol w:w="851"/>
        <w:gridCol w:w="3118"/>
        <w:gridCol w:w="3402"/>
      </w:tblGrid>
      <w:tr w:rsidR="00817B7A">
        <w:trPr>
          <w:cantSplit/>
        </w:trPr>
        <w:tc>
          <w:tcPr>
            <w:tcW w:w="3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Lp.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Obręb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AM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 działki</w:t>
            </w:r>
          </w:p>
        </w:tc>
      </w:tr>
      <w:tr w:rsidR="00817B7A">
        <w:trPr>
          <w:cantSplit/>
        </w:trPr>
        <w:tc>
          <w:tcPr>
            <w:tcW w:w="39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przed podziałem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 podziale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4/28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9/16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  <w:trHeight w:val="196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  <w:trHeight w:val="114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</w:pPr>
            <w:r>
              <w:t>-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13/9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13/7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56/2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7B7A">
        <w:trPr>
          <w:cantSplit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Tereny niezbędne dla realizacji obiektów i robót budowlanych, dla których określono ograniczenia w korzystaniu z nieruchomości oraz udzielono zezwolenia na wykonanie obowiązków wymienionych w art. 11f ust. 1 pkt 8 lit. b-c, e-h ustawy </w:t>
      </w:r>
      <w:r>
        <w:rPr>
          <w:i/>
          <w:iCs/>
          <w:sz w:val="18"/>
          <w:szCs w:val="18"/>
        </w:rPr>
        <w:t>o szczególnych zasadach przygotowania i realizacji inwestycji w zakresie dróg publicznych</w:t>
      </w:r>
      <w:r>
        <w:rPr>
          <w:sz w:val="18"/>
          <w:szCs w:val="18"/>
        </w:rPr>
        <w:t>:</w:t>
      </w:r>
    </w:p>
    <w:p w:rsidR="00817B7A" w:rsidRDefault="00817B7A">
      <w:pPr>
        <w:pStyle w:val="14StanowiskoPodpisujacego"/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"/>
        <w:gridCol w:w="721"/>
        <w:gridCol w:w="417"/>
        <w:gridCol w:w="855"/>
        <w:gridCol w:w="846"/>
        <w:gridCol w:w="1701"/>
        <w:gridCol w:w="4110"/>
      </w:tblGrid>
      <w:tr w:rsidR="00817B7A">
        <w:trPr>
          <w:cantSplit/>
          <w:tblHeader/>
        </w:trPr>
        <w:tc>
          <w:tcPr>
            <w:tcW w:w="42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Lp.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Obręb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 działki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Orientacyjna </w:t>
            </w:r>
          </w:p>
          <w:p w:rsidR="00817B7A" w:rsidRDefault="00817B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powierzchnia zajęcia czasowego [m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4"/>
                <w:szCs w:val="14"/>
              </w:rPr>
              <w:t>]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 zajęcia</w:t>
            </w:r>
          </w:p>
        </w:tc>
      </w:tr>
      <w:tr w:rsidR="00817B7A">
        <w:trPr>
          <w:cantSplit/>
          <w:tblHeader/>
        </w:trPr>
        <w:tc>
          <w:tcPr>
            <w:tcW w:w="42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przed podziałem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 podziale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</w:tr>
      <w:tr w:rsidR="00817B7A">
        <w:trPr>
          <w:cantSplit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Przebudowa nasypu (korekta przebiegu polegająca na przeniesieniu nasypu w pas drogowy), profilacja terenu</w:t>
            </w:r>
          </w:p>
        </w:tc>
      </w:tr>
      <w:tr w:rsidR="00817B7A">
        <w:trPr>
          <w:cantSplit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montaż urządzeń BRD</w:t>
            </w:r>
          </w:p>
        </w:tc>
      </w:tr>
    </w:tbl>
    <w:p w:rsidR="00817B7A" w:rsidRDefault="00817B7A">
      <w:pPr>
        <w:rPr>
          <w:b/>
          <w:bCs/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>Następujące nieruchomości lub ich części,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według katastru nieruchomości,</w:t>
      </w:r>
      <w:r>
        <w:rPr>
          <w:b/>
          <w:bCs/>
          <w:sz w:val="18"/>
          <w:szCs w:val="18"/>
        </w:rPr>
        <w:t xml:space="preserve"> stają się własnością Gminy Wrocław</w:t>
      </w:r>
      <w:r>
        <w:rPr>
          <w:sz w:val="18"/>
          <w:szCs w:val="18"/>
        </w:rPr>
        <w:t>, z dniem ostateczności ww. decyzji:</w:t>
      </w:r>
    </w:p>
    <w:p w:rsidR="00817B7A" w:rsidRDefault="00817B7A">
      <w:pPr>
        <w:jc w:val="both"/>
        <w:rPr>
          <w:b/>
          <w:bCs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850"/>
        <w:gridCol w:w="425"/>
        <w:gridCol w:w="1560"/>
        <w:gridCol w:w="1701"/>
        <w:gridCol w:w="4110"/>
      </w:tblGrid>
      <w:tr w:rsidR="00817B7A">
        <w:trPr>
          <w:cantSplit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Lp.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Obręb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4"/>
                <w:szCs w:val="14"/>
                <w:lang w:val="de-DE"/>
              </w:rPr>
            </w:pPr>
            <w:r>
              <w:rPr>
                <w:sz w:val="14"/>
                <w:szCs w:val="14"/>
                <w:lang w:val="de-DE"/>
              </w:rPr>
              <w:t>AM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 działki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7B7A" w:rsidRDefault="00817B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Powierzchnia zajęcia stałego [ha]</w:t>
            </w:r>
          </w:p>
        </w:tc>
      </w:tr>
      <w:tr w:rsidR="00817B7A">
        <w:trPr>
          <w:cantSplit/>
          <w:tblHeader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pStyle w:val="12Zwyrazamiszacunku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7A" w:rsidRDefault="00817B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 podziale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7B7A" w:rsidRDefault="00817B7A">
            <w:pPr>
              <w:jc w:val="center"/>
              <w:rPr>
                <w:sz w:val="16"/>
                <w:szCs w:val="16"/>
              </w:rPr>
            </w:pP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0.0078</w:t>
            </w:r>
          </w:p>
        </w:tc>
      </w:tr>
      <w:tr w:rsidR="00817B7A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Maślice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7A" w:rsidRDefault="00817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0.0149</w:t>
            </w:r>
          </w:p>
        </w:tc>
      </w:tr>
    </w:tbl>
    <w:p w:rsidR="00817B7A" w:rsidRDefault="00817B7A">
      <w:pPr>
        <w:jc w:val="both"/>
        <w:rPr>
          <w:b/>
          <w:bCs/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  <w:bookmarkStart w:id="3" w:name="_Hlk49972569"/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przeznaczona na pas drogowy nieruchomość gruntowa stanowiąca własność Skarbu Państwa albo jednostki samorządu terytorialnego została oddana w </w:t>
      </w:r>
      <w:r>
        <w:rPr>
          <w:sz w:val="18"/>
          <w:szCs w:val="18"/>
          <w:u w:val="single"/>
        </w:rPr>
        <w:t>użytkowanie wieczyste</w:t>
      </w:r>
      <w:r>
        <w:rPr>
          <w:sz w:val="18"/>
          <w:szCs w:val="18"/>
        </w:rPr>
        <w:t xml:space="preserve">, użytkowanie to wygasa z dniem ostateczności ww. decyzji </w:t>
      </w:r>
      <w:bookmarkStart w:id="4" w:name="OLE_LINK14"/>
      <w:r>
        <w:rPr>
          <w:sz w:val="18"/>
          <w:szCs w:val="18"/>
        </w:rPr>
        <w:t xml:space="preserve">(art. 12 ust. 4d ustawy </w:t>
      </w:r>
      <w:r>
        <w:rPr>
          <w:i/>
          <w:iCs/>
          <w:sz w:val="18"/>
          <w:szCs w:val="18"/>
        </w:rPr>
        <w:t>o szczególnych zasadach przygotowania i realizacji inwestycji w zakresie dróg publicznych</w:t>
      </w:r>
      <w:r>
        <w:rPr>
          <w:sz w:val="18"/>
          <w:szCs w:val="18"/>
        </w:rPr>
        <w:t>)</w:t>
      </w:r>
      <w:bookmarkEnd w:id="4"/>
      <w:r>
        <w:rPr>
          <w:sz w:val="18"/>
          <w:szCs w:val="18"/>
        </w:rPr>
        <w:t>.</w:t>
      </w:r>
    </w:p>
    <w:bookmarkEnd w:id="3"/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49 § 2 Kodeksu postępowania administracyjnego, wskazuje się dzień 02.12.2020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817B7A" w:rsidRDefault="00817B7A">
      <w:pPr>
        <w:jc w:val="both"/>
        <w:rPr>
          <w:sz w:val="18"/>
          <w:szCs w:val="18"/>
        </w:rPr>
      </w:pP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treścią decyzji oraz aktami sprawy można zapoznać się w Informacji Wydziału Architektury </w:t>
      </w:r>
      <w:r>
        <w:rPr>
          <w:sz w:val="18"/>
          <w:szCs w:val="18"/>
        </w:rPr>
        <w:br/>
        <w:t xml:space="preserve">i Budownictwa Urzędu Miejskiego Wrocławia, pl. Nowy Targ 1-8, parter, pok. 1c stanowisko 5, 6 </w:t>
      </w:r>
      <w:r>
        <w:rPr>
          <w:sz w:val="18"/>
          <w:szCs w:val="18"/>
        </w:rPr>
        <w:br/>
        <w:t xml:space="preserve">i 7, w godz. 8:00-15:00. </w:t>
      </w: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Ze względów organizacyjnych wskazane jest uprzednie zawiadomienie tut. Wydziału z co najmniej jednodniowym wyprzedzeniem o potrzebie zapewnienia dostępu do akt sprawy (tel. +48 71 777 80 58), co usprawni realizację przysługującego stronie uprawnienia. </w:t>
      </w: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817B7A" w:rsidRDefault="00817B7A">
      <w:pPr>
        <w:jc w:val="both"/>
        <w:rPr>
          <w:sz w:val="18"/>
          <w:szCs w:val="18"/>
        </w:rPr>
      </w:pPr>
      <w:r>
        <w:rPr>
          <w:sz w:val="18"/>
          <w:szCs w:val="18"/>
        </w:rPr>
        <w:t>D-ZRID-20370-2020-Ślęzoujście</w:t>
      </w:r>
    </w:p>
    <w:p w:rsidR="00817B7A" w:rsidRDefault="00817B7A">
      <w:pPr>
        <w:ind w:left="5700" w:right="281"/>
        <w:rPr>
          <w:sz w:val="18"/>
          <w:szCs w:val="18"/>
        </w:rPr>
      </w:pPr>
      <w:bookmarkStart w:id="5" w:name="_GoBack"/>
      <w:bookmarkEnd w:id="5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17B7A" w:rsidRDefault="00817B7A">
      <w:pPr>
        <w:ind w:left="5700" w:right="281"/>
        <w:rPr>
          <w:sz w:val="16"/>
          <w:szCs w:val="16"/>
        </w:rPr>
      </w:pPr>
      <w:r>
        <w:rPr>
          <w:sz w:val="16"/>
          <w:szCs w:val="16"/>
        </w:rPr>
        <w:t>Z up. PREZYDENTA</w:t>
      </w:r>
    </w:p>
    <w:p w:rsidR="00817B7A" w:rsidRDefault="00817B7A">
      <w:pPr>
        <w:ind w:left="1418" w:right="281"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Piotr Fokczyński</w:t>
      </w:r>
    </w:p>
    <w:p w:rsidR="00817B7A" w:rsidRDefault="00817B7A">
      <w:pPr>
        <w:ind w:left="1418" w:right="281"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Dyrektor Wydziału</w:t>
      </w:r>
    </w:p>
    <w:p w:rsidR="00817B7A" w:rsidRDefault="00817B7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Architektury i Budownictwa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Architekt Miasta</w:t>
      </w:r>
    </w:p>
    <w:sectPr w:rsidR="00817B7A" w:rsidSect="00817B7A">
      <w:footerReference w:type="default" r:id="rId7"/>
      <w:footerReference w:type="first" r:id="rId8"/>
      <w:pgSz w:w="11906" w:h="16838" w:code="9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7A" w:rsidRDefault="0081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17B7A" w:rsidRDefault="0081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7A" w:rsidRDefault="00817B7A">
    <w:pPr>
      <w:pStyle w:val="Footer"/>
      <w:rPr>
        <w:rFonts w:ascii="Times New Roman" w:hAnsi="Times New Roman" w:cs="Times New Roman"/>
        <w:sz w:val="14"/>
        <w:szCs w:val="14"/>
      </w:rPr>
    </w:pPr>
  </w:p>
  <w:p w:rsidR="00817B7A" w:rsidRDefault="00817B7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7A" w:rsidRDefault="00817B7A">
    <w:pPr>
      <w:pStyle w:val="Footer"/>
      <w:rPr>
        <w:rFonts w:ascii="Times New Roman" w:hAnsi="Times New Roman" w:cs="Times New Roman"/>
        <w:sz w:val="8"/>
        <w:szCs w:val="8"/>
      </w:rPr>
    </w:pPr>
  </w:p>
  <w:p w:rsidR="00817B7A" w:rsidRDefault="00817B7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7A" w:rsidRDefault="0081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17B7A" w:rsidRDefault="0081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7EB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90335F2"/>
    <w:multiLevelType w:val="hybridMultilevel"/>
    <w:tmpl w:val="7BBC80B6"/>
    <w:lvl w:ilvl="0" w:tplc="86445A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45D4099"/>
    <w:multiLevelType w:val="hybridMultilevel"/>
    <w:tmpl w:val="EE0CC508"/>
    <w:lvl w:ilvl="0" w:tplc="3E6A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2712F39"/>
    <w:multiLevelType w:val="hybridMultilevel"/>
    <w:tmpl w:val="C406A628"/>
    <w:lvl w:ilvl="0" w:tplc="BCEE74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B7A"/>
    <w:rsid w:val="0081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hAnsi="Verdana" w:cs="Verdana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B7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B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B7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B7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B7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z w:val="22"/>
      <w:szCs w:val="22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3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ormalnyPo6pt">
    <w:name w:val="Normalny + Po:  6 pt"/>
    <w:basedOn w:val="Normal"/>
    <w:uiPriority w:val="99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efaultParagraphFont"/>
    <w:uiPriority w:val="99"/>
    <w:rPr>
      <w:rFonts w:ascii="Times New Roman" w:hAnsi="Times New Roman" w:cs="Times New Roman"/>
    </w:rPr>
  </w:style>
  <w:style w:type="character" w:customStyle="1" w:styleId="txt-new">
    <w:name w:val="txt-new"/>
    <w:basedOn w:val="DefaultParagraphFont"/>
    <w:uiPriority w:val="99"/>
    <w:rPr>
      <w:rFonts w:ascii="Times New Roman" w:hAnsi="Times New Roman" w:cs="Times New Roman"/>
    </w:rPr>
  </w:style>
  <w:style w:type="character" w:customStyle="1" w:styleId="tabulatory">
    <w:name w:val="tabulatory"/>
    <w:basedOn w:val="DefaultParagraphFont"/>
    <w:uiPriority w:val="99"/>
    <w:rPr>
      <w:rFonts w:ascii="Times New Roman" w:hAnsi="Times New Roman" w:cs="Times New Roman"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  <w:style w:type="paragraph" w:styleId="ListBullet">
    <w:name w:val="List Bullet"/>
    <w:basedOn w:val="Normal"/>
    <w:autoRedefine/>
    <w:uiPriority w:val="99"/>
    <w:pPr>
      <w:tabs>
        <w:tab w:val="left" w:pos="708"/>
      </w:tabs>
      <w:jc w:val="both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ipercze4">
    <w:name w:val="Hiperłącze4"/>
    <w:basedOn w:val="DefaultParagraphFont"/>
    <w:uiPriority w:val="99"/>
    <w:rPr>
      <w:rFonts w:ascii="Times New Roman" w:hAnsi="Times New Roman" w:cs="Times New Roman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g-bindingng-scope">
    <w:name w:val="ng-binding ng-scop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Verdana" w:hAnsi="Verdana" w:cs="Verdana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ext-justify">
    <w:name w:val="text-justify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lbalb-wt">
    <w:name w:val="a_lb a_lb-wt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BodyText21">
    <w:name w:val="Body Text 21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Styl1">
    <w:name w:val="Styl1"/>
    <w:basedOn w:val="Normal"/>
    <w:uiPriority w:val="99"/>
    <w:pPr>
      <w:tabs>
        <w:tab w:val="left" w:pos="284"/>
        <w:tab w:val="left" w:pos="993"/>
      </w:tabs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"/>
    <w:uiPriority w:val="9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/>
    </w:rPr>
  </w:style>
  <w:style w:type="character" w:customStyle="1" w:styleId="ng-binding">
    <w:name w:val="ng-binding"/>
    <w:basedOn w:val="DefaultParagraphFont"/>
    <w:uiPriority w:val="99"/>
    <w:rPr>
      <w:rFonts w:ascii="Times New Roman" w:hAnsi="Times New Roman" w:cs="Times New Roman"/>
    </w:rPr>
  </w:style>
  <w:style w:type="character" w:customStyle="1" w:styleId="ng-scope">
    <w:name w:val="ng-scope"/>
    <w:basedOn w:val="DefaultParagraphFont"/>
    <w:uiPriority w:val="99"/>
    <w:rPr>
      <w:rFonts w:ascii="Times New Roman" w:hAnsi="Times New Roman" w:cs="Times New Roman"/>
    </w:rPr>
  </w:style>
  <w:style w:type="character" w:customStyle="1" w:styleId="fn-ref">
    <w:name w:val="fn-ref"/>
    <w:basedOn w:val="DefaultParagraphFont"/>
    <w:uiPriority w:val="99"/>
    <w:rPr>
      <w:rFonts w:ascii="Times New Roman" w:hAnsi="Times New Roman" w:cs="Times New Roman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 w:cs="Cambria"/>
      <w:sz w:val="24"/>
      <w:szCs w:val="24"/>
    </w:rPr>
  </w:style>
  <w:style w:type="paragraph" w:customStyle="1" w:styleId="Style14">
    <w:name w:val="Style14"/>
    <w:basedOn w:val="Normal"/>
    <w:uiPriority w:val="99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 w:cs="Cambria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highlight1">
    <w:name w:val="highlight1"/>
    <w:uiPriority w:val="99"/>
    <w:rPr>
      <w:b/>
      <w:bCs/>
    </w:rPr>
  </w:style>
  <w:style w:type="paragraph" w:customStyle="1" w:styleId="Tekstpodstawowy22">
    <w:name w:val="Tekst podstawowy 22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Normalny1">
    <w:name w:val="Normalny1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efaultParagraphFon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842</Words>
  <Characters>4805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Haładewicz</dc:creator>
  <cp:keywords/>
  <dc:description/>
  <cp:lastModifiedBy>umdabi01</cp:lastModifiedBy>
  <cp:revision>4</cp:revision>
  <cp:lastPrinted>2020-11-26T11:28:00Z</cp:lastPrinted>
  <dcterms:created xsi:type="dcterms:W3CDTF">2020-11-26T11:28:00Z</dcterms:created>
  <dcterms:modified xsi:type="dcterms:W3CDTF">2020-11-27T12:47:00Z</dcterms:modified>
</cp:coreProperties>
</file>