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FC" w:rsidRDefault="000968F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OBWIESZCZENIE  PREZYDENTA  WROCŁAWIA</w:t>
      </w:r>
    </w:p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11f ust. 3 i 4 ustawy z dnia 10 kwietnia 2003 r. – o szczególnych zasadach przygotowania i realizacji inwestycji w zakresie dróg publicznych (jednolity tekst: Dz. U. z 2020 r., poz. 1363) oraz na podstawie art. 49 § 1 ustawy z dnia 14 czerwca 1960 r. - Kodeks postępowania administracyjnego (jednolity tekst: Dz. U. z 2020 r., poz. 256 ze zmianami)</w:t>
      </w:r>
    </w:p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zawiadamiam  strony  postępowania,</w:t>
      </w:r>
    </w:p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pStyle w:val="BodyText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że w dniu </w:t>
      </w:r>
      <w:r>
        <w:rPr>
          <w:b/>
          <w:bCs/>
          <w:color w:val="auto"/>
          <w:sz w:val="18"/>
          <w:szCs w:val="18"/>
        </w:rPr>
        <w:t>07.10.2020 r.</w:t>
      </w:r>
      <w:r>
        <w:rPr>
          <w:color w:val="auto"/>
          <w:sz w:val="18"/>
          <w:szCs w:val="18"/>
        </w:rPr>
        <w:t xml:space="preserve"> została wydana </w:t>
      </w:r>
      <w:r>
        <w:rPr>
          <w:b/>
          <w:bCs/>
          <w:color w:val="auto"/>
          <w:sz w:val="18"/>
          <w:szCs w:val="18"/>
        </w:rPr>
        <w:t>decyzja</w:t>
      </w:r>
      <w:r>
        <w:rPr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>nr 4297/2020</w:t>
      </w:r>
      <w:r>
        <w:rPr>
          <w:color w:val="auto"/>
          <w:sz w:val="18"/>
          <w:szCs w:val="18"/>
        </w:rPr>
        <w:t xml:space="preserve"> o zezwoleniu na realizację inwestycji drogowej, na rzecz Prezydenta Wrocławia, dla zadania pod nazwą </w:t>
      </w:r>
      <w:bookmarkStart w:id="0" w:name="OLE_LINK18"/>
      <w:bookmarkStart w:id="1" w:name="OLE_LINK20"/>
      <w:r>
        <w:rPr>
          <w:color w:val="auto"/>
          <w:sz w:val="18"/>
          <w:szCs w:val="18"/>
        </w:rPr>
        <w:t>„</w:t>
      </w:r>
      <w:r>
        <w:rPr>
          <w:b/>
          <w:bCs/>
          <w:color w:val="auto"/>
          <w:sz w:val="18"/>
          <w:szCs w:val="18"/>
        </w:rPr>
        <w:t xml:space="preserve">Rozbudowa ulicy Wilkszyńskiej we Wrocławiu” </w:t>
      </w:r>
      <w:r>
        <w:rPr>
          <w:color w:val="auto"/>
          <w:sz w:val="18"/>
          <w:szCs w:val="18"/>
        </w:rPr>
        <w:t>- której to decyzji nadano rygor natychmiastowej wykonalności</w:t>
      </w:r>
      <w:bookmarkEnd w:id="0"/>
      <w:bookmarkEnd w:id="1"/>
      <w:r>
        <w:rPr>
          <w:color w:val="auto"/>
          <w:sz w:val="18"/>
          <w:szCs w:val="18"/>
        </w:rPr>
        <w:t>.</w:t>
      </w:r>
    </w:p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decyzji jw. </w:t>
      </w:r>
      <w:r>
        <w:rPr>
          <w:b/>
          <w:bCs/>
          <w:sz w:val="18"/>
          <w:szCs w:val="18"/>
        </w:rPr>
        <w:t>zatwierdzeniu podlega podział nieruchomości</w:t>
      </w:r>
      <w:r>
        <w:rPr>
          <w:sz w:val="18"/>
          <w:szCs w:val="18"/>
        </w:rPr>
        <w:t xml:space="preserve">: </w:t>
      </w:r>
    </w:p>
    <w:p w:rsidR="000968FC" w:rsidRDefault="000968FC">
      <w:pPr>
        <w:jc w:val="both"/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248"/>
        <w:gridCol w:w="564"/>
        <w:gridCol w:w="1399"/>
        <w:gridCol w:w="1828"/>
        <w:gridCol w:w="1675"/>
        <w:gridCol w:w="1718"/>
      </w:tblGrid>
      <w:tr w:rsidR="000968FC">
        <w:trPr>
          <w:cantSplit/>
          <w:tblHeader/>
        </w:trPr>
        <w:tc>
          <w:tcPr>
            <w:tcW w:w="463" w:type="dxa"/>
            <w:vMerge w:val="restart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48" w:type="dxa"/>
            <w:vMerge w:val="restart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4" w:type="dxa"/>
            <w:vMerge w:val="restart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227" w:type="dxa"/>
            <w:gridSpan w:val="2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przed podziałem</w:t>
            </w:r>
          </w:p>
        </w:tc>
        <w:tc>
          <w:tcPr>
            <w:tcW w:w="3393" w:type="dxa"/>
            <w:gridSpan w:val="2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 po podziale</w:t>
            </w:r>
          </w:p>
        </w:tc>
      </w:tr>
      <w:tr w:rsidR="000968FC">
        <w:trPr>
          <w:cantSplit/>
          <w:tblHeader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828" w:type="dxa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działki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[ha]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0.7422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0.0379</w:t>
            </w:r>
          </w:p>
        </w:tc>
      </w:tr>
      <w:tr w:rsidR="000968FC">
        <w:trPr>
          <w:cantSplit/>
        </w:trPr>
        <w:tc>
          <w:tcPr>
            <w:tcW w:w="463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0.7043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0.7052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0.0096</w:t>
            </w:r>
          </w:p>
        </w:tc>
      </w:tr>
      <w:tr w:rsidR="000968FC">
        <w:trPr>
          <w:cantSplit/>
        </w:trPr>
        <w:tc>
          <w:tcPr>
            <w:tcW w:w="463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0.6956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0.6338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0.0045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0.6293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0.9255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0.0312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0.8943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9/8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0.4271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0.0169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0.4102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14.9212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0.0276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9/7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14.8936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0.7245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0.0090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0.7155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0.0337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0.0090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0.0247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0.1073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0.0047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0.1026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0.1012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1/17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0.1003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0.0308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0.7492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4/9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0.2334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0.0171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0.2163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5/9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0.1425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0.0154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0.1271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0.2267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0.0189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0.2078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0.5023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0.0319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0.4704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0.7176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0.0294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0.6882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1.0620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0.0229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1.0391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0.3241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0.0415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0.6585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26/39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26/40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0.1007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0.0118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0.1382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0.0077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0.1023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26/9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0.1447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0.0103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0.1344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26/10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0.0905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26/47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0.0076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0.0829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pageBreakBefore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0.1060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26/49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0.0015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26/50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0.1045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26/36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0.1210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0.0127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0.1083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26/37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0.1150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0.1059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26/38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0.1150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0.1059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27/3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0.1757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0.1644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0.0167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0.0120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27/19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3.5700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0.1376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3.4324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0.1593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0.0077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0.1516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0.1578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3/30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0.1505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0.1457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0.0006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3/29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0.1451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</w:t>
            </w:r>
          </w:p>
        </w:tc>
        <w:tc>
          <w:tcPr>
            <w:tcW w:w="1828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0.1514</w:t>
            </w:r>
          </w:p>
        </w:tc>
        <w:tc>
          <w:tcPr>
            <w:tcW w:w="1675" w:type="dxa"/>
            <w:tcBorders>
              <w:top w:val="nil"/>
            </w:tcBorders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4/23</w:t>
            </w:r>
          </w:p>
        </w:tc>
        <w:tc>
          <w:tcPr>
            <w:tcW w:w="1718" w:type="dxa"/>
            <w:tcBorders>
              <w:top w:val="nil"/>
            </w:tcBorders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0.1363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4/3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0.1508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0.0152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0.1356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0.0353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4/27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0.0200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0.9961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0.0251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0.9710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0.2233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0.0532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0.1701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5.8322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5.8111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0.9457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0.0643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0.0196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0.8618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0.1309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0.0350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0.0959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1/8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0.1393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0.0125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0.1268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0.6872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0.0105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0.6767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15/7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0.3559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15/17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0.0150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0.3409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0.1677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0.0081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0.1596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1828" w:type="dxa"/>
            <w:vMerge w:val="restart"/>
            <w:tcBorders>
              <w:top w:val="nil"/>
            </w:tcBorders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0.1433</w:t>
            </w:r>
          </w:p>
        </w:tc>
        <w:tc>
          <w:tcPr>
            <w:tcW w:w="1675" w:type="dxa"/>
            <w:tcBorders>
              <w:top w:val="nil"/>
            </w:tcBorders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</w:t>
            </w:r>
          </w:p>
        </w:tc>
        <w:tc>
          <w:tcPr>
            <w:tcW w:w="1718" w:type="dxa"/>
            <w:tcBorders>
              <w:top w:val="nil"/>
            </w:tcBorders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0.0114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2/8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0.1319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0.1922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0.1901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0.1546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0.0003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0.1543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0.8025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0.7865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0.2180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0.0123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0.2057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0.2188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0.2069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0.2488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0.0127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0.2361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0.2942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0.0131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0.2811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0.6440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0.0112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0.0022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0.6306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pageBreakBefore/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0.1161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0.0146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0.1015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0.1707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0.0025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0.1682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0.1838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0.0041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0.1797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0.1264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0.0117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0.1147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0.1776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0.0034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0.1742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38/1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0.1980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38/3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0.0112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38/4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0.1868</w:t>
            </w:r>
          </w:p>
        </w:tc>
      </w:tr>
      <w:tr w:rsidR="000968FC">
        <w:trPr>
          <w:cantSplit/>
        </w:trPr>
        <w:tc>
          <w:tcPr>
            <w:tcW w:w="463" w:type="dxa"/>
            <w:vMerge w:val="restart"/>
            <w:vAlign w:val="center"/>
          </w:tcPr>
          <w:p w:rsidR="000968FC" w:rsidRDefault="000968FC">
            <w:pPr>
              <w:numPr>
                <w:ilvl w:val="0"/>
                <w:numId w:val="5"/>
              </w:numPr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4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99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38/2</w:t>
            </w:r>
          </w:p>
        </w:tc>
        <w:tc>
          <w:tcPr>
            <w:tcW w:w="1828" w:type="dxa"/>
            <w:vMerge w:val="restart"/>
            <w:vAlign w:val="center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0.0460</w:t>
            </w: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38/5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0.0159</w:t>
            </w:r>
          </w:p>
        </w:tc>
      </w:tr>
      <w:tr w:rsidR="000968FC">
        <w:trPr>
          <w:cantSplit/>
        </w:trPr>
        <w:tc>
          <w:tcPr>
            <w:tcW w:w="463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564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828" w:type="dxa"/>
            <w:vMerge/>
          </w:tcPr>
          <w:p w:rsidR="000968FC" w:rsidRDefault="000968FC">
            <w:pPr>
              <w:pStyle w:val="11Trescpisma"/>
              <w:spacing w:before="0"/>
              <w:rPr>
                <w:sz w:val="16"/>
                <w:szCs w:val="16"/>
              </w:rPr>
            </w:pPr>
          </w:p>
        </w:tc>
        <w:tc>
          <w:tcPr>
            <w:tcW w:w="1675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38/6</w:t>
            </w:r>
          </w:p>
        </w:tc>
        <w:tc>
          <w:tcPr>
            <w:tcW w:w="1718" w:type="dxa"/>
          </w:tcPr>
          <w:p w:rsidR="000968FC" w:rsidRDefault="000968FC">
            <w:pPr>
              <w:pStyle w:val="11Trescpism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0.0301</w:t>
            </w:r>
          </w:p>
        </w:tc>
      </w:tr>
    </w:tbl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Granice inwestycji</w:t>
      </w:r>
      <w:r>
        <w:rPr>
          <w:sz w:val="18"/>
          <w:szCs w:val="18"/>
        </w:rPr>
        <w:t xml:space="preserve"> ustalone ww. decyzją obejmują następujące nieruchomości lub ich części: </w:t>
      </w:r>
    </w:p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Nieruchomości położone w liniach rozgraniczających teren inwestycji, przeznaczone na pasy drogowe </w:t>
      </w:r>
      <w:r>
        <w:rPr>
          <w:b/>
          <w:bCs/>
          <w:color w:val="auto"/>
          <w:sz w:val="18"/>
          <w:szCs w:val="18"/>
        </w:rPr>
        <w:t>dróg gminnych (rozbudowa)</w:t>
      </w:r>
      <w:r>
        <w:rPr>
          <w:color w:val="auto"/>
          <w:sz w:val="18"/>
          <w:szCs w:val="18"/>
        </w:rPr>
        <w:t xml:space="preserve">: </w:t>
      </w:r>
    </w:p>
    <w:p w:rsidR="000968FC" w:rsidRDefault="000968FC">
      <w:pPr>
        <w:pStyle w:val="BodyText2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1275"/>
        <w:gridCol w:w="567"/>
        <w:gridCol w:w="1560"/>
        <w:gridCol w:w="1701"/>
        <w:gridCol w:w="3402"/>
      </w:tblGrid>
      <w:tr w:rsidR="000968FC">
        <w:trPr>
          <w:cantSplit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zajęcia stałego [ha]</w:t>
            </w:r>
          </w:p>
        </w:tc>
      </w:tr>
      <w:tr w:rsidR="000968FC">
        <w:trPr>
          <w:cantSplit/>
          <w:tblHeader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1,0964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0,0251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0,0532</w:t>
            </w:r>
          </w:p>
        </w:tc>
      </w:tr>
      <w:tr w:rsidR="000968FC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0,0643</w:t>
            </w:r>
          </w:p>
        </w:tc>
      </w:tr>
      <w:tr w:rsidR="000968FC">
        <w:trPr>
          <w:cantSplit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0,0196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0,0211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0,0395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0,0475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0,0350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0,1376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0,0077</w:t>
            </w:r>
          </w:p>
        </w:tc>
      </w:tr>
      <w:tr w:rsidR="000968FC">
        <w:trPr>
          <w:cantSplit/>
          <w:trHeight w:val="1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0,0260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0,0090</w:t>
            </w:r>
          </w:p>
        </w:tc>
      </w:tr>
      <w:tr w:rsidR="000968FC">
        <w:trPr>
          <w:cantSplit/>
          <w:trHeight w:val="23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0,0308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0,0415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0,0171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0,0164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0,0098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0,0189</w:t>
            </w:r>
          </w:p>
        </w:tc>
      </w:tr>
      <w:tr w:rsidR="000968FC">
        <w:trPr>
          <w:cantSplit/>
          <w:trHeight w:val="24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0,0470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0,8413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0,0118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0,0765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0,0294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0,0319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0,4364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0,7357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0,0379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0,0312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0,0169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0,0081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0,0003</w:t>
            </w:r>
          </w:p>
        </w:tc>
      </w:tr>
      <w:tr w:rsidR="000968FC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0,0041</w:t>
            </w:r>
          </w:p>
        </w:tc>
      </w:tr>
      <w:tr w:rsidR="000968FC">
        <w:trPr>
          <w:cantSplit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0,0131</w:t>
            </w:r>
          </w:p>
        </w:tc>
      </w:tr>
      <w:tr w:rsidR="000968FC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0,0112</w:t>
            </w:r>
          </w:p>
        </w:tc>
      </w:tr>
      <w:tr w:rsidR="000968FC">
        <w:trPr>
          <w:cantSplit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0,0146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0,5966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0,0034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0,0159</w:t>
            </w:r>
          </w:p>
        </w:tc>
      </w:tr>
      <w:tr w:rsidR="000968FC">
        <w:trPr>
          <w:cantSplit/>
          <w:trHeight w:val="24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0,0112</w:t>
            </w:r>
          </w:p>
        </w:tc>
      </w:tr>
    </w:tbl>
    <w:p w:rsidR="000968FC" w:rsidRDefault="000968FC">
      <w:pPr>
        <w:pStyle w:val="BodyTextIndent2"/>
        <w:ind w:firstLine="0"/>
        <w:rPr>
          <w:rFonts w:eastAsia="Arial Unicode MS"/>
          <w:sz w:val="18"/>
          <w:szCs w:val="18"/>
        </w:rPr>
      </w:pPr>
    </w:p>
    <w:p w:rsidR="000968FC" w:rsidRDefault="000968FC">
      <w:pPr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Nieruchomości położone w liniach rozgraniczających teren inwestycji, stanowiące pasy drogowe </w:t>
      </w:r>
      <w:r>
        <w:rPr>
          <w:b/>
          <w:bCs/>
          <w:sz w:val="18"/>
          <w:szCs w:val="18"/>
        </w:rPr>
        <w:t>dróg gminnych (remont)</w:t>
      </w:r>
      <w:r>
        <w:rPr>
          <w:sz w:val="18"/>
          <w:szCs w:val="18"/>
        </w:rPr>
        <w:t>:</w:t>
      </w:r>
    </w:p>
    <w:p w:rsidR="000968FC" w:rsidRDefault="000968FC">
      <w:pPr>
        <w:pStyle w:val="BodyTextIndent2"/>
        <w:ind w:firstLine="0"/>
        <w:rPr>
          <w:rFonts w:eastAsia="Arial Unicode MS"/>
          <w:sz w:val="18"/>
          <w:szCs w:val="18"/>
        </w:rPr>
      </w:pPr>
    </w:p>
    <w:tbl>
      <w:tblPr>
        <w:tblW w:w="891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6"/>
        <w:gridCol w:w="1275"/>
        <w:gridCol w:w="567"/>
        <w:gridCol w:w="3261"/>
        <w:gridCol w:w="3402"/>
      </w:tblGrid>
      <w:tr w:rsidR="000968FC">
        <w:trPr>
          <w:cantSplit/>
        </w:trPr>
        <w:tc>
          <w:tcPr>
            <w:tcW w:w="4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zajęcia [ha]</w:t>
            </w:r>
          </w:p>
        </w:tc>
      </w:tr>
      <w:tr w:rsidR="000968FC">
        <w:trPr>
          <w:cantSplit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0,0903</w:t>
            </w:r>
          </w:p>
        </w:tc>
      </w:tr>
      <w:tr w:rsidR="000968FC">
        <w:trPr>
          <w:cantSplit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42/1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0,0209</w:t>
            </w:r>
          </w:p>
        </w:tc>
      </w:tr>
    </w:tbl>
    <w:p w:rsidR="000968FC" w:rsidRDefault="000968FC">
      <w:pPr>
        <w:pStyle w:val="BodyTextIndent2"/>
        <w:ind w:firstLine="0"/>
        <w:rPr>
          <w:rFonts w:eastAsia="Arial Unicode MS"/>
          <w:sz w:val="18"/>
          <w:szCs w:val="18"/>
        </w:rPr>
      </w:pPr>
    </w:p>
    <w:p w:rsidR="000968FC" w:rsidRDefault="000968FC">
      <w:pPr>
        <w:pStyle w:val="BodyText2"/>
        <w:numPr>
          <w:ilvl w:val="0"/>
          <w:numId w:val="10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Tereny niezbędne dla realizacji obiektów i robót budowlanych, na których roboty będą prowadzone na podstawie oświadczenia o posiadanym prawie do dysponowania nieruchomościami na cele budowlane:</w:t>
      </w:r>
    </w:p>
    <w:p w:rsidR="000968FC" w:rsidRDefault="000968FC">
      <w:pPr>
        <w:pStyle w:val="14StanowiskoPodpisujacego"/>
      </w:pPr>
    </w:p>
    <w:tbl>
      <w:tblPr>
        <w:tblW w:w="89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7"/>
        <w:gridCol w:w="1058"/>
        <w:gridCol w:w="385"/>
        <w:gridCol w:w="957"/>
        <w:gridCol w:w="800"/>
        <w:gridCol w:w="1182"/>
        <w:gridCol w:w="4132"/>
      </w:tblGrid>
      <w:tr w:rsidR="000968FC">
        <w:trPr>
          <w:cantSplit/>
          <w:tblHeader/>
        </w:trPr>
        <w:tc>
          <w:tcPr>
            <w:tcW w:w="4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zajęcia</w:t>
            </w:r>
          </w:p>
        </w:tc>
      </w:tr>
      <w:tr w:rsidR="000968FC">
        <w:trPr>
          <w:cantSplit/>
          <w:tblHeader/>
        </w:trPr>
        <w:tc>
          <w:tcPr>
            <w:tcW w:w="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</w:p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podziale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</w:t>
            </w:r>
          </w:p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[ha]</w:t>
            </w: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0,0112</w:t>
            </w: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27/11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0,0062</w:t>
            </w:r>
          </w:p>
        </w:tc>
        <w:tc>
          <w:tcPr>
            <w:tcW w:w="41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0,1701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remont drogi 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0,0996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sieci gazowej, przebudowa zjazdu,</w:t>
            </w:r>
          </w:p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linii kablowych elektroenergetycznych nN, budowa chodnika, przebudowa sieci wodociągowej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0,0430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przebudowy urządzeń wodnych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12/3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przebudowy urządzeń wodnych, przebudowa przepustu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0,0143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urządzenia wodnego, przebudowa przepustu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0,0050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budowa kanalizacji sanitarnej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0,0155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napowietrznej linii elektroenergetycznej nN, budowa kanalizacji sanitarnej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0,0070 </w:t>
            </w:r>
            <w:r>
              <w:rPr>
                <w:sz w:val="14"/>
                <w:szCs w:val="14"/>
              </w:rPr>
              <w:t>(łączna powierzchnia robót)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ogrodzenia, przebudowa chodnika</w:t>
            </w:r>
          </w:p>
        </w:tc>
      </w:tr>
      <w:tr w:rsidR="000968FC">
        <w:trPr>
          <w:cantSplit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38/2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napowietrznej linii elektroenergetycznej nN, budowa kanalizacji sanitarnej, budowa kanalizacji deszczowej, nasadzenia</w:t>
            </w:r>
          </w:p>
        </w:tc>
      </w:tr>
    </w:tbl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numPr>
          <w:ilvl w:val="0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Tereny niezbędne dla realizacji obiektów i robót budowlanych, dla których określono ograniczenia w korzystaniu z nieruchomości oraz udzielono zezwolenia na wykonanie obowiązków wymienionych w art. 11f ust. 1 pkt 8 lit. b-c, e-h ustawy </w:t>
      </w:r>
      <w:r>
        <w:rPr>
          <w:i/>
          <w:iCs/>
          <w:sz w:val="18"/>
          <w:szCs w:val="18"/>
        </w:rPr>
        <w:t>o szczególnych zasadach przygotowania i realizacji inwestycji w zakresie dróg publicznych</w:t>
      </w:r>
      <w:r>
        <w:rPr>
          <w:sz w:val="18"/>
          <w:szCs w:val="18"/>
        </w:rPr>
        <w:t>:</w:t>
      </w:r>
    </w:p>
    <w:p w:rsidR="000968FC" w:rsidRDefault="000968FC">
      <w:pPr>
        <w:pStyle w:val="14StanowiskoPodpisujacego"/>
      </w:pPr>
    </w:p>
    <w:tbl>
      <w:tblPr>
        <w:tblW w:w="89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"/>
        <w:gridCol w:w="1058"/>
        <w:gridCol w:w="385"/>
        <w:gridCol w:w="957"/>
        <w:gridCol w:w="800"/>
        <w:gridCol w:w="1182"/>
        <w:gridCol w:w="4133"/>
      </w:tblGrid>
      <w:tr w:rsidR="000968FC">
        <w:trPr>
          <w:cantSplit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zajęcia</w:t>
            </w:r>
          </w:p>
        </w:tc>
      </w:tr>
      <w:tr w:rsidR="000968FC">
        <w:trPr>
          <w:cantSplit/>
          <w:tblHeader/>
        </w:trPr>
        <w:tc>
          <w:tcPr>
            <w:tcW w:w="41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</w:t>
            </w:r>
          </w:p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podziale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zajęcia</w:t>
            </w:r>
          </w:p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[ha]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0,0703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sieci gazowej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0,0098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budowa oświetlenia drogowego, budowa kanalizacji sanitarnej, rozbiórka ogrodzenia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27/19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kanalizacji MKT, budowa kanalizacji deszczowej, 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26/42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kanalizacji deszczowej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26/52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teletechnicznej linii napowietrznej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26/48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demontaż teletechnicznej linii napowietrznej, przebudowa sieci elektroenergetycznej, przebudowa sieci gazowej, rozbiórka zbiornika na nieczystości (kanalizacja sanitarna), budowa kanalizacji sanitarnej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26/46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zjazdów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budowa kanalizacji MKT, demontaż linii kablowej elektroenergetycznej nN, budowa kanalizacji deszczowej, przebudowa sieci gazowej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demontaż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demontaż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demontaż linii kablowej elektroenergetycznej nN, przebudowa ogrodzenia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demontaż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linii kablowej elektroenergetycznej nN,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6/3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demontaż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6/12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demontaż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6/11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6/8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zjazdów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napowietrznej linii teletechnicznej, </w:t>
            </w:r>
          </w:p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zjazdów,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14/13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zjazdów, 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budowa kanalizacji deszczowej, przebudowa linii kablowej elektroenergetycznej nN, przebudowa sieci gazowej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linii kablowej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kablowej linii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sieci elektroenergetycznej, przebudowa sieci gazowej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zjazdów,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rozbiórka budynku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demontaż napowietrznej linii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12/4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chodnika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chodnika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teletechnicznej, przebudowa  kablowej linii nN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0,0070 </w:t>
            </w:r>
            <w:r>
              <w:rPr>
                <w:sz w:val="12"/>
                <w:szCs w:val="12"/>
              </w:rPr>
              <w:t>(łączna powierzchnia robót)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napowietrznej linii teletechnicznej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zjazdów, przebudowa napowietrznej linii teletechnicznej, przebudowa ogrodzenia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17/6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napowietrznej linii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napowietrznej linii elektroenergetycznej nN, rozbiórka zbiornika na nieczystości (kanalizacja sanitarna)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zjazdu, przebudowa napowietrznej linii teletechnicznej, przebudowa napowietrznej linii elektroenergetycznej nN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napowietrznej linii teletechnicznej 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38/1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przebudowa zjazdów, przebudowa napowietrznej linii teletechnicznej, rozbiórka budynku</w:t>
            </w:r>
          </w:p>
        </w:tc>
      </w:tr>
      <w:tr w:rsidR="000968FC">
        <w:trPr>
          <w:cantSplit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przebudowa zjazdu, przebudowa napowietrznej linii teletechnicznej </w:t>
            </w:r>
          </w:p>
        </w:tc>
      </w:tr>
    </w:tbl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>Następujące nieruchomości lub ich części,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według katastru nieruchomości,</w:t>
      </w:r>
      <w:r>
        <w:rPr>
          <w:b/>
          <w:bCs/>
          <w:sz w:val="18"/>
          <w:szCs w:val="18"/>
        </w:rPr>
        <w:t xml:space="preserve"> stają się własnością Gminy Wrocław</w:t>
      </w:r>
      <w:r>
        <w:rPr>
          <w:sz w:val="18"/>
          <w:szCs w:val="18"/>
        </w:rPr>
        <w:t>, z dniem ostateczności ww. decyzji:</w:t>
      </w:r>
    </w:p>
    <w:p w:rsidR="000968FC" w:rsidRDefault="000968FC">
      <w:pPr>
        <w:jc w:val="both"/>
        <w:rPr>
          <w:b/>
          <w:bCs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1172"/>
        <w:gridCol w:w="424"/>
        <w:gridCol w:w="1484"/>
        <w:gridCol w:w="1276"/>
        <w:gridCol w:w="4149"/>
      </w:tblGrid>
      <w:tr w:rsidR="000968FC">
        <w:trPr>
          <w:cantSplit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działki</w:t>
            </w:r>
          </w:p>
        </w:tc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Powierzchnia zajęcia stałego [ha]</w:t>
            </w:r>
          </w:p>
        </w:tc>
      </w:tr>
      <w:tr w:rsidR="000968FC">
        <w:trPr>
          <w:cantSplit/>
          <w:tblHeader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pStyle w:val="12Zwyrazamiszacunku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przed podziałem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 podziale</w:t>
            </w:r>
          </w:p>
        </w:tc>
        <w:tc>
          <w:tcPr>
            <w:tcW w:w="414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0,0251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0,0350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3/28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0,0337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0,0077</w:t>
            </w:r>
          </w:p>
        </w:tc>
      </w:tr>
      <w:tr w:rsidR="000968FC">
        <w:trPr>
          <w:cantSplit/>
          <w:trHeight w:val="10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0,0260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4/25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0,0090</w:t>
            </w:r>
          </w:p>
        </w:tc>
      </w:tr>
      <w:tr w:rsidR="000968FC">
        <w:trPr>
          <w:cantSplit/>
          <w:trHeight w:val="20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0,0308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0,0415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4/11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0,0171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0,0154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0,0200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27/14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26/39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0,0118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26/51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0,0076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26/49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0,0015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0,0059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0,0294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0,0319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0,0379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0,0312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9/6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0,0276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2/7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0,0114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0,0003</w:t>
            </w:r>
          </w:p>
        </w:tc>
      </w:tr>
      <w:tr w:rsidR="000968FC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0,0041</w:t>
            </w:r>
          </w:p>
        </w:tc>
      </w:tr>
      <w:tr w:rsidR="000968FC">
        <w:trPr>
          <w:cantSplit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0,0123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0,0119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0,0127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0,0131</w:t>
            </w:r>
          </w:p>
        </w:tc>
      </w:tr>
      <w:tr w:rsidR="000968FC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0,0112</w:t>
            </w:r>
          </w:p>
        </w:tc>
      </w:tr>
      <w:tr w:rsidR="000968FC">
        <w:trPr>
          <w:cantSplit/>
        </w:trPr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0,0022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12/5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0,0146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0,0025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0,0041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0,0117</w:t>
            </w:r>
          </w:p>
        </w:tc>
      </w:tr>
      <w:tr w:rsidR="000968FC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Marszowice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38/3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68FC" w:rsidRDefault="000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0,0112</w:t>
            </w:r>
          </w:p>
        </w:tc>
      </w:tr>
    </w:tbl>
    <w:p w:rsidR="000968FC" w:rsidRDefault="000968FC">
      <w:pPr>
        <w:jc w:val="both"/>
        <w:rPr>
          <w:b/>
          <w:bCs/>
          <w:sz w:val="18"/>
          <w:szCs w:val="18"/>
        </w:rPr>
      </w:pPr>
    </w:p>
    <w:p w:rsidR="000968FC" w:rsidRDefault="000968FC">
      <w:pPr>
        <w:jc w:val="both"/>
        <w:rPr>
          <w:b/>
          <w:bCs/>
          <w:sz w:val="18"/>
          <w:szCs w:val="18"/>
        </w:rPr>
      </w:pP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art. 49 § 2 Kodeksu postępowania administracyjnego, wskazuje się dzień 14.10.2020 r., jako ten w którym nastąpiło publiczne obwieszczenie na tablicy ogłoszeń Urzędu Miejskiego Wrocławia, w Biuletynie Informacji Publicznej urzędu oraz w prasie lokalnej. Zawiadomienie niniejsze uważa się za dokonane po upływie czternastu dni od wskazanego powyżej terminu.</w:t>
      </w:r>
    </w:p>
    <w:p w:rsidR="000968FC" w:rsidRDefault="000968FC">
      <w:pPr>
        <w:jc w:val="both"/>
        <w:rPr>
          <w:sz w:val="18"/>
          <w:szCs w:val="18"/>
        </w:rPr>
      </w:pP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 treścią decyzji oraz aktami sprawy można zapoznać się w Informacji Wydziału Architektury </w:t>
      </w:r>
      <w:r>
        <w:rPr>
          <w:sz w:val="18"/>
          <w:szCs w:val="18"/>
        </w:rPr>
        <w:br/>
        <w:t xml:space="preserve">i Budownictwa Urzędu Miejskiego Wrocławia, pl. Nowy Targ 1-8, parter, pok. 1c stanowisko 5, 6 </w:t>
      </w:r>
      <w:r>
        <w:rPr>
          <w:sz w:val="18"/>
          <w:szCs w:val="18"/>
        </w:rPr>
        <w:br/>
        <w:t xml:space="preserve">i 7, w godz. 8:00-15:00. </w:t>
      </w: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Ze względów organizacyjnych wskazane jest uprzednie zawiadomienie tut. Wydziału z co najmniej jednodniowym wyprzedzeniem o potrzebie zapewnienia dostępu do akt sprawy (tel. +48 71 777 80 58), co usprawni realizację przysługującego stronie uprawnienia. </w:t>
      </w:r>
    </w:p>
    <w:p w:rsidR="000968FC" w:rsidRDefault="000968FC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</w:t>
      </w:r>
    </w:p>
    <w:p w:rsidR="000968FC" w:rsidRDefault="000968F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D-ZRID-18641-2020-Wilkszyńska</w:t>
      </w:r>
    </w:p>
    <w:p w:rsidR="000968FC" w:rsidRDefault="000968FC">
      <w:pPr>
        <w:ind w:left="5700" w:right="281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0968FC" w:rsidRDefault="000968FC">
      <w:pPr>
        <w:ind w:left="5700" w:right="281"/>
        <w:rPr>
          <w:sz w:val="16"/>
          <w:szCs w:val="16"/>
        </w:rPr>
      </w:pPr>
      <w:r>
        <w:rPr>
          <w:sz w:val="16"/>
          <w:szCs w:val="16"/>
        </w:rPr>
        <w:t>Z up.PREZYDENTA</w:t>
      </w:r>
    </w:p>
    <w:p w:rsidR="000968FC" w:rsidRDefault="000968FC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Piotr Fokczyński</w:t>
      </w:r>
    </w:p>
    <w:p w:rsidR="000968FC" w:rsidRDefault="000968FC">
      <w:pPr>
        <w:ind w:left="1418" w:right="281"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Dyrektor Wydziału</w:t>
      </w:r>
    </w:p>
    <w:p w:rsidR="000968FC" w:rsidRDefault="000968FC">
      <w:pPr>
        <w:jc w:val="both"/>
        <w:rPr>
          <w:color w:val="FF000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Architektury i Budownictwa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Architekt Miasta</w:t>
      </w:r>
    </w:p>
    <w:p w:rsidR="000968FC" w:rsidRDefault="000968FC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0968FC" w:rsidSect="000968FC">
      <w:footerReference w:type="default" r:id="rId7"/>
      <w:footerReference w:type="first" r:id="rId8"/>
      <w:pgSz w:w="11906" w:h="16838" w:code="9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FC" w:rsidRDefault="00096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968FC" w:rsidRDefault="00096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FC" w:rsidRDefault="000968FC">
    <w:pPr>
      <w:pStyle w:val="Footer"/>
      <w:rPr>
        <w:rFonts w:ascii="Times New Roman" w:hAnsi="Times New Roman" w:cs="Times New Roman"/>
        <w:sz w:val="14"/>
        <w:szCs w:val="14"/>
      </w:rPr>
    </w:pPr>
  </w:p>
  <w:p w:rsidR="000968FC" w:rsidRDefault="000968FC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8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8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FC" w:rsidRDefault="000968FC">
    <w:pPr>
      <w:pStyle w:val="Footer"/>
      <w:rPr>
        <w:rFonts w:ascii="Times New Roman" w:hAnsi="Times New Roman" w:cs="Times New Roman"/>
        <w:sz w:val="8"/>
        <w:szCs w:val="8"/>
      </w:rPr>
    </w:pPr>
  </w:p>
  <w:p w:rsidR="000968FC" w:rsidRDefault="000968F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FC" w:rsidRDefault="00096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968FC" w:rsidRDefault="000968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CA04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ADF2BA4"/>
    <w:multiLevelType w:val="hybridMultilevel"/>
    <w:tmpl w:val="4A1CA496"/>
    <w:lvl w:ilvl="0" w:tplc="804C420C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F76C78A4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C580557"/>
    <w:multiLevelType w:val="hybridMultilevel"/>
    <w:tmpl w:val="3238129C"/>
    <w:lvl w:ilvl="0" w:tplc="1B82C9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D150096"/>
    <w:multiLevelType w:val="hybridMultilevel"/>
    <w:tmpl w:val="B67E78F2"/>
    <w:lvl w:ilvl="0" w:tplc="8BF0124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4D6F5188"/>
    <w:multiLevelType w:val="hybridMultilevel"/>
    <w:tmpl w:val="3506999A"/>
    <w:lvl w:ilvl="0" w:tplc="3C0ADB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534967F3"/>
    <w:multiLevelType w:val="hybridMultilevel"/>
    <w:tmpl w:val="23AA7A60"/>
    <w:lvl w:ilvl="0" w:tplc="C846C5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D7C7821"/>
    <w:multiLevelType w:val="hybridMultilevel"/>
    <w:tmpl w:val="83165960"/>
    <w:lvl w:ilvl="0" w:tplc="9FD40F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8FC"/>
    <w:rsid w:val="0009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qFormat="1"/>
    <w:lsdException w:name="Emphasis" w:semiHidden="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Verdana" w:hAnsi="Verdana" w:cs="Verdana"/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8F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8F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8F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8F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8F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z w:val="22"/>
      <w:szCs w:val="22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</w:rPr>
  </w:style>
  <w:style w:type="paragraph" w:customStyle="1" w:styleId="20Dowiadomoscilista">
    <w:name w:val="@20.Do_wiadomosci_lista"/>
    <w:basedOn w:val="11Trescpisma"/>
    <w:uiPriority w:val="99"/>
    <w:pPr>
      <w:numPr>
        <w:numId w:val="3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Verdana" w:hAnsi="Verdana" w:cs="Verdana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Tekstpodstawowy21">
    <w:name w:val="Tekst podstawowy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NormalnyPo6pt">
    <w:name w:val="Normalny + Po:  6 pt"/>
    <w:basedOn w:val="Normal"/>
    <w:uiPriority w:val="99"/>
    <w:pPr>
      <w:spacing w:after="120" w:line="280" w:lineRule="exact"/>
      <w:jc w:val="both"/>
    </w:pPr>
    <w:rPr>
      <w:rFonts w:ascii="Arial" w:hAnsi="Arial" w:cs="Arial"/>
      <w:sz w:val="18"/>
      <w:szCs w:val="18"/>
    </w:rPr>
  </w:style>
  <w:style w:type="character" w:customStyle="1" w:styleId="txt-old">
    <w:name w:val="txt-old"/>
    <w:basedOn w:val="DefaultParagraphFont"/>
    <w:uiPriority w:val="99"/>
    <w:rPr>
      <w:rFonts w:ascii="Times New Roman" w:hAnsi="Times New Roman" w:cs="Times New Roman"/>
    </w:rPr>
  </w:style>
  <w:style w:type="character" w:customStyle="1" w:styleId="txt-new">
    <w:name w:val="txt-new"/>
    <w:basedOn w:val="DefaultParagraphFont"/>
    <w:uiPriority w:val="99"/>
    <w:rPr>
      <w:rFonts w:ascii="Times New Roman" w:hAnsi="Times New Roman" w:cs="Times New Roman"/>
    </w:rPr>
  </w:style>
  <w:style w:type="character" w:customStyle="1" w:styleId="tabulatory">
    <w:name w:val="tabulatory"/>
    <w:basedOn w:val="DefaultParagraphFont"/>
    <w:uiPriority w:val="99"/>
    <w:rPr>
      <w:rFonts w:ascii="Times New Roman" w:hAnsi="Times New Roman" w:cs="Times New Roman"/>
    </w:rPr>
  </w:style>
  <w:style w:type="character" w:customStyle="1" w:styleId="st">
    <w:name w:val="st"/>
    <w:basedOn w:val="DefaultParagraphFont"/>
    <w:uiPriority w:val="99"/>
    <w:rPr>
      <w:rFonts w:ascii="Times New Roman" w:hAnsi="Times New Roman" w:cs="Times New Roman"/>
    </w:rPr>
  </w:style>
  <w:style w:type="paragraph" w:styleId="ListBullet">
    <w:name w:val="List Bullet"/>
    <w:basedOn w:val="Normal"/>
    <w:autoRedefine/>
    <w:uiPriority w:val="99"/>
    <w:pPr>
      <w:tabs>
        <w:tab w:val="left" w:pos="708"/>
      </w:tabs>
      <w:jc w:val="both"/>
    </w:pPr>
    <w:rPr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ipercze4">
    <w:name w:val="Hiperłącze4"/>
    <w:basedOn w:val="DefaultParagraphFont"/>
    <w:uiPriority w:val="99"/>
    <w:rPr>
      <w:rFonts w:ascii="Times New Roman" w:hAnsi="Times New Roman" w:cs="Times New Roman"/>
      <w:color w:val="333333"/>
      <w:u w:val="none"/>
      <w:effect w:val="none"/>
      <w:shd w:val="clear" w:color="auto" w:fill="auto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g-bindingng-scope">
    <w:name w:val="ng-binding ng-scope"/>
    <w:basedOn w:val="DefaultParagraphFont"/>
    <w:uiPriority w:val="99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customStyle="1" w:styleId="alb-s">
    <w:name w:val="a_lb-s"/>
    <w:basedOn w:val="DefaultParagraphFont"/>
    <w:uiPriority w:val="99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Verdana" w:hAnsi="Verdana" w:cs="Verdana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customStyle="1" w:styleId="text-justify">
    <w:name w:val="text-justify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lbalb-wt">
    <w:name w:val="a_lb a_lb-wt"/>
    <w:basedOn w:val="DefaultParagraphFont"/>
    <w:uiPriority w:val="9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customStyle="1" w:styleId="BodyText21">
    <w:name w:val="Body Text 21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Styl1">
    <w:name w:val="Styl1"/>
    <w:basedOn w:val="Normal"/>
    <w:uiPriority w:val="99"/>
    <w:pPr>
      <w:tabs>
        <w:tab w:val="left" w:pos="284"/>
        <w:tab w:val="left" w:pos="993"/>
      </w:tabs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"/>
    <w:uiPriority w:val="99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/>
    </w:rPr>
  </w:style>
  <w:style w:type="character" w:customStyle="1" w:styleId="ng-binding">
    <w:name w:val="ng-binding"/>
    <w:basedOn w:val="DefaultParagraphFont"/>
    <w:uiPriority w:val="99"/>
    <w:rPr>
      <w:rFonts w:ascii="Times New Roman" w:hAnsi="Times New Roman" w:cs="Times New Roman"/>
    </w:rPr>
  </w:style>
  <w:style w:type="character" w:customStyle="1" w:styleId="ng-scope">
    <w:name w:val="ng-scope"/>
    <w:basedOn w:val="DefaultParagraphFont"/>
    <w:uiPriority w:val="99"/>
    <w:rPr>
      <w:rFonts w:ascii="Times New Roman" w:hAnsi="Times New Roman" w:cs="Times New Roman"/>
    </w:rPr>
  </w:style>
  <w:style w:type="character" w:customStyle="1" w:styleId="fn-ref">
    <w:name w:val="fn-ref"/>
    <w:basedOn w:val="DefaultParagraphFont"/>
    <w:uiPriority w:val="99"/>
    <w:rPr>
      <w:rFonts w:ascii="Times New Roman" w:hAnsi="Times New Roman" w:cs="Times New Roman"/>
    </w:rPr>
  </w:style>
  <w:style w:type="paragraph" w:customStyle="1" w:styleId="Style11">
    <w:name w:val="Style11"/>
    <w:basedOn w:val="Normal"/>
    <w:uiPriority w:val="99"/>
    <w:pPr>
      <w:widowControl w:val="0"/>
      <w:autoSpaceDE w:val="0"/>
      <w:autoSpaceDN w:val="0"/>
      <w:adjustRightInd w:val="0"/>
      <w:spacing w:line="250" w:lineRule="exact"/>
      <w:ind w:hanging="346"/>
      <w:jc w:val="both"/>
    </w:pPr>
    <w:rPr>
      <w:rFonts w:ascii="Cambria" w:hAnsi="Cambria" w:cs="Cambria"/>
      <w:sz w:val="24"/>
      <w:szCs w:val="24"/>
    </w:rPr>
  </w:style>
  <w:style w:type="paragraph" w:customStyle="1" w:styleId="Style14">
    <w:name w:val="Style14"/>
    <w:basedOn w:val="Normal"/>
    <w:uiPriority w:val="99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17">
    <w:name w:val="Style17"/>
    <w:basedOn w:val="Normal"/>
    <w:uiPriority w:val="99"/>
    <w:pPr>
      <w:widowControl w:val="0"/>
      <w:autoSpaceDE w:val="0"/>
      <w:autoSpaceDN w:val="0"/>
      <w:adjustRightInd w:val="0"/>
      <w:spacing w:line="245" w:lineRule="exact"/>
      <w:ind w:firstLine="686"/>
      <w:jc w:val="both"/>
    </w:pPr>
    <w:rPr>
      <w:rFonts w:ascii="Cambria" w:hAnsi="Cambria" w:cs="Cambria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sz w:val="18"/>
      <w:szCs w:val="18"/>
    </w:rPr>
  </w:style>
  <w:style w:type="character" w:customStyle="1" w:styleId="lrzxr">
    <w:name w:val="lrzxr"/>
    <w:basedOn w:val="DefaultParagraphFont"/>
    <w:uiPriority w:val="99"/>
    <w:rPr>
      <w:rFonts w:ascii="Times New Roman" w:hAnsi="Times New Roman" w:cs="Times New Roman"/>
    </w:rPr>
  </w:style>
  <w:style w:type="character" w:customStyle="1" w:styleId="highlight1">
    <w:name w:val="highlight1"/>
    <w:uiPriority w:val="99"/>
    <w:rPr>
      <w:b/>
      <w:bCs/>
    </w:rPr>
  </w:style>
  <w:style w:type="paragraph" w:customStyle="1" w:styleId="Tekstpodstawowy22">
    <w:name w:val="Tekst podstawowy 22"/>
    <w:basedOn w:val="Normal"/>
    <w:uiPriority w:val="99"/>
    <w:pPr>
      <w:jc w:val="both"/>
    </w:pPr>
    <w:rPr>
      <w:rFonts w:cstheme="minorBidi"/>
      <w:sz w:val="24"/>
      <w:szCs w:val="24"/>
    </w:rPr>
  </w:style>
  <w:style w:type="paragraph" w:customStyle="1" w:styleId="Normalny1">
    <w:name w:val="Normalny1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efaultParagraphFon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Anna Haładewicz</dc:creator>
  <cp:keywords/>
  <dc:description/>
  <cp:lastModifiedBy>umdabi01</cp:lastModifiedBy>
  <cp:revision>4</cp:revision>
  <cp:lastPrinted>2020-10-08T10:05:00Z</cp:lastPrinted>
  <dcterms:created xsi:type="dcterms:W3CDTF">2020-10-08T10:05:00Z</dcterms:created>
  <dcterms:modified xsi:type="dcterms:W3CDTF">2020-10-12T06:43:00Z</dcterms:modified>
</cp:coreProperties>
</file>