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332" w:rsidRDefault="00C47332" w:rsidP="00C47332">
      <w:pPr>
        <w:pStyle w:val="04StanowiskoAdresata"/>
      </w:pPr>
    </w:p>
    <w:p w:rsidR="00FB5512" w:rsidRDefault="00FB5512" w:rsidP="00C47332">
      <w:pPr>
        <w:pStyle w:val="04StanowiskoAdresata"/>
      </w:pPr>
    </w:p>
    <w:p w:rsidR="00FB5512" w:rsidRDefault="00FB5512" w:rsidP="00C47332">
      <w:pPr>
        <w:pStyle w:val="04StanowiskoAdresata"/>
      </w:pPr>
    </w:p>
    <w:p w:rsidR="00FB5512" w:rsidRDefault="00FB5512" w:rsidP="00C47332">
      <w:pPr>
        <w:pStyle w:val="04StanowiskoAdresata"/>
      </w:pPr>
    </w:p>
    <w:p w:rsidR="00C47332" w:rsidRDefault="00C47332" w:rsidP="00C47332">
      <w:pPr>
        <w:pStyle w:val="Nagwek1"/>
        <w:suppressAutoHyphens/>
        <w:ind w:left="4248" w:firstLine="708"/>
        <w:jc w:val="both"/>
        <w:rPr>
          <w:rFonts w:ascii="Verdana" w:hAnsi="Verdana"/>
          <w:b w:val="0"/>
          <w:szCs w:val="22"/>
        </w:rPr>
      </w:pPr>
    </w:p>
    <w:p w:rsidR="00C47332" w:rsidRDefault="00391FFB" w:rsidP="00C47332">
      <w:pPr>
        <w:pStyle w:val="08Sygnaturapisma"/>
        <w:jc w:val="right"/>
        <w:rPr>
          <w:rStyle w:val="displayonly"/>
          <w:sz w:val="20"/>
          <w:szCs w:val="20"/>
        </w:rPr>
      </w:pPr>
      <w:fldSimple w:instr=" DOCVARIABLE miasto \* MERGEFORMAT ">
        <w:r w:rsidR="00C47332" w:rsidRPr="00F5755B">
          <w:rPr>
            <w:sz w:val="20"/>
          </w:rPr>
          <w:t>Wrocław</w:t>
        </w:r>
      </w:fldSimple>
      <w:r w:rsidR="00C47332" w:rsidRPr="00F5755B">
        <w:rPr>
          <w:sz w:val="20"/>
        </w:rPr>
        <w:t xml:space="preserve">, </w:t>
      </w:r>
      <w:r w:rsidR="00C47332">
        <w:rPr>
          <w:sz w:val="20"/>
        </w:rPr>
        <w:t>13 sierpnia</w:t>
      </w:r>
      <w:r w:rsidR="00C47332" w:rsidRPr="00F5755B">
        <w:rPr>
          <w:sz w:val="20"/>
        </w:rPr>
        <w:t xml:space="preserve"> 20</w:t>
      </w:r>
      <w:r w:rsidR="00C47332">
        <w:rPr>
          <w:sz w:val="20"/>
        </w:rPr>
        <w:t>20</w:t>
      </w:r>
      <w:r w:rsidR="00C47332" w:rsidRPr="00F5755B">
        <w:rPr>
          <w:sz w:val="20"/>
        </w:rPr>
        <w:t xml:space="preserve"> r</w:t>
      </w:r>
      <w:r w:rsidR="00C47332">
        <w:t>.</w:t>
      </w:r>
    </w:p>
    <w:p w:rsidR="00C47332" w:rsidRPr="00F5755B" w:rsidRDefault="00C47332" w:rsidP="00C47332">
      <w:pPr>
        <w:pStyle w:val="08Sygnaturapisma"/>
        <w:rPr>
          <w:sz w:val="20"/>
          <w:szCs w:val="20"/>
        </w:rPr>
      </w:pPr>
      <w:r>
        <w:rPr>
          <w:rStyle w:val="displayonly"/>
          <w:sz w:val="20"/>
          <w:szCs w:val="20"/>
        </w:rPr>
        <w:t>WPO-DNT</w:t>
      </w:r>
      <w:r w:rsidRPr="00F5755B">
        <w:rPr>
          <w:rStyle w:val="displayonly"/>
          <w:sz w:val="20"/>
          <w:szCs w:val="20"/>
        </w:rPr>
        <w:t>.</w:t>
      </w:r>
      <w:r>
        <w:rPr>
          <w:rStyle w:val="displayonly"/>
          <w:sz w:val="20"/>
          <w:szCs w:val="20"/>
        </w:rPr>
        <w:t>310.3</w:t>
      </w:r>
      <w:r w:rsidRPr="00F5755B">
        <w:rPr>
          <w:sz w:val="20"/>
          <w:szCs w:val="20"/>
        </w:rPr>
        <w:t>.20</w:t>
      </w:r>
      <w:r>
        <w:rPr>
          <w:sz w:val="20"/>
          <w:szCs w:val="20"/>
        </w:rPr>
        <w:t>20</w:t>
      </w:r>
      <w:r w:rsidR="00A55D97">
        <w:rPr>
          <w:sz w:val="20"/>
          <w:szCs w:val="20"/>
        </w:rPr>
        <w:t>.SS</w:t>
      </w:r>
    </w:p>
    <w:p w:rsidR="00C47332" w:rsidRDefault="00C47332" w:rsidP="00C47332">
      <w:pPr>
        <w:suppressAutoHyphens/>
        <w:jc w:val="both"/>
        <w:rPr>
          <w:rFonts w:ascii="Verdana" w:hAnsi="Verdana"/>
          <w:sz w:val="20"/>
          <w:szCs w:val="22"/>
        </w:rPr>
      </w:pPr>
    </w:p>
    <w:p w:rsidR="00C47332" w:rsidRPr="00C66FF7" w:rsidRDefault="00C47332" w:rsidP="00C47332">
      <w:pPr>
        <w:suppressAutoHyphens/>
        <w:jc w:val="center"/>
        <w:rPr>
          <w:rFonts w:ascii="Verdana" w:hAnsi="Verdana"/>
          <w:b/>
          <w:sz w:val="20"/>
          <w:szCs w:val="22"/>
        </w:rPr>
      </w:pPr>
      <w:r w:rsidRPr="00C66FF7">
        <w:rPr>
          <w:rFonts w:ascii="Verdana" w:hAnsi="Verdana"/>
          <w:b/>
          <w:sz w:val="20"/>
          <w:szCs w:val="22"/>
        </w:rPr>
        <w:t>Interpretacja indywidualna przepisów prawa podatkowego</w:t>
      </w:r>
    </w:p>
    <w:p w:rsidR="00C47332" w:rsidRDefault="00C47332" w:rsidP="00C47332">
      <w:pPr>
        <w:pStyle w:val="11Trescpisma"/>
      </w:pPr>
      <w:r>
        <w:t xml:space="preserve">Na </w:t>
      </w:r>
      <w:r w:rsidRPr="003C37CB">
        <w:t xml:space="preserve">podstawie art. </w:t>
      </w:r>
      <w:r>
        <w:t xml:space="preserve">14b, art. 14c i art. </w:t>
      </w:r>
      <w:r w:rsidRPr="003C37CB">
        <w:t>14j §</w:t>
      </w:r>
      <w:r>
        <w:t>1 ustawy z dnia 29 sierpnia 1997 r. O</w:t>
      </w:r>
      <w:r w:rsidR="002626E3">
        <w:t>rdynacja podatkowa (Dz. U. z 2020</w:t>
      </w:r>
      <w:r>
        <w:t xml:space="preserve"> r. poz. </w:t>
      </w:r>
      <w:r w:rsidR="002626E3">
        <w:t>1325</w:t>
      </w:r>
      <w:r>
        <w:t xml:space="preserve"> ze zm.) w związku z art. 1c ustawy z dnia 12 stycznia 1991 r. o podatkach i opłatach lokalnych (Dz. U. </w:t>
      </w:r>
      <w:r>
        <w:br/>
        <w:t>z 201</w:t>
      </w:r>
      <w:r w:rsidR="002626E3">
        <w:t>9</w:t>
      </w:r>
      <w:r>
        <w:t xml:space="preserve"> r. poz. </w:t>
      </w:r>
      <w:r w:rsidR="002626E3">
        <w:t>1170</w:t>
      </w:r>
      <w:r>
        <w:t xml:space="preserve"> ze zm.),</w:t>
      </w:r>
    </w:p>
    <w:p w:rsidR="00C47332" w:rsidRDefault="00C47332" w:rsidP="00C47332">
      <w:pPr>
        <w:pStyle w:val="11Trescpisma"/>
      </w:pPr>
      <w:r>
        <w:t xml:space="preserve">po rozpatrzeniu wniosku </w:t>
      </w:r>
      <w:r w:rsidR="005C1814">
        <w:t>...</w:t>
      </w:r>
      <w:r>
        <w:t xml:space="preserve"> z siedzibą we Wrocławiu  jw., który wpłynął droga pocztową 1 czerwca 2020 r. oraz ponownie drogą elektroniczną w dniu 9 lipca 2020 r. o wydanie indywidualnej interpretacji przepisów prawa podatkowego w sprawie:</w:t>
      </w:r>
    </w:p>
    <w:p w:rsidR="00C47332" w:rsidRDefault="00C47332" w:rsidP="00C47332">
      <w:pPr>
        <w:pStyle w:val="11Trescpisma"/>
      </w:pPr>
      <w:r>
        <w:t>zastosowania zwolnienia od podatku od nieruchomości fundacji, która prowadzi niepubliczną szkołę podstawową oraz punkt przedszkolny w budynku wynajmowanym od osób prywatnych na podstawie ustawy z dnia 27 października 2017 r. o finansowaniu zadań oświatowych, która w art. 6 ust. 2 stanowi, że placówki wychowania przedszkolnego, szkoły, placówki, placówki doskonalenia nauczycieli i kolegia pracowników służb społecznych oraz organy prowadzące te podmioty są zwolnione z podatku od nieruchomości, podatku leśnego i podatku rolnego w zakresie nieruchomości zajętych na działalność oświatową, na zasadach określonych odpowiednio w przepisach o podatkach i opłatach lokalnych, podatku leśnym oraz podatku rolnym.</w:t>
      </w:r>
    </w:p>
    <w:p w:rsidR="00C47332" w:rsidRDefault="00C47332" w:rsidP="00C47332">
      <w:pPr>
        <w:pStyle w:val="11Trescpisma"/>
      </w:pPr>
      <w:r>
        <w:rPr>
          <w:rFonts w:cs="Arial"/>
          <w:b/>
          <w:szCs w:val="20"/>
        </w:rPr>
        <w:t>o</w:t>
      </w:r>
      <w:r w:rsidRPr="008C614F">
        <w:rPr>
          <w:rFonts w:cs="Arial"/>
          <w:b/>
          <w:szCs w:val="20"/>
        </w:rPr>
        <w:t>rgan podatkowy</w:t>
      </w:r>
      <w:r>
        <w:rPr>
          <w:rFonts w:cs="Arial"/>
          <w:b/>
          <w:szCs w:val="20"/>
        </w:rPr>
        <w:t xml:space="preserve"> </w:t>
      </w:r>
      <w:r w:rsidRPr="00CF6399">
        <w:rPr>
          <w:b/>
        </w:rPr>
        <w:t>uznaje stanowisko wnioskodawcy za nieprawidłowe</w:t>
      </w:r>
      <w:r>
        <w:t xml:space="preserve"> </w:t>
      </w:r>
      <w:r>
        <w:br/>
        <w:t xml:space="preserve">i stwierdza, że: </w:t>
      </w:r>
    </w:p>
    <w:p w:rsidR="00C47332" w:rsidRDefault="007209D6" w:rsidP="00C47332">
      <w:pPr>
        <w:pStyle w:val="11Trescpisma"/>
        <w:numPr>
          <w:ilvl w:val="0"/>
          <w:numId w:val="28"/>
        </w:numPr>
      </w:pPr>
      <w:r>
        <w:t xml:space="preserve">Nieruchomość zajęta przez </w:t>
      </w:r>
      <w:r w:rsidR="00C47332">
        <w:t>Fundacj</w:t>
      </w:r>
      <w:r>
        <w:t xml:space="preserve">ę na cele prowadzenia </w:t>
      </w:r>
      <w:r w:rsidR="00C47332">
        <w:t>niepubliczn</w:t>
      </w:r>
      <w:r>
        <w:t>ej</w:t>
      </w:r>
      <w:r w:rsidR="00C47332">
        <w:t xml:space="preserve"> szkoł</w:t>
      </w:r>
      <w:r>
        <w:t>y</w:t>
      </w:r>
      <w:r w:rsidR="00C47332">
        <w:t xml:space="preserve"> podstawow</w:t>
      </w:r>
      <w:r>
        <w:t>ej</w:t>
      </w:r>
      <w:r w:rsidR="00C47332">
        <w:t xml:space="preserve"> oraz punkt</w:t>
      </w:r>
      <w:r>
        <w:t>u</w:t>
      </w:r>
      <w:r w:rsidR="00C47332">
        <w:t xml:space="preserve"> przedszkoln</w:t>
      </w:r>
      <w:r>
        <w:t>ego</w:t>
      </w:r>
      <w:r w:rsidR="00C47332">
        <w:t xml:space="preserve"> w budynku wynajmowanym od osób prywatnych na podstawie ustawy z dnia 27 października 2017 r. o finansowaniu zadań oświato</w:t>
      </w:r>
      <w:r>
        <w:t xml:space="preserve">wych, nie będzie </w:t>
      </w:r>
      <w:r w:rsidR="00C47332">
        <w:t xml:space="preserve"> zwolni</w:t>
      </w:r>
      <w:r>
        <w:t>ona</w:t>
      </w:r>
      <w:r w:rsidR="00C47332">
        <w:t xml:space="preserve"> od podatku od nieruchomości oraz </w:t>
      </w:r>
    </w:p>
    <w:p w:rsidR="00C47332" w:rsidRDefault="00C47332" w:rsidP="00C47332">
      <w:pPr>
        <w:pStyle w:val="11Trescpisma"/>
        <w:numPr>
          <w:ilvl w:val="0"/>
          <w:numId w:val="28"/>
        </w:numPr>
      </w:pPr>
      <w:r>
        <w:t xml:space="preserve">Właściciel nieruchomości, która zostanie wynajęta fundacji na prowadzenie niepublicznej szkoły podstawowej oraz punktu przedszkolnego, nie będzie </w:t>
      </w:r>
      <w:r w:rsidR="00B90610">
        <w:t>zwolniony</w:t>
      </w:r>
      <w:r>
        <w:t xml:space="preserve"> od podatku od nieruchomości na podstawie ustawy z dnia 27 października 2017 r. o finansowaniu zadań oświatowych.</w:t>
      </w:r>
    </w:p>
    <w:p w:rsidR="00C47332" w:rsidRDefault="00C47332" w:rsidP="00C47332">
      <w:pPr>
        <w:pStyle w:val="11Trescpisma"/>
        <w:ind w:left="360"/>
      </w:pPr>
    </w:p>
    <w:p w:rsidR="00C47332" w:rsidRPr="008803F7" w:rsidRDefault="00C47332" w:rsidP="00C47332">
      <w:pPr>
        <w:suppressAutoHyphens/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U</w:t>
      </w:r>
      <w:r w:rsidRPr="008803F7">
        <w:rPr>
          <w:rFonts w:ascii="Verdana" w:hAnsi="Verdana"/>
          <w:b/>
          <w:sz w:val="20"/>
          <w:szCs w:val="20"/>
        </w:rPr>
        <w:t xml:space="preserve"> Z A S A D N I E N I E</w:t>
      </w:r>
    </w:p>
    <w:p w:rsidR="00C47332" w:rsidRDefault="00C47332" w:rsidP="00C47332">
      <w:pPr>
        <w:pStyle w:val="11Trescpisma"/>
      </w:pPr>
      <w:r>
        <w:t xml:space="preserve">W dniu 1 czerwca 2020 r. do tutejszego organu podatkowego wpłynął drogą pocztową wniosek </w:t>
      </w:r>
      <w:r w:rsidR="005C1814">
        <w:t>...</w:t>
      </w:r>
      <w:r>
        <w:t xml:space="preserve"> z siedzibą we Wrocławiu </w:t>
      </w:r>
      <w:r>
        <w:br/>
        <w:t xml:space="preserve">o wydanie indywidualnej interpretacji przepisów prawa podatkowego. Ponownie wniosek Fundacji – drogą elektroniczną – organ otrzymał 9 lipca 2020 r. </w:t>
      </w:r>
      <w:r>
        <w:br/>
        <w:t xml:space="preserve">W złożonym piśmie Fundacja wniosła o ocenę przesłanek zwolnienia od podatku nieruchomości, zajętych na prowadzenie szkoły podstawowej oraz punktu przedszkolnego, które znajdować się będą w pomieszczeniach wynajmowanych przez Fundację od osób prywatnych. Wnioskodawca przywołał treść art. 6 ust. 2 ustawy z dnia 27 października 2017 r. o finansowaniu zadań oświatowych, który stanowi, że placówki wychowania przedszkolnego, szkoły, placówki, placówki doskonalenia nauczycieli i kolegia pracowników służb społecznych oraz organy prowadzące te podmioty są zwolnione z podatku od nieruchomości, podatku leśnego i podatku rolnego w zakresie nieruchomości zajętych na działalność oświatową, na zasadach określonych odpowiednio w przepisach o podatkach </w:t>
      </w:r>
      <w:r>
        <w:br/>
        <w:t>i opłatach lokalnych, podatku leśnym oraz podatku rolnym.</w:t>
      </w:r>
    </w:p>
    <w:p w:rsidR="00C47332" w:rsidRDefault="00C47332" w:rsidP="00C47332">
      <w:pPr>
        <w:pStyle w:val="11Trescpisma"/>
      </w:pPr>
      <w:r>
        <w:t xml:space="preserve">Prezentując własną ocenę opisanego stanu Fundacja stwierdziła, że powyższe zwolnienie może dotyczyć z jednej strony samej placówki, a z drugiej organu prowadzącego te placówki. W przypadku, gdy podatek obciąża właściciela nieruchomości, ale jeżeli wskaże on tytuł prawny (umowa najmu), z którego wynika, że placówka może korzystać z ustawowego zwolnienia, to takie zwolnienie powinno być zrealizowane. </w:t>
      </w:r>
    </w:p>
    <w:p w:rsidR="00C47332" w:rsidRDefault="00C47332" w:rsidP="00C47332">
      <w:pPr>
        <w:pStyle w:val="11Trescpisma"/>
      </w:pPr>
      <w:r>
        <w:t xml:space="preserve">Końcowo Fundacja wniosła o ewentualne wskazanie możliwości uzyskania zwolnienia od podatku za nieruchomość zajętą na działalność oświatową. </w:t>
      </w:r>
    </w:p>
    <w:p w:rsidR="00C47332" w:rsidRDefault="00C47332" w:rsidP="00C47332">
      <w:pPr>
        <w:pStyle w:val="11Trescpisma"/>
      </w:pPr>
      <w:r>
        <w:t xml:space="preserve">Po zapoznaniu się z argumentacją przedstawioną przez Wnioskodawcę oraz opisanym stanem faktycznym, organ podatkowy dokonał następującej oceny prawnej. </w:t>
      </w:r>
    </w:p>
    <w:p w:rsidR="00C47332" w:rsidRPr="00303527" w:rsidRDefault="00C47332" w:rsidP="00C47332">
      <w:pPr>
        <w:pStyle w:val="11Trescpisma"/>
      </w:pPr>
      <w:r>
        <w:t xml:space="preserve">Zgodnie z treścią art. 6 ust. 2 ustawy z dnia 27 października 2017 r. </w:t>
      </w:r>
      <w:r>
        <w:br/>
        <w:t xml:space="preserve">o finansowaniu zadań oświatowych, placówki wychowania przedszkolnego, szkoły, placówki, placówki doskonalenia nauczycieli i kolegia pracowników służb społecznych oraz organy prowadzące te podmioty są zwolnione z podatku od nieruchomości, podatku leśnego i podatku rolnego w zakresie nieruchomości zajętych na działalność oświatową, na zasadach określonych odpowiednio </w:t>
      </w:r>
      <w:r>
        <w:br/>
        <w:t xml:space="preserve">w przepisach o podatkach i opłatach lokalnych, podatku leśnym oraz podatku rolnym. Dopełnieniem tego przepisu w prawie podatkowym są stosowne zapisy odnoszące się do podatku od nieruchomości podatku rolnego oraz leśnego. </w:t>
      </w:r>
      <w:r>
        <w:br/>
        <w:t>W zakresie zwolnień od podatku od nieruchomości zasady zwolnień określa ustawa z dnia 12 stycznia 1</w:t>
      </w:r>
      <w:r w:rsidRPr="00303527">
        <w:t>991 r. o podatkach i opłatach lokalnych</w:t>
      </w:r>
      <w:r>
        <w:t xml:space="preserve"> (Dz. U. z 2019 r. poz. 1170 ze zm. – dalej </w:t>
      </w:r>
      <w:proofErr w:type="spellStart"/>
      <w:r>
        <w:t>upol</w:t>
      </w:r>
      <w:proofErr w:type="spellEnd"/>
      <w:r>
        <w:t>)</w:t>
      </w:r>
      <w:r w:rsidRPr="00303527">
        <w:t xml:space="preserve">. Artykuł 7 ust. 2 </w:t>
      </w:r>
      <w:proofErr w:type="spellStart"/>
      <w:r>
        <w:t>pkt</w:t>
      </w:r>
      <w:proofErr w:type="spellEnd"/>
      <w:r>
        <w:t xml:space="preserve"> 2 </w:t>
      </w:r>
      <w:r w:rsidRPr="00303527">
        <w:t xml:space="preserve">tej ustawy stanowi, że publiczne </w:t>
      </w:r>
      <w:r>
        <w:br/>
      </w:r>
      <w:r w:rsidRPr="00303527">
        <w:t>i niepubliczne jednostki organizacyjne objęte systemem oświaty oraz prowadzące je organy, w zakresie nieruchomości zajętych na działalność oświatową</w:t>
      </w:r>
      <w:r>
        <w:t>,</w:t>
      </w:r>
      <w:r w:rsidRPr="00303527">
        <w:t xml:space="preserve"> zwolnione są od podatku od nieruchomości. </w:t>
      </w:r>
      <w:r>
        <w:rPr>
          <w:rStyle w:val="info-list-value-uzasadnienie"/>
        </w:rPr>
        <w:t xml:space="preserve">Natomiast w myśl art. 2 </w:t>
      </w:r>
      <w:proofErr w:type="spellStart"/>
      <w:r>
        <w:rPr>
          <w:rStyle w:val="info-list-value-uzasadnienie"/>
        </w:rPr>
        <w:t>pkt</w:t>
      </w:r>
      <w:proofErr w:type="spellEnd"/>
      <w:r>
        <w:rPr>
          <w:rStyle w:val="info-list-value-uzasadnienie"/>
        </w:rPr>
        <w:t xml:space="preserve"> 1 ustawy z dnia 7 września 1991 r. o systemie oświaty (Dz. U. z 2004 r. Nr 256, poz. 2572 ze zm.) system oświaty obejmuje przedszkola, w tym z oddziałami integracyjnymi, przedszkola specjalne oraz inne formy wychowania przedszkolnego. Zgodnie z art. 83a ust. 1 tej ustawy prowadzenie szkoły lub placówki, zespołu, o którym mowa </w:t>
      </w:r>
      <w:r>
        <w:rPr>
          <w:rStyle w:val="info-list-value-uzasadnienie"/>
        </w:rPr>
        <w:br/>
        <w:t xml:space="preserve">w art. 90a ust. 1, oraz innej formy wychowania przedszkolnego, o której mowa </w:t>
      </w:r>
      <w:r>
        <w:rPr>
          <w:rStyle w:val="info-list-value-uzasadnienie"/>
        </w:rPr>
        <w:br/>
        <w:t>w przepisach wydanych na podstawie art. 14a ust. 7, nie jest działalnością gospodarczą.</w:t>
      </w:r>
    </w:p>
    <w:p w:rsidR="00C47332" w:rsidRDefault="00C47332" w:rsidP="00C47332">
      <w:pPr>
        <w:pStyle w:val="11Trescpisma"/>
      </w:pPr>
      <w:r>
        <w:t xml:space="preserve">Z treści przywołanych przepisów wynika, że zwolnienie to ma charakter podmiotowo-przedmiotowy. Oznacza to, że ustawodawca zwolnieniem objął określony katalog podmiotów podatku (podatników) wyłącznie w zakresie określonych przedmiotów opodatkowania (nieruchomości: gruntów i budynków, które zajęte są na prowadzenie działalności oświatowej). Zatem zwolnienie na podstawie art. </w:t>
      </w:r>
      <w:r w:rsidRPr="00303527">
        <w:t xml:space="preserve">7 ust. 2 </w:t>
      </w:r>
      <w:proofErr w:type="spellStart"/>
      <w:r>
        <w:t>pkt</w:t>
      </w:r>
      <w:proofErr w:type="spellEnd"/>
      <w:r>
        <w:t xml:space="preserve"> 2 </w:t>
      </w:r>
      <w:proofErr w:type="spellStart"/>
      <w:r>
        <w:t>upol</w:t>
      </w:r>
      <w:proofErr w:type="spellEnd"/>
      <w:r>
        <w:t xml:space="preserve"> możliwe jest w odniesieniu do </w:t>
      </w:r>
      <w:r w:rsidRPr="00303527">
        <w:t>jednost</w:t>
      </w:r>
      <w:r>
        <w:t>e</w:t>
      </w:r>
      <w:r w:rsidRPr="00303527">
        <w:t xml:space="preserve">k </w:t>
      </w:r>
      <w:r w:rsidRPr="00303527">
        <w:lastRenderedPageBreak/>
        <w:t>organizacyjn</w:t>
      </w:r>
      <w:r>
        <w:t>ych</w:t>
      </w:r>
      <w:r w:rsidRPr="00303527">
        <w:t xml:space="preserve"> objęt</w:t>
      </w:r>
      <w:r>
        <w:t>ych</w:t>
      </w:r>
      <w:r w:rsidRPr="00303527">
        <w:t xml:space="preserve"> systemem oświaty</w:t>
      </w:r>
      <w:r>
        <w:t xml:space="preserve"> oraz prowadzących je organów. Katalog tych podmiotów określony został z kolei enumeratywnie w </w:t>
      </w:r>
      <w:r>
        <w:rPr>
          <w:rStyle w:val="info-list-value-uzasadnienie"/>
        </w:rPr>
        <w:t xml:space="preserve">art. 2 </w:t>
      </w:r>
      <w:proofErr w:type="spellStart"/>
      <w:r>
        <w:rPr>
          <w:rStyle w:val="info-list-value-uzasadnienie"/>
        </w:rPr>
        <w:t>pkt</w:t>
      </w:r>
      <w:proofErr w:type="spellEnd"/>
      <w:r>
        <w:rPr>
          <w:rStyle w:val="info-list-value-uzasadnienie"/>
        </w:rPr>
        <w:t xml:space="preserve"> 1 ustawy z dnia 7 września 1991 r. o systemie oświaty. </w:t>
      </w:r>
    </w:p>
    <w:p w:rsidR="00C47332" w:rsidRPr="00EB3960" w:rsidRDefault="00C47332" w:rsidP="00C47332">
      <w:pPr>
        <w:pStyle w:val="11Trescpisma"/>
        <w:rPr>
          <w:szCs w:val="20"/>
        </w:rPr>
      </w:pPr>
      <w:r>
        <w:t xml:space="preserve">Druga z przesłanek zwolnienia (przesłanka przedmiotowa) dotyczy nieruchomości (tj. gruntów, budynków lub ich części np. lokali), które zajęte są na prowadzenie działalności oświatowej. Warunkiem zwolnienia jest przy tym aby obie </w:t>
      </w:r>
      <w:r w:rsidR="00B90610">
        <w:t xml:space="preserve">te </w:t>
      </w:r>
      <w:r>
        <w:t xml:space="preserve">przesłanki były spełnione łącznie. A </w:t>
      </w:r>
      <w:proofErr w:type="spellStart"/>
      <w:r>
        <w:t>contrario</w:t>
      </w:r>
      <w:proofErr w:type="spellEnd"/>
      <w:r>
        <w:t xml:space="preserve"> stwierdzić należy, że zwolnienie nie będzie możliwe w przypadku, gdy podmiot podatku nie będący objęty systemem oświaty, będzie posiadał nieruchomości zajęte na prowadzenie działalności oświatowej. Podobnie zwolnienie nie będzie uzasadnione wobec jednostek objętych systemem oświaty lub organów je prowadzących w odniesieniu do nieruchomości posiadanych przez te </w:t>
      </w:r>
      <w:r w:rsidRPr="00EB3960">
        <w:rPr>
          <w:szCs w:val="20"/>
        </w:rPr>
        <w:t>podmioty</w:t>
      </w:r>
      <w:r w:rsidR="00B90610">
        <w:rPr>
          <w:szCs w:val="20"/>
        </w:rPr>
        <w:t>,</w:t>
      </w:r>
      <w:r w:rsidRPr="00EB3960">
        <w:rPr>
          <w:szCs w:val="20"/>
        </w:rPr>
        <w:t xml:space="preserve"> zajęt</w:t>
      </w:r>
      <w:r>
        <w:rPr>
          <w:szCs w:val="20"/>
        </w:rPr>
        <w:t>ych</w:t>
      </w:r>
      <w:r w:rsidRPr="00EB3960">
        <w:rPr>
          <w:szCs w:val="20"/>
        </w:rPr>
        <w:t xml:space="preserve"> na działalność inną niż działalność oświatowa. </w:t>
      </w:r>
    </w:p>
    <w:p w:rsidR="00C47332" w:rsidRDefault="00C47332" w:rsidP="00C4733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C47332" w:rsidRPr="00EB3960" w:rsidRDefault="00C47332" w:rsidP="00C4733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B3960">
        <w:rPr>
          <w:rFonts w:ascii="Verdana" w:hAnsi="Verdana"/>
          <w:sz w:val="20"/>
          <w:szCs w:val="20"/>
        </w:rPr>
        <w:t xml:space="preserve">Zgodnie z art. 3 ust. 1 </w:t>
      </w:r>
      <w:proofErr w:type="spellStart"/>
      <w:r w:rsidRPr="00EB3960">
        <w:rPr>
          <w:rFonts w:ascii="Verdana" w:hAnsi="Verdana"/>
          <w:sz w:val="20"/>
          <w:szCs w:val="20"/>
        </w:rPr>
        <w:t>upol</w:t>
      </w:r>
      <w:proofErr w:type="spellEnd"/>
      <w:r w:rsidRPr="00EB3960">
        <w:rPr>
          <w:rFonts w:ascii="Verdana" w:hAnsi="Verdana"/>
          <w:sz w:val="20"/>
          <w:szCs w:val="20"/>
        </w:rPr>
        <w:t xml:space="preserve"> </w:t>
      </w:r>
      <w:r w:rsidRPr="00EB3960">
        <w:rPr>
          <w:rStyle w:val="highlight"/>
          <w:rFonts w:ascii="Verdana" w:hAnsi="Verdana"/>
          <w:sz w:val="20"/>
          <w:szCs w:val="20"/>
        </w:rPr>
        <w:t>podatnikami</w:t>
      </w:r>
      <w:r w:rsidRPr="00EB3960">
        <w:rPr>
          <w:rFonts w:ascii="Verdana" w:hAnsi="Verdana"/>
          <w:sz w:val="20"/>
          <w:szCs w:val="20"/>
        </w:rPr>
        <w:t xml:space="preserve"> podatku od nieruchomości są osoby fizyczne, osoby prawne, jednostki organizacyjne, w tym spółki nieposiadające osobowości prawnej, będące:</w:t>
      </w:r>
    </w:p>
    <w:p w:rsidR="00C47332" w:rsidRPr="00EB3960" w:rsidRDefault="00C47332" w:rsidP="00C4733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B3960">
        <w:rPr>
          <w:rFonts w:ascii="Verdana" w:hAnsi="Verdana"/>
          <w:sz w:val="20"/>
          <w:szCs w:val="20"/>
        </w:rPr>
        <w:t>1) właścicielami nieruchomości lub obiektów budowlanych, z zastrzeżeniem ust. 3;</w:t>
      </w:r>
    </w:p>
    <w:p w:rsidR="00C47332" w:rsidRPr="00EB3960" w:rsidRDefault="00C47332" w:rsidP="00C4733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B3960">
        <w:rPr>
          <w:rFonts w:ascii="Verdana" w:hAnsi="Verdana"/>
          <w:sz w:val="20"/>
          <w:szCs w:val="20"/>
        </w:rPr>
        <w:t>2) posiadaczami samoistnymi nieruchomości lub obiektów budowlanych;</w:t>
      </w:r>
    </w:p>
    <w:p w:rsidR="00C47332" w:rsidRPr="00EB3960" w:rsidRDefault="00C47332" w:rsidP="00C4733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B3960">
        <w:rPr>
          <w:rFonts w:ascii="Verdana" w:hAnsi="Verdana"/>
          <w:sz w:val="20"/>
          <w:szCs w:val="20"/>
        </w:rPr>
        <w:t>3) użytkownikami wieczystymi gruntów;</w:t>
      </w:r>
    </w:p>
    <w:p w:rsidR="00C47332" w:rsidRPr="00EB3960" w:rsidRDefault="00C47332" w:rsidP="00C4733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B3960">
        <w:rPr>
          <w:rFonts w:ascii="Verdana" w:hAnsi="Verdana"/>
          <w:sz w:val="20"/>
          <w:szCs w:val="20"/>
        </w:rPr>
        <w:t>4) posiadaczami nieruchomości lub ich części albo obiektów budowlanych lub ich części, stanowiących własność Skarbu Państwa lub jednostki samorządu terytorialnego, jeżeli posiadanie:</w:t>
      </w:r>
    </w:p>
    <w:p w:rsidR="00C47332" w:rsidRPr="00277F8D" w:rsidRDefault="00C47332" w:rsidP="00C4733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277F8D">
        <w:rPr>
          <w:rFonts w:ascii="Verdana" w:hAnsi="Verdana"/>
          <w:sz w:val="20"/>
          <w:szCs w:val="20"/>
        </w:rPr>
        <w:t xml:space="preserve">a) wynika z umowy zawartej z właścicielem, </w:t>
      </w:r>
      <w:r w:rsidR="00277F8D" w:rsidRPr="00277F8D">
        <w:rPr>
          <w:rFonts w:ascii="Verdana" w:hAnsi="Verdana"/>
          <w:sz w:val="20"/>
          <w:szCs w:val="20"/>
        </w:rPr>
        <w:t>Krajowym Ośrodkiem Wsparcia Rolnictwa lub z innego tytułu prawnego, z wyjątkiem posiadania przez osoby fizyczne lokali mieszkalnych niestanowiących odrębnych nieruchomości</w:t>
      </w:r>
      <w:r w:rsidRPr="00277F8D">
        <w:rPr>
          <w:rFonts w:ascii="Verdana" w:hAnsi="Verdana"/>
          <w:sz w:val="20"/>
          <w:szCs w:val="20"/>
        </w:rPr>
        <w:t>,</w:t>
      </w:r>
    </w:p>
    <w:p w:rsidR="00C47332" w:rsidRPr="00277F8D" w:rsidRDefault="00C47332" w:rsidP="00C4733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277F8D">
        <w:rPr>
          <w:rFonts w:ascii="Verdana" w:hAnsi="Verdana"/>
          <w:sz w:val="20"/>
          <w:szCs w:val="20"/>
        </w:rPr>
        <w:t xml:space="preserve">b) jest bez tytułu prawnego, z zastrzeżeniem </w:t>
      </w:r>
      <w:r w:rsidRPr="00277F8D">
        <w:rPr>
          <w:rStyle w:val="highlight"/>
          <w:rFonts w:ascii="Verdana" w:hAnsi="Verdana"/>
          <w:sz w:val="20"/>
          <w:szCs w:val="20"/>
        </w:rPr>
        <w:t>ust. 2</w:t>
      </w:r>
      <w:r w:rsidRPr="00277F8D">
        <w:rPr>
          <w:rFonts w:ascii="Verdana" w:hAnsi="Verdana"/>
          <w:sz w:val="20"/>
          <w:szCs w:val="20"/>
        </w:rPr>
        <w:t>.</w:t>
      </w:r>
    </w:p>
    <w:p w:rsidR="00C47332" w:rsidRDefault="00C47332" w:rsidP="00C47332">
      <w:pPr>
        <w:pStyle w:val="11Trescpisma"/>
      </w:pPr>
      <w:r>
        <w:t xml:space="preserve">Trudno zatem zgodzić się z Wnioskodawcą aby w opisanym stanie faktycznym uprawnionym do zwolnienia był podmiot prywatny, od którego Fundacja wynajmie nieruchomość na cele prowadzenia działalności oświatowej. W  tej sytuacji zwolnienie na podstawie art. </w:t>
      </w:r>
      <w:r w:rsidRPr="00303527">
        <w:t xml:space="preserve">7 ust. 2 </w:t>
      </w:r>
      <w:proofErr w:type="spellStart"/>
      <w:r>
        <w:t>pkt</w:t>
      </w:r>
      <w:proofErr w:type="spellEnd"/>
      <w:r>
        <w:t xml:space="preserve"> 2 </w:t>
      </w:r>
      <w:proofErr w:type="spellStart"/>
      <w:r>
        <w:t>upol</w:t>
      </w:r>
      <w:proofErr w:type="spellEnd"/>
      <w:r>
        <w:t xml:space="preserve"> nie będzie możliwe, gdyż podatnik, na którym ciąży obowiązek podatkowy nie jest podmiotem – jednostką objętą systemem oświaty lub organem ją prowadzącym – który ustawodawca wskazuje w przepisie art. </w:t>
      </w:r>
      <w:r w:rsidRPr="00303527">
        <w:t xml:space="preserve">7 ust. 2 </w:t>
      </w:r>
      <w:proofErr w:type="spellStart"/>
      <w:r>
        <w:t>pkt</w:t>
      </w:r>
      <w:proofErr w:type="spellEnd"/>
      <w:r>
        <w:t xml:space="preserve"> 2 </w:t>
      </w:r>
      <w:proofErr w:type="spellStart"/>
      <w:r>
        <w:t>upol</w:t>
      </w:r>
      <w:proofErr w:type="spellEnd"/>
      <w:r>
        <w:t>.</w:t>
      </w:r>
    </w:p>
    <w:p w:rsidR="00C47332" w:rsidRDefault="00C47332" w:rsidP="00C47332">
      <w:pPr>
        <w:pStyle w:val="11Trescpisma"/>
        <w:rPr>
          <w:rStyle w:val="info-list-value-uzasadnienie"/>
        </w:rPr>
      </w:pPr>
      <w:r>
        <w:t xml:space="preserve">Potwierdzenie powyższej wykładni odnaleźć można w jednolitym orzecznictwie wojewódzkich sądów administracyjnych oraz Naczelnego Sadu Administracyjnego, które wielokrotnie podkreślały, że </w:t>
      </w:r>
      <w:r>
        <w:rPr>
          <w:rStyle w:val="info-list-value-uzasadnienie"/>
        </w:rPr>
        <w:t xml:space="preserve">zwolnienie z </w:t>
      </w:r>
      <w:r>
        <w:rPr>
          <w:rStyle w:val="highlight"/>
        </w:rPr>
        <w:t>art. 7</w:t>
      </w:r>
      <w:r>
        <w:rPr>
          <w:rStyle w:val="info-list-value-uzasadnienie"/>
        </w:rPr>
        <w:t xml:space="preserve"> </w:t>
      </w:r>
      <w:r>
        <w:rPr>
          <w:rStyle w:val="highlight"/>
        </w:rPr>
        <w:t>ust. 2</w:t>
      </w:r>
      <w:r>
        <w:rPr>
          <w:rStyle w:val="info-list-value-uzasadnienie"/>
        </w:rPr>
        <w:t xml:space="preserve"> </w:t>
      </w:r>
      <w:proofErr w:type="spellStart"/>
      <w:r>
        <w:rPr>
          <w:rStyle w:val="highlight"/>
        </w:rPr>
        <w:t>pkt</w:t>
      </w:r>
      <w:proofErr w:type="spellEnd"/>
      <w:r>
        <w:rPr>
          <w:rStyle w:val="highlight"/>
        </w:rPr>
        <w:t xml:space="preserve"> 2</w:t>
      </w:r>
      <w:r>
        <w:rPr>
          <w:rStyle w:val="info-list-value-uzasadnienie"/>
        </w:rPr>
        <w:t xml:space="preserve"> </w:t>
      </w:r>
      <w:proofErr w:type="spellStart"/>
      <w:r>
        <w:rPr>
          <w:rStyle w:val="info-list-value-uzasadnienie"/>
        </w:rPr>
        <w:t>upol</w:t>
      </w:r>
      <w:proofErr w:type="spellEnd"/>
      <w:r>
        <w:rPr>
          <w:rStyle w:val="info-list-value-uzasadnienie"/>
        </w:rPr>
        <w:t xml:space="preserve"> jest zwolnieniem podmiotowym, bowiem swoim zakresem obejmuje jedynie publiczne </w:t>
      </w:r>
      <w:r>
        <w:rPr>
          <w:rStyle w:val="info-list-value-uzasadnienie"/>
        </w:rPr>
        <w:br/>
        <w:t xml:space="preserve">i niepubliczne jednostki organizacyjne objęte system oświaty oraz prowadzące je organy (w zakresie nieruchomości zajętych na działalność </w:t>
      </w:r>
      <w:r>
        <w:rPr>
          <w:rStyle w:val="highlight"/>
        </w:rPr>
        <w:t>oświatową</w:t>
      </w:r>
      <w:r>
        <w:rPr>
          <w:rStyle w:val="info-list-value-uzasadnienie"/>
        </w:rPr>
        <w:t xml:space="preserve">). Zwolnienie to ma zastosowanie jedynie wówczas, gdy </w:t>
      </w:r>
      <w:r>
        <w:rPr>
          <w:rStyle w:val="highlight"/>
        </w:rPr>
        <w:t>podatnikami</w:t>
      </w:r>
      <w:r>
        <w:rPr>
          <w:rStyle w:val="info-list-value-uzasadnienie"/>
        </w:rPr>
        <w:t xml:space="preserve"> podatku od nieruchomości zajętych na działalność </w:t>
      </w:r>
      <w:r>
        <w:rPr>
          <w:rStyle w:val="highlight"/>
        </w:rPr>
        <w:t>oświatową</w:t>
      </w:r>
      <w:r>
        <w:rPr>
          <w:rStyle w:val="info-list-value-uzasadnienie"/>
        </w:rPr>
        <w:t xml:space="preserve"> są wskazane przez ustawodawcę publiczne </w:t>
      </w:r>
      <w:r>
        <w:rPr>
          <w:rStyle w:val="info-list-value-uzasadnienie"/>
        </w:rPr>
        <w:br/>
        <w:t>i niepubliczne jednostki organizacyjne objęte system oświaty oraz prowadzące je organy (</w:t>
      </w:r>
      <w:r>
        <w:t xml:space="preserve">por. </w:t>
      </w:r>
      <w:r>
        <w:rPr>
          <w:rStyle w:val="info-list-value-uzasadnienie"/>
        </w:rPr>
        <w:t>wyrok WSA w Lublinie z dnia 13 grudnia 2013 r. sygn. akt I SA/Lu 1022/13 i wyrok NSA z dnia 20 września 2017 r. sygn. akt II FSK 1088/17). Oznacza to, że podatnik podatku od nieruchomości, który nie prowadzi działalności oświatowej</w:t>
      </w:r>
      <w:r w:rsidR="00277F8D">
        <w:rPr>
          <w:rStyle w:val="info-list-value-uzasadnienie"/>
        </w:rPr>
        <w:t>,</w:t>
      </w:r>
      <w:r>
        <w:rPr>
          <w:rStyle w:val="info-list-value-uzasadnienie"/>
        </w:rPr>
        <w:t xml:space="preserve"> nie będzie podlegał zwolnieniu. </w:t>
      </w:r>
    </w:p>
    <w:p w:rsidR="00C47332" w:rsidRDefault="00C47332" w:rsidP="00C47332">
      <w:pPr>
        <w:pStyle w:val="11Trescpisma"/>
        <w:rPr>
          <w:rStyle w:val="info-list-value-uzasadnienie"/>
        </w:rPr>
      </w:pPr>
      <w:r>
        <w:rPr>
          <w:rStyle w:val="info-list-value-uzasadnienie"/>
        </w:rPr>
        <w:t xml:space="preserve">Dodatkowo organ podatkowy wskazuje, że argumentacja Fundacji nie znajduje aprobaty w orzecznictwie sądowo-administracyjnym z jeszcze jednej przyczyny. Jedną z podstawowych zasad prawa podatkowego jest zasada sprawiedliwości podatkowej. W orzecznictwie sądowym utrwalił się pogląd, iż wszelkie uregulowania normatywne dotyczące ulg, </w:t>
      </w:r>
      <w:r>
        <w:rPr>
          <w:rStyle w:val="highlight"/>
        </w:rPr>
        <w:t>zwolnień</w:t>
      </w:r>
      <w:r>
        <w:rPr>
          <w:rStyle w:val="info-list-value-uzasadnienie"/>
        </w:rPr>
        <w:t xml:space="preserve"> oraz wszelkich regulacji zmniejszających wysokość należnego podatku należy interpretować ściśle, gdyż wszelkie przywileje podatkowe są naruszeniem zasady sprawiedliwości podatkowej (por. wyroki NSA z dnia: 7 października 2009 r., sygn. akt II FSK 737/08 oraz 16 marca 2010 r., sygn. akt I FSK 407/09).</w:t>
      </w:r>
    </w:p>
    <w:p w:rsidR="00277F8D" w:rsidRDefault="00277F8D" w:rsidP="00C47332">
      <w:pPr>
        <w:pStyle w:val="11Trescpisma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Reasumując w tak opisanym stanie faktycznym organ podatkowy nie mógł zgodzić się ze stanowiskiem wyrażonym przez Wnioskodawcę. </w:t>
      </w:r>
    </w:p>
    <w:p w:rsidR="00277F8D" w:rsidRDefault="00277F8D" w:rsidP="00C47332">
      <w:pPr>
        <w:pStyle w:val="11Trescpisma"/>
        <w:rPr>
          <w:rFonts w:cs="Arial"/>
          <w:szCs w:val="20"/>
        </w:rPr>
      </w:pPr>
      <w:r>
        <w:rPr>
          <w:rFonts w:cs="Arial"/>
          <w:szCs w:val="20"/>
        </w:rPr>
        <w:t xml:space="preserve">Końcowo organ podatkowy wskazuje, że katalog zwolnień </w:t>
      </w:r>
      <w:r w:rsidR="000C1A3C">
        <w:rPr>
          <w:rFonts w:cs="Arial"/>
          <w:szCs w:val="20"/>
        </w:rPr>
        <w:t xml:space="preserve">poza odrębnymi ustawami </w:t>
      </w:r>
      <w:r>
        <w:rPr>
          <w:rFonts w:cs="Arial"/>
          <w:szCs w:val="20"/>
        </w:rPr>
        <w:t xml:space="preserve">wynika </w:t>
      </w:r>
      <w:r w:rsidR="007209D6">
        <w:rPr>
          <w:rFonts w:cs="Arial"/>
          <w:szCs w:val="20"/>
        </w:rPr>
        <w:t xml:space="preserve">głownie </w:t>
      </w:r>
      <w:r>
        <w:rPr>
          <w:rFonts w:cs="Arial"/>
          <w:szCs w:val="20"/>
        </w:rPr>
        <w:t>z przepisów art. 7</w:t>
      </w:r>
      <w:r w:rsidR="000C1A3C">
        <w:rPr>
          <w:rFonts w:cs="Arial"/>
          <w:szCs w:val="20"/>
        </w:rPr>
        <w:t xml:space="preserve"> ustawy z dnia </w:t>
      </w:r>
      <w:r w:rsidR="007209D6">
        <w:t xml:space="preserve">12 stycznia 1991 r. </w:t>
      </w:r>
      <w:r w:rsidR="007209D6">
        <w:br/>
        <w:t xml:space="preserve">o podatkach i opłatach lokalnych. Na mocy tego przepisu zwalnia się od podatku m.in. </w:t>
      </w:r>
      <w:r>
        <w:rPr>
          <w:rFonts w:cs="Arial"/>
          <w:szCs w:val="20"/>
        </w:rPr>
        <w:t>stowarzyszenia oraz organ</w:t>
      </w:r>
      <w:r w:rsidR="007209D6">
        <w:rPr>
          <w:rFonts w:cs="Arial"/>
          <w:szCs w:val="20"/>
        </w:rPr>
        <w:t xml:space="preserve">izacje pożytku publicznego pod warunkiem spełnienia dodatkowych warunków określonych w tym przepisie. Szczegółowe wyjaśnienia w sprawie pozostałych zwolnień nie stanowią przedmiotu wydanej interpretacji ze względu na treść zadanego pytania przez Wnioskodawcę dot. zwolnienia, o którym mowa w </w:t>
      </w:r>
      <w:r w:rsidR="007209D6">
        <w:t xml:space="preserve">art. 6 ust. 2 ustawy z dnia 27 października 2017 r. </w:t>
      </w:r>
      <w:r w:rsidR="007209D6">
        <w:br/>
        <w:t>o finansowaniu zadań oświatowych.</w:t>
      </w:r>
    </w:p>
    <w:p w:rsidR="00C47332" w:rsidRDefault="00C47332" w:rsidP="00C47332">
      <w:pPr>
        <w:pStyle w:val="11Trescpisma"/>
      </w:pPr>
      <w:r>
        <w:rPr>
          <w:rFonts w:cs="Arial"/>
          <w:szCs w:val="20"/>
        </w:rPr>
        <w:t>Interpretacja indywidualna wywołuje skutki prawno-podatkowe tylko wtedy, gdy rzeczywisty stan faktyczny sprawy będącej przedmiotem interpretacji pokrywał się będzie ze stanem faktycznym  podanym przez Wnioskodawcę w złożonym wniosku. W związku z powyższym, w przypadku zmiany któregokolwiek elementu opisu sprawy, przedstawionego we wniosku, wydana interpretacja nie będzie miała zastosowania.</w:t>
      </w:r>
    </w:p>
    <w:p w:rsidR="00C47332" w:rsidRDefault="00C47332" w:rsidP="00C47332">
      <w:pPr>
        <w:pStyle w:val="11Trescpisma"/>
      </w:pPr>
      <w:r>
        <w:t xml:space="preserve">Na niniejszą interpretację Wnioskodawcy przysługuje prawo wniesienia skargi do Wojewódzkiego Sądu Administracyjnego we Wrocławiu, ul. Św. Mikołaja 78-79, 50-126 Wrocław, w terminie 30 dni od doręczenia interpretacji. Skargę wnosi się za pośrednictwem Prezydenta Wrocławia (art. 53 </w:t>
      </w:r>
      <w:r w:rsidRPr="00F91125">
        <w:t>§</w:t>
      </w:r>
      <w:r>
        <w:t xml:space="preserve">1 oraz art. 54 </w:t>
      </w:r>
      <w:r w:rsidRPr="00F91125">
        <w:t>§</w:t>
      </w:r>
      <w:r>
        <w:t xml:space="preserve">1 i </w:t>
      </w:r>
      <w:r w:rsidRPr="00F91125">
        <w:t>§</w:t>
      </w:r>
      <w:r>
        <w:t xml:space="preserve">2 ustawy </w:t>
      </w:r>
      <w:r>
        <w:br/>
        <w:t>z dnia 30 sierpnia 2002 r. Prawo o postępowaniu przed sądami administracyjnymi Dz. U. z 2018 r. poz. 1302 ze zm.).</w:t>
      </w:r>
    </w:p>
    <w:p w:rsidR="00C47332" w:rsidRDefault="00C47332" w:rsidP="00C47332">
      <w:pPr>
        <w:pStyle w:val="Nagwek4"/>
        <w:jc w:val="center"/>
      </w:pPr>
    </w:p>
    <w:p w:rsidR="00C47332" w:rsidRDefault="00C47332" w:rsidP="00C47332">
      <w:pPr>
        <w:pStyle w:val="Tekstpodstawowy"/>
        <w:suppressAutoHyphens/>
        <w:spacing w:line="360" w:lineRule="auto"/>
        <w:jc w:val="both"/>
        <w:rPr>
          <w:rFonts w:ascii="Verdana" w:hAnsi="Verdana"/>
          <w:b/>
          <w:bCs/>
          <w:sz w:val="22"/>
        </w:rPr>
      </w:pPr>
    </w:p>
    <w:p w:rsidR="00C47332" w:rsidRDefault="00C47332" w:rsidP="00C47332">
      <w:pPr>
        <w:pStyle w:val="Tekstpodstawowy"/>
        <w:suppressAutoHyphens/>
        <w:spacing w:line="360" w:lineRule="auto"/>
        <w:jc w:val="both"/>
        <w:rPr>
          <w:rFonts w:ascii="Verdana" w:hAnsi="Verdana"/>
          <w:b/>
          <w:bCs/>
          <w:sz w:val="22"/>
        </w:rPr>
      </w:pPr>
    </w:p>
    <w:p w:rsidR="00C47332" w:rsidRDefault="00C47332" w:rsidP="00C47332">
      <w:pPr>
        <w:pStyle w:val="Tekstpodstawowy"/>
        <w:suppressAutoHyphens/>
        <w:spacing w:line="360" w:lineRule="auto"/>
        <w:jc w:val="both"/>
        <w:rPr>
          <w:rFonts w:ascii="Verdana" w:hAnsi="Verdana"/>
          <w:b/>
          <w:bCs/>
          <w:sz w:val="22"/>
        </w:rPr>
      </w:pPr>
    </w:p>
    <w:p w:rsidR="00A55D97" w:rsidRDefault="00A55D97" w:rsidP="00A55D97">
      <w:pPr>
        <w:pStyle w:val="18Zalacznikilista"/>
        <w:tabs>
          <w:tab w:val="clear" w:pos="720"/>
        </w:tabs>
        <w:ind w:left="0" w:firstLine="0"/>
        <w:rPr>
          <w:b/>
          <w:bCs/>
          <w:sz w:val="22"/>
          <w:szCs w:val="20"/>
        </w:rPr>
      </w:pPr>
    </w:p>
    <w:p w:rsidR="00A55D97" w:rsidRDefault="00A55D97" w:rsidP="00A55D97">
      <w:pPr>
        <w:pStyle w:val="18Zalacznikilista"/>
        <w:tabs>
          <w:tab w:val="clear" w:pos="720"/>
        </w:tabs>
        <w:ind w:left="0" w:firstLine="0"/>
        <w:rPr>
          <w:b/>
          <w:bCs/>
          <w:sz w:val="22"/>
          <w:szCs w:val="20"/>
        </w:rPr>
      </w:pPr>
    </w:p>
    <w:p w:rsidR="00C47332" w:rsidRDefault="00A55D97" w:rsidP="00A55D97">
      <w:pPr>
        <w:pStyle w:val="18Zalacznikilista"/>
        <w:tabs>
          <w:tab w:val="clear" w:pos="720"/>
        </w:tabs>
        <w:ind w:left="0" w:firstLine="0"/>
      </w:pPr>
      <w:r>
        <w:t>Otrzymują:</w:t>
      </w:r>
    </w:p>
    <w:p w:rsidR="00A55D97" w:rsidRDefault="00A55D97" w:rsidP="00A55D97">
      <w:pPr>
        <w:pStyle w:val="18Zalacznikilista"/>
        <w:numPr>
          <w:ilvl w:val="0"/>
          <w:numId w:val="29"/>
        </w:numPr>
      </w:pPr>
      <w:r>
        <w:t xml:space="preserve">Adresat (wraz z informacją o przetwarzaniu danych osobowych). </w:t>
      </w:r>
    </w:p>
    <w:p w:rsidR="00A55D97" w:rsidRDefault="00A55D97" w:rsidP="00A55D97">
      <w:pPr>
        <w:pStyle w:val="18Zalacznikilista"/>
        <w:numPr>
          <w:ilvl w:val="0"/>
          <w:numId w:val="29"/>
        </w:numPr>
      </w:pPr>
      <w:r>
        <w:t>aa</w:t>
      </w:r>
    </w:p>
    <w:p w:rsidR="00A55D97" w:rsidRDefault="00A55D97" w:rsidP="00A55D97">
      <w:pPr>
        <w:pStyle w:val="18Zalacznikilista"/>
        <w:tabs>
          <w:tab w:val="clear" w:pos="720"/>
        </w:tabs>
        <w:ind w:left="717" w:firstLine="0"/>
      </w:pPr>
    </w:p>
    <w:p w:rsidR="00C47332" w:rsidRDefault="00C47332" w:rsidP="00C47332">
      <w:pPr>
        <w:pStyle w:val="11Trescpisma"/>
      </w:pPr>
    </w:p>
    <w:p w:rsidR="00C47332" w:rsidRDefault="00C47332" w:rsidP="00C47332">
      <w:pPr>
        <w:pStyle w:val="11Trescpisma"/>
      </w:pPr>
    </w:p>
    <w:p w:rsidR="00C47332" w:rsidRDefault="00C47332" w:rsidP="00C47332">
      <w:pPr>
        <w:pStyle w:val="11Trescpisma"/>
      </w:pPr>
    </w:p>
    <w:p w:rsidR="00C47332" w:rsidRDefault="00C47332" w:rsidP="00C47332">
      <w:pPr>
        <w:pStyle w:val="11Trescpisma"/>
      </w:pPr>
    </w:p>
    <w:p w:rsidR="00C47332" w:rsidRDefault="00C47332" w:rsidP="00C47332">
      <w:pPr>
        <w:pStyle w:val="11Trescpisma"/>
      </w:pPr>
    </w:p>
    <w:p w:rsidR="00C47332" w:rsidRDefault="00C47332" w:rsidP="00C47332">
      <w:pPr>
        <w:pStyle w:val="11Trescpisma"/>
      </w:pPr>
    </w:p>
    <w:sectPr w:rsidR="00C47332" w:rsidSect="007F16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185" w:rsidRDefault="00FA4185">
      <w:r>
        <w:separator/>
      </w:r>
    </w:p>
  </w:endnote>
  <w:endnote w:type="continuationSeparator" w:id="0">
    <w:p w:rsidR="00FA4185" w:rsidRDefault="00FA4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FB0" w:rsidRDefault="00D14FB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FB0" w:rsidRPr="004D6885" w:rsidRDefault="00D14FB0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391FF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391FFB" w:rsidRPr="004D6885">
      <w:rPr>
        <w:sz w:val="14"/>
        <w:szCs w:val="14"/>
      </w:rPr>
      <w:fldChar w:fldCharType="separate"/>
    </w:r>
    <w:r w:rsidR="00374DFF">
      <w:rPr>
        <w:noProof/>
        <w:sz w:val="14"/>
        <w:szCs w:val="14"/>
      </w:rPr>
      <w:t>2</w:t>
    </w:r>
    <w:r w:rsidR="00391FF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391FF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391FFB" w:rsidRPr="004D6885">
      <w:rPr>
        <w:sz w:val="14"/>
        <w:szCs w:val="14"/>
      </w:rPr>
      <w:fldChar w:fldCharType="separate"/>
    </w:r>
    <w:r w:rsidR="00374DFF">
      <w:rPr>
        <w:noProof/>
        <w:sz w:val="14"/>
        <w:szCs w:val="14"/>
      </w:rPr>
      <w:t>4</w:t>
    </w:r>
    <w:r w:rsidR="00391FFB" w:rsidRPr="004D6885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FB0" w:rsidRDefault="00D14FB0" w:rsidP="00F261E5">
    <w:pPr>
      <w:pStyle w:val="Stopka"/>
    </w:pPr>
  </w:p>
  <w:p w:rsidR="00D14FB0" w:rsidRDefault="00D14FB0" w:rsidP="00F261E5">
    <w:pPr>
      <w:pStyle w:val="Stopka"/>
    </w:pPr>
    <w:r>
      <w:rPr>
        <w:noProof/>
      </w:rPr>
      <w:drawing>
        <wp:inline distT="0" distB="0" distL="0" distR="0">
          <wp:extent cx="2055495" cy="752475"/>
          <wp:effectExtent l="19050" t="0" r="1905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49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185" w:rsidRDefault="00FA4185">
      <w:r>
        <w:separator/>
      </w:r>
    </w:p>
  </w:footnote>
  <w:footnote w:type="continuationSeparator" w:id="0">
    <w:p w:rsidR="00FA4185" w:rsidRDefault="00FA41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FB0" w:rsidRDefault="00391FF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FB0" w:rsidRDefault="00D14FB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FB0" w:rsidRDefault="00D14FB0" w:rsidP="00A27F20">
    <w:pPr>
      <w:pStyle w:val="Stopka"/>
    </w:pPr>
    <w:r>
      <w:rPr>
        <w:noProof/>
      </w:rPr>
      <w:drawing>
        <wp:inline distT="0" distB="0" distL="0" distR="0">
          <wp:extent cx="2047240" cy="1828800"/>
          <wp:effectExtent l="19050" t="0" r="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24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816EC4"/>
    <w:multiLevelType w:val="hybridMultilevel"/>
    <w:tmpl w:val="7750C6F8"/>
    <w:lvl w:ilvl="0" w:tplc="608A0DA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7FC0A75"/>
    <w:multiLevelType w:val="hybridMultilevel"/>
    <w:tmpl w:val="83803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3"/>
  </w:num>
  <w:num w:numId="18">
    <w:abstractNumId w:val="20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7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77F8D"/>
    <w:rsid w:val="00021F72"/>
    <w:rsid w:val="00067026"/>
    <w:rsid w:val="00097AEF"/>
    <w:rsid w:val="000C1A3C"/>
    <w:rsid w:val="000C744E"/>
    <w:rsid w:val="00100AEE"/>
    <w:rsid w:val="00143A44"/>
    <w:rsid w:val="00180DF6"/>
    <w:rsid w:val="00190D4E"/>
    <w:rsid w:val="002018DC"/>
    <w:rsid w:val="00256655"/>
    <w:rsid w:val="002626E3"/>
    <w:rsid w:val="00277F8D"/>
    <w:rsid w:val="0029017A"/>
    <w:rsid w:val="00294572"/>
    <w:rsid w:val="002970A6"/>
    <w:rsid w:val="002B6140"/>
    <w:rsid w:val="002B7EEC"/>
    <w:rsid w:val="002F292D"/>
    <w:rsid w:val="00313E9D"/>
    <w:rsid w:val="00323052"/>
    <w:rsid w:val="00345256"/>
    <w:rsid w:val="00351497"/>
    <w:rsid w:val="00374DFF"/>
    <w:rsid w:val="00391FFB"/>
    <w:rsid w:val="003B4793"/>
    <w:rsid w:val="003F20D6"/>
    <w:rsid w:val="00410A92"/>
    <w:rsid w:val="00447636"/>
    <w:rsid w:val="004508B6"/>
    <w:rsid w:val="004A21ED"/>
    <w:rsid w:val="004D6885"/>
    <w:rsid w:val="004E5C8D"/>
    <w:rsid w:val="00505F81"/>
    <w:rsid w:val="005A3893"/>
    <w:rsid w:val="005C1814"/>
    <w:rsid w:val="005C5E14"/>
    <w:rsid w:val="005D18D1"/>
    <w:rsid w:val="0064384D"/>
    <w:rsid w:val="00701FA2"/>
    <w:rsid w:val="007209D6"/>
    <w:rsid w:val="00745416"/>
    <w:rsid w:val="007878BA"/>
    <w:rsid w:val="007F1692"/>
    <w:rsid w:val="007F1B42"/>
    <w:rsid w:val="0088160D"/>
    <w:rsid w:val="008F7D65"/>
    <w:rsid w:val="00916B2A"/>
    <w:rsid w:val="009765D0"/>
    <w:rsid w:val="00984F47"/>
    <w:rsid w:val="00A005FB"/>
    <w:rsid w:val="00A27F20"/>
    <w:rsid w:val="00A36684"/>
    <w:rsid w:val="00A55D97"/>
    <w:rsid w:val="00A816F2"/>
    <w:rsid w:val="00A86D58"/>
    <w:rsid w:val="00AB56BE"/>
    <w:rsid w:val="00AB60B5"/>
    <w:rsid w:val="00AF094C"/>
    <w:rsid w:val="00B02AD0"/>
    <w:rsid w:val="00B46505"/>
    <w:rsid w:val="00B73AF4"/>
    <w:rsid w:val="00B81B31"/>
    <w:rsid w:val="00B90610"/>
    <w:rsid w:val="00B906E7"/>
    <w:rsid w:val="00BB389F"/>
    <w:rsid w:val="00BD035E"/>
    <w:rsid w:val="00C2127D"/>
    <w:rsid w:val="00C47332"/>
    <w:rsid w:val="00C53C41"/>
    <w:rsid w:val="00CC1016"/>
    <w:rsid w:val="00CD26BE"/>
    <w:rsid w:val="00CD4363"/>
    <w:rsid w:val="00CD4AC9"/>
    <w:rsid w:val="00D05152"/>
    <w:rsid w:val="00D14FB0"/>
    <w:rsid w:val="00D23966"/>
    <w:rsid w:val="00D33992"/>
    <w:rsid w:val="00D627A1"/>
    <w:rsid w:val="00D67636"/>
    <w:rsid w:val="00D81AFC"/>
    <w:rsid w:val="00D81B79"/>
    <w:rsid w:val="00D8547D"/>
    <w:rsid w:val="00DC191D"/>
    <w:rsid w:val="00E25E6A"/>
    <w:rsid w:val="00E35A19"/>
    <w:rsid w:val="00E52576"/>
    <w:rsid w:val="00ED3E79"/>
    <w:rsid w:val="00F261E5"/>
    <w:rsid w:val="00F40755"/>
    <w:rsid w:val="00F426EA"/>
    <w:rsid w:val="00F67113"/>
    <w:rsid w:val="00F8165E"/>
    <w:rsid w:val="00FA4185"/>
    <w:rsid w:val="00FB2F82"/>
    <w:rsid w:val="00FB5512"/>
    <w:rsid w:val="00FB68B6"/>
    <w:rsid w:val="00FB7E24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4733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7332"/>
    <w:pPr>
      <w:keepNext/>
      <w:jc w:val="center"/>
      <w:outlineLvl w:val="0"/>
    </w:pPr>
    <w:rPr>
      <w:b/>
      <w:bCs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C47332"/>
    <w:pPr>
      <w:keepNext/>
      <w:suppressAutoHyphens/>
      <w:jc w:val="both"/>
      <w:outlineLvl w:val="3"/>
    </w:pPr>
    <w:rPr>
      <w:rFonts w:ascii="Verdana" w:hAnsi="Verdana"/>
      <w:b/>
      <w:i/>
      <w:iCs/>
      <w:sz w:val="2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F67113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1Znak">
    <w:name w:val="Nagłówek 1 Znak"/>
    <w:basedOn w:val="Domylnaczcionkaakapitu"/>
    <w:link w:val="Nagwek1"/>
    <w:rsid w:val="00C47332"/>
    <w:rPr>
      <w:b/>
      <w:bCs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4Znak">
    <w:name w:val="Nagłówek 4 Znak"/>
    <w:basedOn w:val="Domylnaczcionkaakapitu"/>
    <w:link w:val="Nagwek4"/>
    <w:rsid w:val="00C47332"/>
    <w:rPr>
      <w:rFonts w:ascii="Verdana" w:hAnsi="Verdana"/>
      <w:b/>
      <w:i/>
      <w:iCs/>
      <w:szCs w:val="22"/>
    </w:rPr>
  </w:style>
  <w:style w:type="paragraph" w:styleId="Tekstpodstawowy">
    <w:name w:val="Body Text"/>
    <w:basedOn w:val="Normalny"/>
    <w:link w:val="TekstpodstawowyZnak"/>
    <w:rsid w:val="00C47332"/>
    <w:rPr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47332"/>
    <w:rPr>
      <w:sz w:val="18"/>
    </w:rPr>
  </w:style>
  <w:style w:type="character" w:customStyle="1" w:styleId="info-list-value-uzasadnienie">
    <w:name w:val="info-list-value-uzasadnienie"/>
    <w:basedOn w:val="Domylnaczcionkaakapitu"/>
    <w:rsid w:val="00C47332"/>
  </w:style>
  <w:style w:type="character" w:customStyle="1" w:styleId="highlight">
    <w:name w:val="highlight"/>
    <w:basedOn w:val="Domylnaczcionkaakapitu"/>
    <w:rsid w:val="00C47332"/>
  </w:style>
  <w:style w:type="character" w:customStyle="1" w:styleId="displayonly">
    <w:name w:val="display_only"/>
    <w:basedOn w:val="Domylnaczcionkaakapitu"/>
    <w:rsid w:val="00C47332"/>
  </w:style>
  <w:style w:type="paragraph" w:styleId="NormalnyWeb">
    <w:name w:val="Normal (Web)"/>
    <w:basedOn w:val="Normalny"/>
    <w:uiPriority w:val="99"/>
    <w:unhideWhenUsed/>
    <w:rsid w:val="00C4733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(Dokumenty)\(INNE)\Nieruchomo&#347;&#263;%20i%20Transport\WPO_%5bPrezydent%20Wroclawia%5d_%5bWPO-Wydzial%20Podatkow%20i%20Oplat%5d_726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WPO_[Prezydent Wroclawia]_[WPO-Wydzial Podatkow i Oplat]_7268</Template>
  <TotalTime>0</TotalTime>
  <Pages>4</Pages>
  <Words>1626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S. Skurzewski</dc:creator>
  <cp:lastModifiedBy>umdast01</cp:lastModifiedBy>
  <cp:revision>2</cp:revision>
  <cp:lastPrinted>2020-08-12T12:52:00Z</cp:lastPrinted>
  <dcterms:created xsi:type="dcterms:W3CDTF">2020-09-04T08:21:00Z</dcterms:created>
  <dcterms:modified xsi:type="dcterms:W3CDTF">2020-09-04T08:21:00Z</dcterms:modified>
</cp:coreProperties>
</file>