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36E4" w:rsidRPr="006C4D72" w:rsidRDefault="00D4281E" w:rsidP="006C4D72">
      <w:pPr>
        <w:pStyle w:val="Nagwek1"/>
        <w:spacing w:after="280"/>
        <w:jc w:val="center"/>
        <w:rPr>
          <w:rFonts w:ascii="Verdana" w:eastAsia="Verdana" w:hAnsi="Verdana" w:cs="Verdana"/>
          <w:color w:val="000000"/>
          <w:sz w:val="24"/>
          <w:szCs w:val="24"/>
        </w:rPr>
      </w:pPr>
      <w:r w:rsidRPr="006C4D72">
        <w:rPr>
          <w:rFonts w:ascii="Verdana" w:eastAsia="Verdana" w:hAnsi="Verdana" w:cs="Verdana"/>
          <w:color w:val="000000"/>
          <w:sz w:val="24"/>
          <w:szCs w:val="24"/>
        </w:rPr>
        <w:t>Uzasadnienie</w:t>
      </w:r>
    </w:p>
    <w:p w14:paraId="00000002" w14:textId="327DAFA2" w:rsidR="001C36E4" w:rsidRPr="006C4D72" w:rsidRDefault="00D4281E" w:rsidP="006C4D72">
      <w:pPr>
        <w:spacing w:line="360" w:lineRule="auto"/>
        <w:rPr>
          <w:rFonts w:ascii="Verdana" w:eastAsia="Verdana" w:hAnsi="Verdana" w:cs="Verdana"/>
        </w:rPr>
      </w:pPr>
      <w:r w:rsidRPr="006C4D72">
        <w:rPr>
          <w:rFonts w:ascii="Verdana" w:eastAsia="Verdana" w:hAnsi="Verdana" w:cs="Verdana"/>
        </w:rPr>
        <w:t xml:space="preserve">głosowania za podjęciem uchwały </w:t>
      </w:r>
      <w:r w:rsidR="00CA01B4" w:rsidRPr="006C4D72">
        <w:rPr>
          <w:rFonts w:ascii="Verdana" w:eastAsia="Verdana" w:hAnsi="Verdana" w:cs="Verdana"/>
        </w:rPr>
        <w:t xml:space="preserve">nr 23/ZWZ/2026 r. z dnia 13 marca 2026 r. </w:t>
      </w:r>
      <w:r w:rsidRPr="006C4D72">
        <w:rPr>
          <w:rFonts w:ascii="Verdana" w:eastAsia="Verdana" w:hAnsi="Verdana" w:cs="Verdana"/>
        </w:rPr>
        <w:t xml:space="preserve">zmieniającej uchwałę </w:t>
      </w:r>
      <w:r w:rsidR="00CA01B4" w:rsidRPr="006C4D72">
        <w:rPr>
          <w:rFonts w:ascii="Verdana" w:eastAsia="Verdana" w:hAnsi="Verdana" w:cs="Verdana"/>
        </w:rPr>
        <w:t xml:space="preserve">nr 15/ZWZ/2017 </w:t>
      </w:r>
      <w:r w:rsidRPr="006C4D72">
        <w:rPr>
          <w:rFonts w:ascii="Verdana" w:eastAsia="Verdana" w:hAnsi="Verdana" w:cs="Verdana"/>
        </w:rPr>
        <w:t>w sprawie zasad kształtowania wynagrodzenia Członków Zarządu Agencji Rozwoju Aglomeracji Wrocławskiej S.A. w wysokości wyższej niż określona zgodnie z art. 4 ust. 2 ustawy z dnia 9 czerwca 2016 r. o zasadach kształtowania wynagrodzeń osób kierujących niektórymi spółkami (t.j. Dz. U. z 2020 r., poz. 1907 ze zm.).</w:t>
      </w:r>
    </w:p>
    <w:p w14:paraId="00000003" w14:textId="44F47284"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Agencja Rozwoju Aglomeracji Wrocławskiej S.A. (dalej: „ARAW” lub „Spółka”) jest spółką prawa handlowego utworzoną przez jednostki samorządu terytorialnego - gminy aglomeracji wrocławskiej. Obecnie akcjonariuszami Spółki jest 33 gmin, przy czym dominującą pozycję posiada Gmina Wrocław, do której należy 4</w:t>
      </w:r>
      <w:r w:rsidR="000F5A02" w:rsidRPr="006C4D72">
        <w:rPr>
          <w:rFonts w:ascii="Verdana" w:eastAsia="Verdana" w:hAnsi="Verdana" w:cs="Verdana"/>
        </w:rPr>
        <w:t>3</w:t>
      </w:r>
      <w:r w:rsidRPr="006C4D72">
        <w:rPr>
          <w:rFonts w:ascii="Verdana" w:eastAsia="Verdana" w:hAnsi="Verdana" w:cs="Verdana"/>
        </w:rPr>
        <w:t xml:space="preserve"> 828 990 akcji Spółki, co stanowi 99,</w:t>
      </w:r>
      <w:r w:rsidR="000F5A02" w:rsidRPr="006C4D72">
        <w:rPr>
          <w:rFonts w:ascii="Verdana" w:eastAsia="Verdana" w:hAnsi="Verdana" w:cs="Verdana"/>
        </w:rPr>
        <w:t xml:space="preserve">3968 </w:t>
      </w:r>
      <w:r w:rsidRPr="006C4D72">
        <w:rPr>
          <w:rFonts w:ascii="Verdana" w:eastAsia="Verdana" w:hAnsi="Verdana" w:cs="Verdana"/>
        </w:rPr>
        <w:t>% wszystkich akcji.</w:t>
      </w:r>
    </w:p>
    <w:p w14:paraId="00000004" w14:textId="77777777"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Celem Spółki jest tworzenie warunków aktywizacji gospodarczej, w szczególności ożywianie rynków lokalnych i trwałe ograniczanie bezrobocia oraz realizacja projektów związanych ze wspieraniem przedsiębiorczości, a także prowadzenie innej działalności ważnej dla rozwoju jednostek samorządu terytorialnego. Spółka może realizować powierzone przez Akcjonariuszy zadania własne wynikające z ustaw kompetencyjnych i przepisów szczególnych.</w:t>
      </w:r>
    </w:p>
    <w:p w14:paraId="3429992A" w14:textId="3C403241"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W okresie swojej działalności Spółka pozyskała dla aglomeracji wrocławskiej ponad 2</w:t>
      </w:r>
      <w:r w:rsidR="00443801" w:rsidRPr="006C4D72">
        <w:rPr>
          <w:rFonts w:ascii="Verdana" w:hAnsi="Verdana"/>
          <w:color w:val="000000"/>
          <w:lang w:val="pl-PL"/>
        </w:rPr>
        <w:t>8</w:t>
      </w:r>
      <w:r w:rsidRPr="006C4D72">
        <w:rPr>
          <w:rFonts w:ascii="Verdana" w:hAnsi="Verdana"/>
          <w:color w:val="000000"/>
          <w:lang w:val="pl-PL"/>
        </w:rPr>
        <w:t xml:space="preserve">0 inwestorów z sektora nowoczesnych usług biznesowych oraz sektora produkcyjnego, co przełożyło się na utworzenie </w:t>
      </w:r>
      <w:r w:rsidR="00443801" w:rsidRPr="006C4D72">
        <w:rPr>
          <w:rFonts w:ascii="Verdana" w:hAnsi="Verdana"/>
          <w:color w:val="000000"/>
          <w:lang w:val="pl-PL"/>
        </w:rPr>
        <w:t>niemal</w:t>
      </w:r>
      <w:r w:rsidRPr="006C4D72">
        <w:rPr>
          <w:rFonts w:ascii="Verdana" w:hAnsi="Verdana"/>
          <w:color w:val="000000"/>
          <w:lang w:val="pl-PL"/>
        </w:rPr>
        <w:t xml:space="preserve"> 1</w:t>
      </w:r>
      <w:r w:rsidR="00443801" w:rsidRPr="006C4D72">
        <w:rPr>
          <w:rFonts w:ascii="Verdana" w:hAnsi="Verdana"/>
          <w:color w:val="000000"/>
          <w:lang w:val="pl-PL"/>
        </w:rPr>
        <w:t>50</w:t>
      </w:r>
      <w:r w:rsidRPr="006C4D72">
        <w:rPr>
          <w:rFonts w:ascii="Verdana" w:hAnsi="Verdana"/>
          <w:color w:val="000000"/>
          <w:lang w:val="pl-PL"/>
        </w:rPr>
        <w:t xml:space="preserve"> 000 nowych miejsc pracy. Każde miejsce pracy utworzone bezpośrednio przez inwestora generuje dodatkowo od 3 do 5 miejsc pracy w otoczeniu biznesu, co stanowi istotny impuls rozwojowy dla gospodarki regionu.</w:t>
      </w:r>
    </w:p>
    <w:p w14:paraId="3AE5A711" w14:textId="77777777"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Pomimo licznych wyzwań wynikających ze zmieniającej się sytuacji geopolitycznej oraz wymagających warunków gospodarczych, Spółka pod kierownictwem Zarządu skutecznie realizuje działania na rzecz przyciągania nowych inwestycji oraz wspierania rozwoju gospodarczego regionu. Efektem tych działań jest utrzymanie wysokiej atrakcyjności inwestycyjnej Wrocławia oraz stabilnej sytuacji na rynku pracy.</w:t>
      </w:r>
    </w:p>
    <w:p w14:paraId="1747039B" w14:textId="77777777"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 xml:space="preserve">W latach 2022–2025 pozyskano 51 projektów inwestycyjnych, w znacznym stopniu związanych z wysokimi technologiami oraz usługami ICT, co wzmacnia pozycję </w:t>
      </w:r>
      <w:r w:rsidRPr="006C4D72">
        <w:rPr>
          <w:rFonts w:ascii="Verdana" w:hAnsi="Verdana"/>
          <w:color w:val="000000"/>
          <w:lang w:val="pl-PL"/>
        </w:rPr>
        <w:lastRenderedPageBreak/>
        <w:t>Wrocławia jako jednego z najważniejszych ośrodków technologicznych w Polsce i Europie Środkowo-Wschodniej.</w:t>
      </w:r>
    </w:p>
    <w:p w14:paraId="1A620F47" w14:textId="77777777"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Jednocześnie Zarząd systematycznie poszerza zakres działalności Spółki, dostosowując jej działania do dynamicznych zmian zachodzących w globalnej gospodarce. W odpowiedzi na przyspieszenie technologiczne oraz rosnącą konkurencję pomiędzy europejskimi ośrodkami inwestycyjnymi rozwijane są inicjatywy ukierunkowane na przyciąganie inwestorów reprezentujących najbardziej zaawansowane segmenty gospodarki, w tym firmy technologiczne oraz centra badawczo-rozwojowe (R&amp;D). Spółka aktywnie inicjuje także nowe obszary rozwoju gospodarczego regionu, podejmując działania na rzecz pozyskiwania projektów z branż strategicznych, takich jak sektor kosmiczny (space) czy obronny (defence).</w:t>
      </w:r>
    </w:p>
    <w:p w14:paraId="3EF0D296" w14:textId="77777777"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Istotnym elementem działalności Zarządu jest również wzmacnianie konkurencyjności rodzimych przedsiębiorstw z aglomeracji wrocławskiej na rynkach europejskich i globalnych. Cel ten realizowany jest poprzez organizację zagranicznych misji gospodarczych, wspieranie ekspansji startupów na nowe rynki, a także budowanie współpracy pomiędzy młodymi firmami technologicznymi, funduszami inwestycyjnymi oraz instytucjami publicznymi.</w:t>
      </w:r>
    </w:p>
    <w:p w14:paraId="37CB9C62" w14:textId="77777777"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Realizowany przez Spółkę projekt Startup Wrocław znacząco przyczynia się do rozwoju lokalnego ekosystemu innowacji i przedsiębiorczości, wzmacniając pozycję regionu jako jednego z wiodących ośrodków startupowych w Polsce.</w:t>
      </w:r>
    </w:p>
    <w:p w14:paraId="193B37EA" w14:textId="77777777"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Dzięki aktywnej promocji gospodarczej oraz kompleksowemu wsparciu inwestorów Wrocław osiąga wysokie pozycje w międzynarodowych rankingach gospodarczych. W zestawieniach prestiżowego rankingu fDi Intelligence „European Cities &amp; Regions of the Future” Wrocław zwyciężył w 2025 roku w klasyfikacji ogólnej dla miast średniej wielkości oraz zajął pierwsze miejsce w kategoriach: miasto przyjazne dla biznesu oraz kapitał ludzki i jakość życia. W rankingu Business Environment Assessment Study Wrocław zajął drugie miejsce wśród polskich miast pod względem potencjału inwestycyjnego.</w:t>
      </w:r>
    </w:p>
    <w:p w14:paraId="0C8B2636" w14:textId="77777777" w:rsidR="003E4436" w:rsidRPr="006C4D72" w:rsidRDefault="003E4436" w:rsidP="006C4D72">
      <w:pPr>
        <w:widowControl/>
        <w:spacing w:before="240" w:after="240" w:line="360" w:lineRule="auto"/>
        <w:rPr>
          <w:rFonts w:ascii="Verdana" w:hAnsi="Verdana"/>
          <w:lang w:val="pl-PL"/>
        </w:rPr>
      </w:pPr>
      <w:r w:rsidRPr="006C4D72">
        <w:rPr>
          <w:rFonts w:ascii="Verdana" w:hAnsi="Verdana"/>
          <w:color w:val="000000"/>
          <w:lang w:val="pl-PL"/>
        </w:rPr>
        <w:t xml:space="preserve">Równolegle Zarząd rozwija działania związane z pozyskiwaniem talentów dla gospodarki regionu. Realizowany projekt Study in Wrocław przyczynia się do wzrostu liczby studentów międzynarodowych, dzięki czemu Wrocław jest obecnie drugim miastem w Polsce pod względem liczby studentów zagranicznych. Zakres projektu jest sukcesywnie rozszerzany zarówno poprzez rozwijanie promocji na </w:t>
      </w:r>
      <w:r w:rsidRPr="006C4D72">
        <w:rPr>
          <w:rFonts w:ascii="Verdana" w:hAnsi="Verdana"/>
          <w:color w:val="000000"/>
          <w:lang w:val="pl-PL"/>
        </w:rPr>
        <w:lastRenderedPageBreak/>
        <w:t>nowych rynkach zagranicznych, jak i poprzez działania skierowane na rynek krajowy, mające na celu zwiększenie zainteresowania studiami na wrocławskich uczelniach.</w:t>
      </w:r>
    </w:p>
    <w:p w14:paraId="00000009" w14:textId="429295D7" w:rsidR="001C36E4" w:rsidRPr="006C4D72" w:rsidRDefault="00D4281E" w:rsidP="006C4D72">
      <w:pPr>
        <w:widowControl/>
        <w:spacing w:before="240" w:after="240" w:line="360" w:lineRule="auto"/>
        <w:rPr>
          <w:rFonts w:ascii="Verdana" w:hAnsi="Verdana"/>
          <w:lang w:val="pl-PL"/>
        </w:rPr>
      </w:pPr>
      <w:r w:rsidRPr="006C4D72">
        <w:rPr>
          <w:rFonts w:ascii="Verdana" w:eastAsia="Verdana" w:hAnsi="Verdana" w:cs="Verdana"/>
        </w:rPr>
        <w:t xml:space="preserve">Ostatnie lata to także bardzo dynamiczny rozwój działalności komunikacyjnej realizowanej przez spółkę na rzecz Gminy Wrocław oraz całej aglomeracji. Miejskie serwisy </w:t>
      </w:r>
      <w:hyperlink r:id="rId5">
        <w:r w:rsidR="001C36E4" w:rsidRPr="006C4D72">
          <w:rPr>
            <w:rFonts w:ascii="Verdana" w:eastAsia="Verdana" w:hAnsi="Verdana" w:cs="Verdana"/>
            <w:color w:val="002060"/>
            <w:highlight w:val="white"/>
          </w:rPr>
          <w:t>www.wroclaw.pl</w:t>
        </w:r>
      </w:hyperlink>
      <w:r w:rsidRPr="006C4D72">
        <w:rPr>
          <w:rFonts w:ascii="Verdana" w:eastAsia="Verdana" w:hAnsi="Verdana" w:cs="Verdana"/>
        </w:rPr>
        <w:t xml:space="preserve">, wygenerowały (tylko od stycznia 2025) ponad 160 mln odsłon dla blisko 14,5 mln użytkowników. </w:t>
      </w:r>
    </w:p>
    <w:p w14:paraId="0000000A" w14:textId="32376906"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Sam portal, to rocznie ponad 10 000 materiałów informacyjnych (w tym 5 ty</w:t>
      </w:r>
      <w:r w:rsidR="004008C4" w:rsidRPr="006C4D72">
        <w:rPr>
          <w:rFonts w:ascii="Verdana" w:eastAsia="Verdana" w:hAnsi="Verdana" w:cs="Verdana"/>
        </w:rPr>
        <w:t>ś</w:t>
      </w:r>
      <w:r w:rsidRPr="006C4D72">
        <w:rPr>
          <w:rFonts w:ascii="Verdana" w:eastAsia="Verdana" w:hAnsi="Verdana" w:cs="Verdana"/>
        </w:rPr>
        <w:t xml:space="preserve"> artykułów) dla mieszkańców miasta i regionu, a także podstawowe źródło informacji m.in. komunikacyjnych, urzędowych, społecznych czy kulturalnych. </w:t>
      </w:r>
    </w:p>
    <w:p w14:paraId="0000000B" w14:textId="77777777"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 xml:space="preserve">W 2024 roku zrealizowano ok. 800 materiałów, które wygenerowały ok. 20 mln odsłon, zaś w 2025 roku tych materiałów było nieznacznie więcej, bo 930, ale wygenerowały już ponad 57 mln wyświetleń. </w:t>
      </w:r>
    </w:p>
    <w:p w14:paraId="0000000C" w14:textId="77777777"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 xml:space="preserve">Skrupulatnie realizowana strategia, odpowiedni dobór form i treści sprawia, że dział wideo jest jednym z najmocniej rozwijających się kanałów informacyjnych miasta i regionu. </w:t>
      </w:r>
    </w:p>
    <w:p w14:paraId="0000000D" w14:textId="4CF1BC6E"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 xml:space="preserve">Spółka już teraz prowadzi kolejne projekty, mające poprawić ten wynik i ułatwić dotarcie do kolejnych grup mieszkańców, choćby poprzez takie kanały jak Instagram czy TikTok, na którym w marcu kanał </w:t>
      </w:r>
      <w:hyperlink r:id="rId6">
        <w:r w:rsidR="001C36E4" w:rsidRPr="006C4D72">
          <w:rPr>
            <w:rFonts w:ascii="Verdana" w:eastAsia="Verdana" w:hAnsi="Verdana" w:cs="Verdana"/>
            <w:color w:val="1155CC"/>
            <w:u w:val="single"/>
          </w:rPr>
          <w:t>Wroclaw.pl</w:t>
        </w:r>
      </w:hyperlink>
      <w:r w:rsidRPr="006C4D72">
        <w:rPr>
          <w:rFonts w:ascii="Verdana" w:eastAsia="Verdana" w:hAnsi="Verdana" w:cs="Verdana"/>
        </w:rPr>
        <w:t xml:space="preserve"> </w:t>
      </w:r>
      <w:r w:rsidR="009049E1" w:rsidRPr="006C4D72">
        <w:rPr>
          <w:rFonts w:ascii="Verdana" w:eastAsia="Verdana" w:hAnsi="Verdana" w:cs="Verdana"/>
        </w:rPr>
        <w:t>osiągnął</w:t>
      </w:r>
      <w:r w:rsidRPr="006C4D72">
        <w:rPr>
          <w:rFonts w:ascii="Verdana" w:eastAsia="Verdana" w:hAnsi="Verdana" w:cs="Verdana"/>
        </w:rPr>
        <w:t xml:space="preserve"> liczbę 1 mln polubień materiałów wideo. W nadchodzących latach te działania będą niezwykle ważne z punktu widzenia bardzo mocno zmieniającego się społeczeństwa oraz sposobu konsumowania treści i informacji tym samym.</w:t>
      </w:r>
    </w:p>
    <w:p w14:paraId="0000000E" w14:textId="1650BC55"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 xml:space="preserve">Uzupełnieniem tych działań i produkcji wideo jest szeroka obecność i działalność związana z udostępnianiem informacji w mediach społecznościowych (Facebook, Instagram, TikTok). </w:t>
      </w:r>
    </w:p>
    <w:p w14:paraId="0000000F" w14:textId="1A9E2C10"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 xml:space="preserve">Kanał </w:t>
      </w:r>
      <w:hyperlink r:id="rId7">
        <w:r w:rsidR="001C36E4" w:rsidRPr="006C4D72">
          <w:rPr>
            <w:rFonts w:ascii="Verdana" w:eastAsia="Verdana" w:hAnsi="Verdana" w:cs="Verdana"/>
            <w:color w:val="1155CC"/>
            <w:u w:val="single"/>
          </w:rPr>
          <w:t>wroclaw.pl</w:t>
        </w:r>
      </w:hyperlink>
      <w:r w:rsidRPr="006C4D72">
        <w:rPr>
          <w:rFonts w:ascii="Verdana" w:eastAsia="Verdana" w:hAnsi="Verdana" w:cs="Verdana"/>
        </w:rPr>
        <w:t xml:space="preserve"> jest obecnie najszybciej rozwijającym się kanałem informacyjnym na Facebooku (pod względem przyrostu liczby obserwujących). Na początku tego roku osiągnęliśmy 150 ty</w:t>
      </w:r>
      <w:r w:rsidR="004008C4" w:rsidRPr="006C4D72">
        <w:rPr>
          <w:rFonts w:ascii="Verdana" w:eastAsia="Verdana" w:hAnsi="Verdana" w:cs="Verdana"/>
        </w:rPr>
        <w:t>ś</w:t>
      </w:r>
      <w:r w:rsidRPr="006C4D72">
        <w:rPr>
          <w:rFonts w:ascii="Verdana" w:eastAsia="Verdana" w:hAnsi="Verdana" w:cs="Verdana"/>
        </w:rPr>
        <w:t xml:space="preserve"> obserwujących i liczba ta rośnie bardzo szybko co pozwala na szerokie dotarcie z materiałami dla osób, korzystających z tego kanału. </w:t>
      </w:r>
    </w:p>
    <w:p w14:paraId="00000010" w14:textId="77777777"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 xml:space="preserve">Jednocześnie spółka bardzo mocno obecna jest na różnych grupach osiedlowych, miejskich, tematycznych gdzie realizuje stały monitoring tematów oraz uczestniczy </w:t>
      </w:r>
      <w:r w:rsidRPr="006C4D72">
        <w:rPr>
          <w:rFonts w:ascii="Verdana" w:eastAsia="Verdana" w:hAnsi="Verdana" w:cs="Verdana"/>
        </w:rPr>
        <w:lastRenderedPageBreak/>
        <w:t xml:space="preserve">w dyskusjach inicjowanych przez własne kanały jak i tych rozpoczynanych przez samych mieszkańców. </w:t>
      </w:r>
    </w:p>
    <w:p w14:paraId="00000011" w14:textId="77777777"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Rekordowym powodzeniem i dotarciem cieszą się także akcje i kampanie informacyjne realizowane przez spółkę. Takich w ubiegłym roku było ponad 15, które charakteryzowały się przede wszystkim szerokim wykorzystaniem działań omnichanel - czyli były realizowane jednocześnie w wielu różnych kanałach. Wysoka skuteczność i docieralność przekazów informacyjnych realizowanych przez spółkę, wynika właśnie z unikalnego podejścia i stale rozwijanych możliwości wytwórczych w wielu różnych kanałach - od on-line, poprzez media tradycyjne i działania offline w tym outdoorowe i bezpośrednie.</w:t>
      </w:r>
    </w:p>
    <w:p w14:paraId="00000012" w14:textId="77777777" w:rsidR="001C36E4" w:rsidRPr="006C4D72" w:rsidRDefault="00D4281E" w:rsidP="006C4D72">
      <w:pPr>
        <w:spacing w:before="280" w:line="360" w:lineRule="auto"/>
        <w:rPr>
          <w:rFonts w:ascii="Verdana" w:eastAsia="Verdana" w:hAnsi="Verdana" w:cs="Verdana"/>
        </w:rPr>
      </w:pPr>
      <w:r w:rsidRPr="006C4D72">
        <w:rPr>
          <w:rFonts w:ascii="Verdana" w:eastAsia="Verdana" w:hAnsi="Verdana" w:cs="Verdana"/>
        </w:rPr>
        <w:t xml:space="preserve">Rozwój tych ostatnich nastąpił dynamicznie w 2025 roku, gdzie spółka zrealizowała kilkanaście wydarzeń i stref edukacyjnych podczas wydarzeń. Plany na rok 2026 i następne są równie ambitne, ale także zawierają wiele elementów pro - rozwojowych. Powstają nowe strefy edukacyjne: Bezpieczny Wrocław, Zielony Wrocław, </w:t>
      </w:r>
      <w:hyperlink r:id="rId8">
        <w:r w:rsidR="001C36E4" w:rsidRPr="006C4D72">
          <w:rPr>
            <w:rFonts w:ascii="Verdana" w:eastAsia="Verdana" w:hAnsi="Verdana" w:cs="Verdana"/>
            <w:color w:val="1155CC"/>
            <w:u w:val="single"/>
          </w:rPr>
          <w:t>Wroclaw.pl</w:t>
        </w:r>
      </w:hyperlink>
      <w:r w:rsidRPr="006C4D72">
        <w:rPr>
          <w:rFonts w:ascii="Verdana" w:eastAsia="Verdana" w:hAnsi="Verdana" w:cs="Verdana"/>
        </w:rPr>
        <w:t xml:space="preserve">, Inwestycje we Wrocławiu, Poradnik Mieszkańca czy Wydarzenia we Wrocławiu łączące zabawę z edukacją oraz przekazywaniem miejskich treści. </w:t>
      </w:r>
    </w:p>
    <w:p w14:paraId="00000013" w14:textId="6B05AF43" w:rsidR="001C36E4" w:rsidRPr="006C4D72" w:rsidRDefault="00D4281E" w:rsidP="006C4D72">
      <w:pPr>
        <w:spacing w:before="280" w:line="360" w:lineRule="auto"/>
        <w:rPr>
          <w:rFonts w:ascii="Verdana" w:eastAsia="Verdana" w:hAnsi="Verdana" w:cs="Verdana"/>
          <w:shd w:val="clear" w:color="auto" w:fill="4A86E8"/>
        </w:rPr>
      </w:pPr>
      <w:r w:rsidRPr="006C4D72">
        <w:rPr>
          <w:rFonts w:ascii="Verdana" w:eastAsia="Verdana" w:hAnsi="Verdana" w:cs="Verdana"/>
        </w:rPr>
        <w:t xml:space="preserve">Jednocześnie miejskie “spoty” wykorzystują już posiadane narzędzia i zasoby tj. miejski biuletyn </w:t>
      </w:r>
      <w:hyperlink r:id="rId9">
        <w:r w:rsidR="001C36E4" w:rsidRPr="006C4D72">
          <w:rPr>
            <w:rFonts w:ascii="Verdana" w:eastAsia="Verdana" w:hAnsi="Verdana" w:cs="Verdana"/>
            <w:color w:val="1155CC"/>
            <w:u w:val="single"/>
          </w:rPr>
          <w:t>wroclaw.pl</w:t>
        </w:r>
      </w:hyperlink>
      <w:r w:rsidRPr="006C4D72">
        <w:rPr>
          <w:rFonts w:ascii="Verdana" w:eastAsia="Verdana" w:hAnsi="Verdana" w:cs="Verdana"/>
        </w:rPr>
        <w:t>, materiały foto, wideo oraz redakcyjne w tym duże bazy danych jak baza inwestycji czy poradnik mieszkańca. Uzupełnieniem tych posiadanych już elementów, będą nowe, opracowane specjalnie do realizacji działań informacyjnych podczas kontaktu</w:t>
      </w:r>
      <w:r w:rsidR="006C4D72">
        <w:rPr>
          <w:rFonts w:ascii="Verdana" w:eastAsia="Verdana" w:hAnsi="Verdana" w:cs="Verdana"/>
        </w:rPr>
        <w:t xml:space="preserve"> </w:t>
      </w:r>
      <w:r w:rsidRPr="006C4D72">
        <w:rPr>
          <w:rFonts w:ascii="Verdana" w:eastAsia="Verdana" w:hAnsi="Verdana" w:cs="Verdana"/>
        </w:rPr>
        <w:t>z mieszkańcem w terenie produkty, jak specjalne narzędzia AI, zabawy grywalizacyjne czy interaktywne plansze i moduły edukacyjne, powstające w 100% siłami własnymi spółki lub na jej zlecenie. Między innymi za takie działania, w 2025 roku spółka otrzymała “Skrzydła IT w Administracji” za działania on-line skierowane do kontaktu z mieszkańcami.</w:t>
      </w:r>
    </w:p>
    <w:p w14:paraId="00000014" w14:textId="2832B46B" w:rsidR="001C36E4" w:rsidRPr="006C4D72" w:rsidRDefault="00D4281E" w:rsidP="006C4D72">
      <w:pPr>
        <w:pBdr>
          <w:top w:val="nil"/>
          <w:left w:val="nil"/>
          <w:bottom w:val="nil"/>
          <w:right w:val="nil"/>
          <w:between w:val="nil"/>
        </w:pBdr>
        <w:spacing w:before="280" w:line="360" w:lineRule="auto"/>
        <w:ind w:right="125" w:hanging="6"/>
        <w:rPr>
          <w:rFonts w:ascii="Verdana" w:eastAsia="Verdana" w:hAnsi="Verdana" w:cs="Verdana"/>
        </w:rPr>
      </w:pPr>
      <w:r w:rsidRPr="006C4D72">
        <w:rPr>
          <w:rFonts w:ascii="Verdana" w:eastAsia="Verdana" w:hAnsi="Verdana" w:cs="Verdana"/>
          <w:color w:val="000000"/>
        </w:rPr>
        <w:t>Ponadto ARAW S.A. każdego roku realizuje projekty z udziałem środków pochodzących z budżetu Unii Europejskiej. Cał</w:t>
      </w:r>
      <w:r w:rsidRPr="006C4D72">
        <w:rPr>
          <w:rFonts w:ascii="Verdana" w:eastAsia="Verdana" w:hAnsi="Verdana" w:cs="Verdana"/>
        </w:rPr>
        <w:t>kowita wartość realizowanych przez Spółkę projektów w</w:t>
      </w:r>
      <w:r w:rsidRPr="006C4D72">
        <w:rPr>
          <w:rFonts w:ascii="Verdana" w:eastAsia="Verdana" w:hAnsi="Verdana" w:cs="Verdana"/>
          <w:color w:val="000000"/>
        </w:rPr>
        <w:t xml:space="preserve"> latach 20</w:t>
      </w:r>
      <w:r w:rsidRPr="006C4D72">
        <w:rPr>
          <w:rFonts w:ascii="Verdana" w:eastAsia="Verdana" w:hAnsi="Verdana" w:cs="Verdana"/>
        </w:rPr>
        <w:t>2</w:t>
      </w:r>
      <w:r w:rsidR="00E53B5D" w:rsidRPr="006C4D72">
        <w:rPr>
          <w:rFonts w:ascii="Verdana" w:eastAsia="Verdana" w:hAnsi="Verdana" w:cs="Verdana"/>
        </w:rPr>
        <w:t>4</w:t>
      </w:r>
      <w:r w:rsidRPr="006C4D72">
        <w:rPr>
          <w:rFonts w:ascii="Verdana" w:eastAsia="Verdana" w:hAnsi="Verdana" w:cs="Verdana"/>
          <w:color w:val="000000"/>
        </w:rPr>
        <w:t>-20</w:t>
      </w:r>
      <w:r w:rsidRPr="006C4D72">
        <w:rPr>
          <w:rFonts w:ascii="Verdana" w:eastAsia="Verdana" w:hAnsi="Verdana" w:cs="Verdana"/>
        </w:rPr>
        <w:t>2</w:t>
      </w:r>
      <w:r w:rsidR="00E53B5D" w:rsidRPr="006C4D72">
        <w:rPr>
          <w:rFonts w:ascii="Verdana" w:eastAsia="Verdana" w:hAnsi="Verdana" w:cs="Verdana"/>
        </w:rPr>
        <w:t>5</w:t>
      </w:r>
      <w:r w:rsidRPr="006C4D72">
        <w:rPr>
          <w:rFonts w:ascii="Verdana" w:eastAsia="Verdana" w:hAnsi="Verdana" w:cs="Verdana"/>
        </w:rPr>
        <w:t xml:space="preserve"> </w:t>
      </w:r>
      <w:r w:rsidR="002E4DDE" w:rsidRPr="006C4D72">
        <w:rPr>
          <w:rFonts w:ascii="Verdana" w:eastAsia="Verdana" w:hAnsi="Verdana" w:cs="Verdana"/>
        </w:rPr>
        <w:t>przekroczyła</w:t>
      </w:r>
      <w:r w:rsidRPr="006C4D72">
        <w:rPr>
          <w:rFonts w:ascii="Verdana" w:eastAsia="Verdana" w:hAnsi="Verdana" w:cs="Verdana"/>
        </w:rPr>
        <w:t xml:space="preserve"> </w:t>
      </w:r>
      <w:r w:rsidR="009049E1" w:rsidRPr="006C4D72">
        <w:rPr>
          <w:rFonts w:ascii="Verdana" w:eastAsia="Verdana" w:hAnsi="Verdana" w:cs="Verdana"/>
          <w:color w:val="002060"/>
        </w:rPr>
        <w:t xml:space="preserve">3,16 </w:t>
      </w:r>
      <w:r w:rsidRPr="006C4D72">
        <w:rPr>
          <w:rFonts w:ascii="Verdana" w:eastAsia="Verdana" w:hAnsi="Verdana" w:cs="Verdana"/>
        </w:rPr>
        <w:t>mln złotych</w:t>
      </w:r>
      <w:r w:rsidRPr="006C4D72">
        <w:rPr>
          <w:rFonts w:ascii="Verdana" w:eastAsia="Verdana" w:hAnsi="Verdana" w:cs="Verdana"/>
          <w:color w:val="000000"/>
        </w:rPr>
        <w:t>.</w:t>
      </w:r>
      <w:r w:rsidRPr="006C4D72">
        <w:rPr>
          <w:rFonts w:ascii="Verdana" w:eastAsia="Verdana" w:hAnsi="Verdana" w:cs="Verdana"/>
        </w:rPr>
        <w:t xml:space="preserve"> </w:t>
      </w:r>
    </w:p>
    <w:p w14:paraId="00000015" w14:textId="31DB8841" w:rsidR="001C36E4" w:rsidRPr="006C4D72" w:rsidRDefault="00D4281E" w:rsidP="006C4D72">
      <w:pPr>
        <w:pBdr>
          <w:top w:val="nil"/>
          <w:left w:val="nil"/>
          <w:bottom w:val="nil"/>
          <w:right w:val="nil"/>
          <w:between w:val="nil"/>
        </w:pBdr>
        <w:spacing w:before="280" w:line="360" w:lineRule="auto"/>
        <w:ind w:right="102"/>
        <w:rPr>
          <w:rFonts w:ascii="Verdana" w:eastAsia="Verdana" w:hAnsi="Verdana" w:cs="Verdana"/>
        </w:rPr>
      </w:pPr>
      <w:r w:rsidRPr="006C4D72">
        <w:rPr>
          <w:rFonts w:ascii="Verdana" w:eastAsia="Verdana" w:hAnsi="Verdana" w:cs="Verdana"/>
        </w:rPr>
        <w:t>Spółka realizuje stale rosnącą liczbę zadań powierzanych przez Gminę Wrocław. W 202</w:t>
      </w:r>
      <w:r w:rsidR="004008C4" w:rsidRPr="006C4D72">
        <w:rPr>
          <w:rFonts w:ascii="Verdana" w:eastAsia="Verdana" w:hAnsi="Verdana" w:cs="Verdana"/>
        </w:rPr>
        <w:t>5</w:t>
      </w:r>
      <w:r w:rsidRPr="006C4D72">
        <w:rPr>
          <w:rFonts w:ascii="Verdana" w:eastAsia="Verdana" w:hAnsi="Verdana" w:cs="Verdana"/>
        </w:rPr>
        <w:t xml:space="preserve"> roku, w porównaniu do lat poprzednich, zlecono jej znacząco większą liczbę, co świadczy o rosnącym zaufaniu i uznaniu dla kompetencji Spółki. Zadania te charakteryzują się dużym zakresem i złożonością, co wymagało zaangażowania </w:t>
      </w:r>
      <w:r w:rsidRPr="006C4D72">
        <w:rPr>
          <w:rFonts w:ascii="Verdana" w:eastAsia="Verdana" w:hAnsi="Verdana" w:cs="Verdana"/>
        </w:rPr>
        <w:lastRenderedPageBreak/>
        <w:t xml:space="preserve">dodatkowych zasobów oraz zastosowania zaawansowanych narzędzi i rozwiązań technologicznych. </w:t>
      </w:r>
    </w:p>
    <w:p w14:paraId="00000016" w14:textId="38451217" w:rsidR="001C36E4" w:rsidRPr="006C4D72" w:rsidRDefault="00D4281E" w:rsidP="006C4D72">
      <w:pPr>
        <w:pBdr>
          <w:top w:val="nil"/>
          <w:left w:val="nil"/>
          <w:bottom w:val="nil"/>
          <w:right w:val="nil"/>
          <w:between w:val="nil"/>
        </w:pBdr>
        <w:spacing w:before="280" w:line="360" w:lineRule="auto"/>
        <w:ind w:right="102"/>
        <w:rPr>
          <w:rFonts w:ascii="Verdana" w:eastAsia="Verdana" w:hAnsi="Verdana" w:cs="Verdana"/>
          <w:color w:val="000000"/>
        </w:rPr>
      </w:pPr>
      <w:r w:rsidRPr="006C4D72">
        <w:rPr>
          <w:rFonts w:ascii="Verdana" w:eastAsia="Verdana" w:hAnsi="Verdana" w:cs="Verdana"/>
          <w:color w:val="000000"/>
        </w:rPr>
        <w:t xml:space="preserve">Skuteczne prowadzenie wyżej opisanej działalności wymaga zatrudnienia przez Spółkę osób zarządzających, posiadających wysokie kwalifikacje zawodowe oraz wiedzę i doświadczenie. Natomiast w związku z tym, że </w:t>
      </w:r>
      <w:sdt>
        <w:sdtPr>
          <w:rPr>
            <w:rFonts w:ascii="Verdana" w:hAnsi="Verdana"/>
          </w:rPr>
          <w:tag w:val="goog_rdk_0"/>
          <w:id w:val="938783417"/>
        </w:sdtPr>
        <w:sdtEndPr/>
        <w:sdtContent>
          <w:r w:rsidRPr="006C4D72">
            <w:rPr>
              <w:rFonts w:ascii="Verdana" w:eastAsia="Verdana" w:hAnsi="Verdana" w:cs="Verdana"/>
              <w:color w:val="000000"/>
            </w:rPr>
            <w:t>działalność spółki obejmuje głównie sferę gospodarki</w:t>
          </w:r>
        </w:sdtContent>
      </w:sdt>
      <w:sdt>
        <w:sdtPr>
          <w:rPr>
            <w:rFonts w:ascii="Verdana" w:hAnsi="Verdana"/>
          </w:rPr>
          <w:tag w:val="goog_rdk_1"/>
          <w:id w:val="523904460"/>
        </w:sdtPr>
        <w:sdtEndPr/>
        <w:sdtContent>
          <w:r w:rsidRPr="006C4D72">
            <w:rPr>
              <w:rFonts w:ascii="Verdana" w:eastAsia="Verdana" w:hAnsi="Verdana" w:cs="Verdana"/>
              <w:color w:val="000000"/>
            </w:rPr>
            <w:t xml:space="preserve"> oraz działalność komunikacyjną i informacyjną</w:t>
          </w:r>
        </w:sdtContent>
      </w:sdt>
      <w:sdt>
        <w:sdtPr>
          <w:rPr>
            <w:rFonts w:ascii="Verdana" w:hAnsi="Verdana"/>
          </w:rPr>
          <w:tag w:val="goog_rdk_2"/>
          <w:id w:val="985231270"/>
        </w:sdtPr>
        <w:sdtEndPr/>
        <w:sdtContent>
          <w:r w:rsidRPr="006C4D72">
            <w:rPr>
              <w:rFonts w:ascii="Verdana" w:eastAsia="Verdana" w:hAnsi="Verdana" w:cs="Verdana"/>
              <w:color w:val="000000"/>
            </w:rPr>
            <w:t>,</w:t>
          </w:r>
        </w:sdtContent>
      </w:sdt>
      <w:r w:rsidRPr="006C4D72">
        <w:rPr>
          <w:rFonts w:ascii="Verdana" w:eastAsia="Verdana" w:hAnsi="Verdana" w:cs="Verdana"/>
          <w:color w:val="000000"/>
        </w:rPr>
        <w:t xml:space="preserve"> kwalifikacje osób zarządzających spółką są pożądane również w sferze prywatnego i państwowego biznesu. Stąd Spółka jest zmuszona do konkurowania na lokalnym rynku pracy o pracowników zarządzających właściwych z uwagi na profil i społeczno-gospodarcze znaczenie jej działalności. </w:t>
      </w:r>
    </w:p>
    <w:p w14:paraId="00000017" w14:textId="77777777" w:rsidR="001C36E4" w:rsidRPr="006C4D72" w:rsidRDefault="00D4281E" w:rsidP="006C4D72">
      <w:pPr>
        <w:tabs>
          <w:tab w:val="left" w:pos="4253"/>
        </w:tabs>
        <w:spacing w:before="280" w:line="360" w:lineRule="auto"/>
        <w:rPr>
          <w:rFonts w:ascii="Verdana" w:eastAsia="Verdana" w:hAnsi="Verdana" w:cs="Verdana"/>
        </w:rPr>
      </w:pPr>
      <w:r w:rsidRPr="006C4D72">
        <w:rPr>
          <w:rFonts w:ascii="Verdana" w:eastAsia="Verdana" w:hAnsi="Verdana" w:cs="Verdana"/>
        </w:rPr>
        <w:t>Mając na uwadze powyższe, w ocenie Gminy Wrocław, w niniejszej sprawie zachodzą przesłanki uzasadniające wprowadzenie odmiennych od przewidzianych w art. 4 ust. 2 Ustawy stawek wynagrodzenia, ze względu na wyjątkowe okoliczności dotyczące Agencji Rozwoju Aglomeracji Wrocławskiej S.A., co zagwarantuje Spółce pozyskanie i właściwą retencję osób zarządzających.</w:t>
      </w:r>
    </w:p>
    <w:p w14:paraId="1BAB3D5F" w14:textId="4CD3CBC7" w:rsidR="006C2AD9" w:rsidRDefault="006C2AD9" w:rsidP="006C4D72">
      <w:pPr>
        <w:spacing w:before="100" w:beforeAutospacing="1" w:line="360" w:lineRule="auto"/>
        <w:ind w:right="102" w:firstLine="6"/>
        <w:rPr>
          <w:rFonts w:ascii="Verdana" w:eastAsia="Verdana" w:hAnsi="Verdana" w:cs="Verdana"/>
        </w:rPr>
      </w:pPr>
      <w:r w:rsidRPr="006C4D72">
        <w:rPr>
          <w:rFonts w:ascii="Verdana" w:eastAsia="Verdana" w:hAnsi="Verdana" w:cs="Verdana"/>
        </w:rPr>
        <w:t>Wrocław, 13 marca 2026 r.</w:t>
      </w:r>
    </w:p>
    <w:p w14:paraId="743D7FCF" w14:textId="21A90061" w:rsidR="006C4D72" w:rsidRDefault="006C4D72" w:rsidP="006C4D72">
      <w:pPr>
        <w:spacing w:before="100" w:beforeAutospacing="1" w:line="360" w:lineRule="auto"/>
        <w:ind w:right="102" w:firstLine="6"/>
        <w:rPr>
          <w:rFonts w:ascii="Verdana" w:eastAsia="Verdana" w:hAnsi="Verdana" w:cs="Verdana"/>
        </w:rPr>
      </w:pPr>
      <w:r>
        <w:rPr>
          <w:rFonts w:ascii="Verdana" w:eastAsia="Verdana" w:hAnsi="Verdana" w:cs="Verdana"/>
        </w:rPr>
        <w:t>Dokument podpisał:</w:t>
      </w:r>
    </w:p>
    <w:p w14:paraId="6B8043E8" w14:textId="5A336D67" w:rsidR="006C4D72" w:rsidRPr="006C4D72" w:rsidRDefault="006C4D72" w:rsidP="006C4D72">
      <w:pPr>
        <w:spacing w:line="360" w:lineRule="auto"/>
        <w:ind w:right="102" w:firstLine="6"/>
        <w:rPr>
          <w:rFonts w:ascii="Verdana" w:eastAsia="Verdana" w:hAnsi="Verdana" w:cs="Verdana"/>
        </w:rPr>
      </w:pPr>
      <w:r>
        <w:rPr>
          <w:rFonts w:ascii="Verdana" w:eastAsia="Verdana" w:hAnsi="Verdana" w:cs="Verdana"/>
        </w:rPr>
        <w:t>Z up. Prezydenta Jakub Mazur Wiceprezydent Wrocławia</w:t>
      </w:r>
    </w:p>
    <w:sectPr w:rsidR="006C4D72" w:rsidRPr="006C4D72">
      <w:pgSz w:w="11760" w:h="16820"/>
      <w:pgMar w:top="1120" w:right="1340" w:bottom="993" w:left="11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64B7A895-C298-41CA-ADB3-A44B392ABF25}"/>
    <w:embedBold r:id="rId2" w:fontKey="{9E60B217-00C6-4F25-8101-1289A7033880}"/>
  </w:font>
  <w:font w:name="Georgia">
    <w:panose1 w:val="02040502050405020303"/>
    <w:charset w:val="EE"/>
    <w:family w:val="roman"/>
    <w:pitch w:val="variable"/>
    <w:sig w:usb0="00000287" w:usb1="00000000" w:usb2="00000000" w:usb3="00000000" w:csb0="0000009F" w:csb1="00000000"/>
    <w:embedItalic r:id="rId3" w:fontKey="{3B6B1DD6-20B4-4485-AB84-879BD34C7750}"/>
  </w:font>
  <w:font w:name="Verdana">
    <w:panose1 w:val="020B0604030504040204"/>
    <w:charset w:val="EE"/>
    <w:family w:val="swiss"/>
    <w:pitch w:val="variable"/>
    <w:sig w:usb0="A00006FF" w:usb1="4000205B" w:usb2="00000010" w:usb3="00000000" w:csb0="0000019F" w:csb1="00000000"/>
    <w:embedRegular r:id="rId4" w:fontKey="{0C2585FE-C174-4560-BB3B-4F1E04C1D68F}"/>
    <w:embedBold r:id="rId5" w:fontKey="{85DC37F6-0AC3-472F-9772-1FCD5C48322E}"/>
  </w:font>
  <w:font w:name="Calibri">
    <w:panose1 w:val="020F0502020204030204"/>
    <w:charset w:val="EE"/>
    <w:family w:val="swiss"/>
    <w:pitch w:val="variable"/>
    <w:sig w:usb0="E4002EFF" w:usb1="C200247B" w:usb2="00000009" w:usb3="00000000" w:csb0="000001FF" w:csb1="00000000"/>
    <w:embedRegular r:id="rId6" w:fontKey="{727100AB-290A-4AFC-9CA5-D144FCF38B9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6E4"/>
    <w:rsid w:val="000F5A02"/>
    <w:rsid w:val="001C36E4"/>
    <w:rsid w:val="002E4DDE"/>
    <w:rsid w:val="003E4436"/>
    <w:rsid w:val="004008C4"/>
    <w:rsid w:val="00443801"/>
    <w:rsid w:val="006C2AD9"/>
    <w:rsid w:val="006C4D72"/>
    <w:rsid w:val="007D1C66"/>
    <w:rsid w:val="009049E1"/>
    <w:rsid w:val="00A05079"/>
    <w:rsid w:val="00A30DD1"/>
    <w:rsid w:val="00CA01B4"/>
    <w:rsid w:val="00D4281E"/>
    <w:rsid w:val="00DE1234"/>
    <w:rsid w:val="00E53B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D21C"/>
  <w15:docId w15:val="{0819704F-B346-7948-AC8D-73E113024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outlineLvl w:val="0"/>
    </w:pPr>
    <w:rPr>
      <w:rFonts w:ascii="Cambria" w:eastAsia="Cambria" w:hAnsi="Cambria" w:cs="Cambria"/>
      <w:b/>
      <w:bCs/>
      <w:color w:val="366091"/>
      <w:sz w:val="28"/>
      <w:szCs w:val="2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pBdr>
        <w:bottom w:val="single" w:sz="8" w:space="4" w:color="4F81BD"/>
      </w:pBdr>
      <w:spacing w:after="300"/>
    </w:pPr>
    <w:rPr>
      <w:rFonts w:ascii="Cambria" w:eastAsia="Cambria" w:hAnsi="Cambria" w:cs="Cambria"/>
      <w:color w:val="17365D"/>
      <w:sz w:val="52"/>
      <w:szCs w:val="52"/>
    </w:rPr>
  </w:style>
  <w:style w:type="table" w:customStyle="1" w:styleId="TableNormal0">
    <w:name w:val="Table Normal"/>
    <w:rsid w:val="009023F9"/>
    <w:tblPr>
      <w:tblCellMar>
        <w:top w:w="0" w:type="dxa"/>
        <w:left w:w="0" w:type="dxa"/>
        <w:bottom w:w="0" w:type="dxa"/>
        <w:right w:w="0" w:type="dxa"/>
      </w:tblCellMar>
    </w:tblPr>
  </w:style>
  <w:style w:type="table" w:customStyle="1" w:styleId="TableNormal1">
    <w:name w:val="Table Normal"/>
    <w:uiPriority w:val="2"/>
    <w:semiHidden/>
    <w:unhideWhenUsed/>
    <w:qFormat/>
    <w:rsid w:val="001501A0"/>
    <w:tblPr>
      <w:tblInd w:w="0" w:type="dxa"/>
      <w:tblCellMar>
        <w:top w:w="0" w:type="dxa"/>
        <w:left w:w="0" w:type="dxa"/>
        <w:bottom w:w="0" w:type="dxa"/>
        <w:right w:w="0" w:type="dxa"/>
      </w:tblCellMar>
    </w:tblPr>
  </w:style>
  <w:style w:type="paragraph" w:styleId="Tekstpodstawowy">
    <w:name w:val="Body Text"/>
    <w:uiPriority w:val="1"/>
    <w:qFormat/>
    <w:rsid w:val="001501A0"/>
    <w:rPr>
      <w:sz w:val="25"/>
      <w:szCs w:val="25"/>
    </w:rPr>
  </w:style>
  <w:style w:type="paragraph" w:styleId="Akapitzlist">
    <w:name w:val="List Paragraph"/>
    <w:uiPriority w:val="1"/>
    <w:qFormat/>
    <w:rsid w:val="001501A0"/>
  </w:style>
  <w:style w:type="paragraph" w:customStyle="1" w:styleId="TableParagraph">
    <w:name w:val="Table Paragraph"/>
    <w:uiPriority w:val="1"/>
    <w:qFormat/>
    <w:rsid w:val="001501A0"/>
  </w:style>
  <w:style w:type="character" w:customStyle="1" w:styleId="Nagwek1Znak">
    <w:name w:val="Nagłówek 1 Znak"/>
    <w:basedOn w:val="Domylnaczcionkaakapitu"/>
    <w:uiPriority w:val="9"/>
    <w:rsid w:val="009A2B35"/>
    <w:rPr>
      <w:rFonts w:asciiTheme="majorHAnsi" w:eastAsiaTheme="majorEastAsia" w:hAnsiTheme="majorHAnsi" w:cstheme="majorBidi"/>
      <w:b/>
      <w:bCs/>
      <w:color w:val="365F91" w:themeColor="accent1" w:themeShade="BF"/>
      <w:sz w:val="28"/>
      <w:szCs w:val="28"/>
    </w:rPr>
  </w:style>
  <w:style w:type="character" w:customStyle="1" w:styleId="TytuZnak">
    <w:name w:val="Tytuł Znak"/>
    <w:basedOn w:val="Domylnaczcionkaakapitu"/>
    <w:uiPriority w:val="10"/>
    <w:rsid w:val="009A2B35"/>
    <w:rPr>
      <w:rFonts w:asciiTheme="majorHAnsi" w:eastAsiaTheme="majorEastAsia" w:hAnsiTheme="majorHAnsi" w:cstheme="majorBidi"/>
      <w:color w:val="17365D" w:themeColor="text2" w:themeShade="BF"/>
      <w:spacing w:val="5"/>
      <w:kern w:val="28"/>
      <w:sz w:val="52"/>
      <w:szCs w:val="52"/>
    </w:rPr>
  </w:style>
  <w:style w:type="character" w:styleId="Odwoaniedokomentarza">
    <w:name w:val="annotation reference"/>
    <w:basedOn w:val="Domylnaczcionkaakapitu"/>
    <w:uiPriority w:val="99"/>
    <w:semiHidden/>
    <w:unhideWhenUsed/>
    <w:rsid w:val="00355D3D"/>
    <w:rPr>
      <w:sz w:val="16"/>
      <w:szCs w:val="16"/>
    </w:rPr>
  </w:style>
  <w:style w:type="paragraph" w:styleId="Tekstkomentarza">
    <w:name w:val="annotation text"/>
    <w:link w:val="TekstkomentarzaZnak"/>
    <w:uiPriority w:val="99"/>
    <w:semiHidden/>
    <w:unhideWhenUsed/>
    <w:rsid w:val="00355D3D"/>
    <w:rPr>
      <w:sz w:val="20"/>
      <w:szCs w:val="20"/>
    </w:rPr>
  </w:style>
  <w:style w:type="character" w:customStyle="1" w:styleId="TekstkomentarzaZnak">
    <w:name w:val="Tekst komentarza Znak"/>
    <w:basedOn w:val="Domylnaczcionkaakapitu"/>
    <w:link w:val="Tekstkomentarza"/>
    <w:uiPriority w:val="99"/>
    <w:semiHidden/>
    <w:rsid w:val="00355D3D"/>
    <w:rPr>
      <w:sz w:val="20"/>
      <w:szCs w:val="20"/>
    </w:rPr>
  </w:style>
  <w:style w:type="paragraph" w:styleId="Tematkomentarza">
    <w:name w:val="annotation subject"/>
    <w:basedOn w:val="Tekstkomentarza"/>
    <w:next w:val="Tekstkomentarza"/>
    <w:link w:val="TematkomentarzaZnak"/>
    <w:uiPriority w:val="99"/>
    <w:semiHidden/>
    <w:unhideWhenUsed/>
    <w:rsid w:val="00355D3D"/>
    <w:rPr>
      <w:b/>
      <w:bCs/>
    </w:rPr>
  </w:style>
  <w:style w:type="character" w:customStyle="1" w:styleId="TematkomentarzaZnak">
    <w:name w:val="Temat komentarza Znak"/>
    <w:basedOn w:val="TekstkomentarzaZnak"/>
    <w:link w:val="Tematkomentarza"/>
    <w:uiPriority w:val="99"/>
    <w:semiHidden/>
    <w:rsid w:val="00355D3D"/>
    <w:rPr>
      <w:b/>
      <w:bCs/>
      <w:sz w:val="20"/>
      <w:szCs w:val="20"/>
    </w:rPr>
  </w:style>
  <w:style w:type="paragraph" w:styleId="Poprawka">
    <w:name w:val="Revision"/>
    <w:hidden/>
    <w:uiPriority w:val="99"/>
    <w:semiHidden/>
    <w:rsid w:val="00355D3D"/>
    <w:pPr>
      <w:widowControl/>
    </w:pPr>
  </w:style>
  <w:style w:type="character" w:styleId="Hipercze">
    <w:name w:val="Hyperlink"/>
    <w:basedOn w:val="Domylnaczcionkaakapitu"/>
    <w:uiPriority w:val="99"/>
    <w:unhideWhenUsed/>
    <w:rsid w:val="00F46FF6"/>
    <w:rPr>
      <w:color w:val="0000FF" w:themeColor="hyperlink"/>
      <w:u w:val="single"/>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styleId="NormalnyWeb">
    <w:name w:val="Normal (Web)"/>
    <w:basedOn w:val="Normalny"/>
    <w:uiPriority w:val="99"/>
    <w:semiHidden/>
    <w:unhideWhenUsed/>
    <w:rsid w:val="003E4436"/>
    <w:pPr>
      <w:widowControl/>
      <w:spacing w:before="100" w:beforeAutospacing="1" w:after="100" w:afterAutospacing="1"/>
    </w:pPr>
    <w:rPr>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roclaw.pl" TargetMode="External"/><Relationship Id="rId3" Type="http://schemas.openxmlformats.org/officeDocument/2006/relationships/settings" Target="settings.xml"/><Relationship Id="rId7" Type="http://schemas.openxmlformats.org/officeDocument/2006/relationships/hyperlink" Target="http://wroclaw.p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roclaw.pl" TargetMode="External"/><Relationship Id="rId11" Type="http://schemas.openxmlformats.org/officeDocument/2006/relationships/theme" Target="theme/theme1.xml"/><Relationship Id="rId5" Type="http://schemas.openxmlformats.org/officeDocument/2006/relationships/hyperlink" Target="http://www.wroclaw.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roclaw.p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BfJHZo04EvAmb84htVSDaEHcdg==">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1489</Words>
  <Characters>8936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Jezierska</dc:creator>
  <cp:lastModifiedBy>Ochman Elżbieta</cp:lastModifiedBy>
  <cp:revision>38</cp:revision>
  <cp:lastPrinted>2026-03-23T09:01:00Z</cp:lastPrinted>
  <dcterms:created xsi:type="dcterms:W3CDTF">2026-03-12T09:21:00Z</dcterms:created>
  <dcterms:modified xsi:type="dcterms:W3CDTF">2026-03-31T08:42:00Z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KMBT_361</vt:lpwstr>
  </property>
  <property fmtid="{D5CDD505-2E9C-101B-9397-08002B2CF9AE}" pid="4" name="LastSaved">
    <vt:filetime>2021-03-15T00:00:00Z</vt:filetime>
  </property>
</Properties>
</file>