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20D11" w14:textId="77777777" w:rsidR="00D314BC" w:rsidRDefault="00D314BC" w:rsidP="007B344C">
      <w:pPr>
        <w:spacing w:line="360" w:lineRule="auto"/>
        <w:ind w:right="110"/>
        <w:jc w:val="right"/>
        <w:rPr>
          <w:rFonts w:ascii="Verdana" w:hAnsi="Verdana"/>
          <w:color w:val="000000"/>
          <w:sz w:val="20"/>
          <w:szCs w:val="20"/>
        </w:rPr>
      </w:pPr>
    </w:p>
    <w:p w14:paraId="6F070BB2" w14:textId="1F608F57" w:rsidR="001630B0" w:rsidRPr="001630B0" w:rsidRDefault="001630B0" w:rsidP="007B344C">
      <w:pPr>
        <w:spacing w:line="360" w:lineRule="auto"/>
        <w:ind w:right="110"/>
        <w:jc w:val="right"/>
        <w:rPr>
          <w:rFonts w:ascii="Verdana" w:hAnsi="Verdana"/>
          <w:color w:val="000000"/>
          <w:sz w:val="20"/>
          <w:szCs w:val="20"/>
        </w:rPr>
      </w:pPr>
      <w:r w:rsidRPr="001630B0">
        <w:rPr>
          <w:rFonts w:ascii="Verdana" w:hAnsi="Verdana"/>
          <w:color w:val="000000"/>
          <w:sz w:val="20"/>
          <w:szCs w:val="20"/>
        </w:rPr>
        <w:t xml:space="preserve">Wrocław, dnia </w:t>
      </w:r>
      <w:r w:rsidR="00D314BC">
        <w:rPr>
          <w:rFonts w:ascii="Verdana" w:hAnsi="Verdana"/>
          <w:color w:val="000000"/>
          <w:sz w:val="20"/>
          <w:szCs w:val="20"/>
        </w:rPr>
        <w:t>12</w:t>
      </w:r>
      <w:r w:rsidRPr="001630B0">
        <w:rPr>
          <w:rFonts w:ascii="Verdana" w:hAnsi="Verdana"/>
          <w:color w:val="000000"/>
          <w:sz w:val="20"/>
          <w:szCs w:val="20"/>
        </w:rPr>
        <w:t xml:space="preserve"> marca 2026 r.</w:t>
      </w:r>
    </w:p>
    <w:p w14:paraId="6D73D70D" w14:textId="77777777" w:rsidR="001630B0" w:rsidRDefault="001630B0" w:rsidP="007B344C">
      <w:pPr>
        <w:spacing w:line="360" w:lineRule="auto"/>
        <w:ind w:right="110"/>
        <w:jc w:val="both"/>
        <w:rPr>
          <w:rFonts w:ascii="Verdana" w:hAnsi="Verdana"/>
          <w:b/>
          <w:bCs/>
          <w:color w:val="000000"/>
          <w:sz w:val="20"/>
          <w:szCs w:val="20"/>
        </w:rPr>
      </w:pPr>
    </w:p>
    <w:p w14:paraId="3E30EC22" w14:textId="100E0B02" w:rsidR="00A13C95" w:rsidRPr="001630B0" w:rsidRDefault="00A13C95" w:rsidP="007B344C">
      <w:pPr>
        <w:spacing w:line="360" w:lineRule="auto"/>
        <w:ind w:right="110"/>
        <w:jc w:val="both"/>
        <w:rPr>
          <w:rFonts w:ascii="Verdana" w:hAnsi="Verdana"/>
          <w:color w:val="000000"/>
          <w:sz w:val="20"/>
          <w:szCs w:val="20"/>
        </w:rPr>
      </w:pPr>
      <w:r w:rsidRPr="001630B0">
        <w:rPr>
          <w:rFonts w:ascii="Verdana" w:hAnsi="Verdana"/>
          <w:color w:val="000000"/>
          <w:sz w:val="20"/>
          <w:szCs w:val="20"/>
        </w:rPr>
        <w:t>Dotyczy: Zaproszenia nr 1/DEU</w:t>
      </w:r>
      <w:r w:rsidR="001630B0">
        <w:rPr>
          <w:rFonts w:ascii="Verdana" w:hAnsi="Verdana"/>
          <w:color w:val="000000"/>
          <w:sz w:val="20"/>
          <w:szCs w:val="20"/>
        </w:rPr>
        <w:t>/</w:t>
      </w:r>
      <w:r w:rsidRPr="001630B0">
        <w:rPr>
          <w:rFonts w:ascii="Verdana" w:hAnsi="Verdana"/>
          <w:color w:val="000000"/>
          <w:sz w:val="20"/>
          <w:szCs w:val="20"/>
        </w:rPr>
        <w:t>2026</w:t>
      </w:r>
    </w:p>
    <w:p w14:paraId="71DCFBCC" w14:textId="45B4ADE8" w:rsidR="00A13C95" w:rsidRDefault="00A13C95" w:rsidP="007B344C">
      <w:pPr>
        <w:spacing w:line="360" w:lineRule="auto"/>
        <w:ind w:right="110"/>
        <w:jc w:val="both"/>
        <w:rPr>
          <w:rFonts w:ascii="Verdana" w:hAnsi="Verdana"/>
          <w:b/>
          <w:bCs/>
          <w:color w:val="000000"/>
          <w:sz w:val="20"/>
          <w:szCs w:val="20"/>
        </w:rPr>
      </w:pPr>
    </w:p>
    <w:p w14:paraId="001C810F" w14:textId="30729C14" w:rsidR="00A13C95" w:rsidRPr="00A13C95" w:rsidRDefault="00A13C95" w:rsidP="007B344C">
      <w:pPr>
        <w:keepNext/>
        <w:keepLines/>
        <w:spacing w:line="360" w:lineRule="auto"/>
        <w:jc w:val="center"/>
        <w:outlineLvl w:val="0"/>
        <w:rPr>
          <w:rFonts w:ascii="Verdana" w:eastAsiaTheme="majorEastAsia" w:hAnsi="Verdana" w:cstheme="majorBidi"/>
          <w:b/>
          <w:bCs/>
          <w:sz w:val="20"/>
          <w:szCs w:val="20"/>
          <w:lang w:eastAsia="en-US"/>
        </w:rPr>
      </w:pPr>
      <w:r w:rsidRPr="00A13C95">
        <w:rPr>
          <w:rFonts w:ascii="Verdana" w:eastAsiaTheme="majorEastAsia" w:hAnsi="Verdana" w:cstheme="majorBidi"/>
          <w:b/>
          <w:bCs/>
          <w:sz w:val="20"/>
          <w:szCs w:val="20"/>
          <w:lang w:eastAsia="en-US"/>
        </w:rPr>
        <w:t>Odpowiedzi na</w:t>
      </w:r>
      <w:r w:rsidR="007B344C">
        <w:rPr>
          <w:rFonts w:ascii="Verdana" w:eastAsiaTheme="majorEastAsia" w:hAnsi="Verdana" w:cstheme="majorBidi"/>
          <w:b/>
          <w:bCs/>
          <w:sz w:val="20"/>
          <w:szCs w:val="20"/>
          <w:lang w:eastAsia="en-US"/>
        </w:rPr>
        <w:t xml:space="preserve"> kolejne</w:t>
      </w:r>
      <w:r w:rsidRPr="00A13C95">
        <w:rPr>
          <w:rFonts w:ascii="Verdana" w:eastAsiaTheme="majorEastAsia" w:hAnsi="Verdana" w:cstheme="majorBidi"/>
          <w:b/>
          <w:bCs/>
          <w:sz w:val="20"/>
          <w:szCs w:val="20"/>
          <w:lang w:eastAsia="en-US"/>
        </w:rPr>
        <w:t xml:space="preserve"> zapytania do treści zaproszenia do składania „Koncepcji utworzenia i prowadzenia szkoły podstawowej i ponadpodstawowej z</w:t>
      </w:r>
      <w:r w:rsidR="007B344C">
        <w:rPr>
          <w:rFonts w:ascii="Verdana" w:eastAsiaTheme="majorEastAsia" w:hAnsi="Verdana" w:cstheme="majorBidi"/>
          <w:b/>
          <w:bCs/>
          <w:sz w:val="20"/>
          <w:szCs w:val="20"/>
          <w:lang w:eastAsia="en-US"/>
        </w:rPr>
        <w:t> </w:t>
      </w:r>
      <w:r w:rsidRPr="00A13C95">
        <w:rPr>
          <w:rFonts w:ascii="Verdana" w:eastAsiaTheme="majorEastAsia" w:hAnsi="Verdana" w:cstheme="majorBidi"/>
          <w:b/>
          <w:bCs/>
          <w:sz w:val="20"/>
          <w:szCs w:val="20"/>
          <w:lang w:eastAsia="en-US"/>
        </w:rPr>
        <w:t>oddziałami międzynarodowymi w nieruchomości stanowiącej własność Gminy Wrocław przy Alei Akacjowej 10-12 we Wrocławiu”.</w:t>
      </w:r>
    </w:p>
    <w:p w14:paraId="3F806D3B" w14:textId="3CEB4301" w:rsidR="00A13C95" w:rsidRDefault="00A13C95" w:rsidP="007B344C">
      <w:pPr>
        <w:spacing w:line="360" w:lineRule="auto"/>
        <w:ind w:right="110"/>
        <w:jc w:val="both"/>
        <w:rPr>
          <w:rFonts w:ascii="Verdana" w:hAnsi="Verdana"/>
          <w:b/>
          <w:bCs/>
          <w:color w:val="000000"/>
          <w:sz w:val="20"/>
          <w:szCs w:val="20"/>
        </w:rPr>
      </w:pPr>
    </w:p>
    <w:p w14:paraId="6385F451" w14:textId="1E21D3C3" w:rsidR="00D314BC" w:rsidRDefault="00AF4020" w:rsidP="00D314BC">
      <w:pPr>
        <w:pStyle w:val="Default"/>
        <w:suppressAutoHyphens/>
        <w:spacing w:line="360" w:lineRule="auto"/>
        <w:rPr>
          <w:i/>
          <w:iCs/>
          <w:sz w:val="20"/>
          <w:szCs w:val="20"/>
        </w:rPr>
      </w:pPr>
      <w:r w:rsidRPr="00A13C95">
        <w:rPr>
          <w:b/>
          <w:bCs/>
          <w:sz w:val="20"/>
          <w:szCs w:val="20"/>
        </w:rPr>
        <w:t>Pytanie</w:t>
      </w:r>
      <w:r w:rsidR="00A13C95" w:rsidRPr="00A13C95">
        <w:rPr>
          <w:b/>
          <w:bCs/>
          <w:sz w:val="20"/>
          <w:szCs w:val="20"/>
        </w:rPr>
        <w:t xml:space="preserve"> 1</w:t>
      </w:r>
      <w:r w:rsidR="00D314BC">
        <w:rPr>
          <w:b/>
          <w:bCs/>
          <w:sz w:val="20"/>
          <w:szCs w:val="20"/>
        </w:rPr>
        <w:t xml:space="preserve">5. </w:t>
      </w:r>
      <w:r w:rsidR="00D314BC">
        <w:rPr>
          <w:i/>
          <w:iCs/>
          <w:sz w:val="20"/>
          <w:szCs w:val="20"/>
        </w:rPr>
        <w:t>Czy organizator dopuszcza możliwość przystąpienia do konkursu przez konsorcjum kilku podmiotów (np. podmiotów edukacyjnych lub edukacyjno-inwestycyjnych)? Jeśli tak, prosimy o wskazanie ewentualnych wymogów formalnych dotyczących takiej formy udziału.</w:t>
      </w:r>
    </w:p>
    <w:p w14:paraId="24FAB44C" w14:textId="77777777" w:rsidR="00D314BC" w:rsidRPr="00410768" w:rsidRDefault="00D314BC" w:rsidP="00620488">
      <w:pPr>
        <w:pStyle w:val="Default"/>
        <w:suppressAutoHyphens/>
        <w:spacing w:before="120" w:line="360" w:lineRule="auto"/>
        <w:rPr>
          <w:sz w:val="20"/>
          <w:szCs w:val="20"/>
        </w:rPr>
      </w:pPr>
      <w:r>
        <w:rPr>
          <w:b/>
          <w:bCs/>
          <w:sz w:val="20"/>
          <w:szCs w:val="20"/>
        </w:rPr>
        <w:t xml:space="preserve">Odpowiedź: </w:t>
      </w:r>
      <w:r>
        <w:rPr>
          <w:sz w:val="20"/>
          <w:szCs w:val="20"/>
        </w:rPr>
        <w:t xml:space="preserve">Adresatem Zaproszenia nr 1/DEU/2026 z dnia 6 lutego 2026 r. są osoby fizyczne i prawne (część II Zaproszenia). </w:t>
      </w:r>
    </w:p>
    <w:p w14:paraId="40E39E87" w14:textId="77777777" w:rsidR="00D314BC" w:rsidRDefault="00D314BC" w:rsidP="00D314BC">
      <w:pPr>
        <w:pStyle w:val="Default"/>
        <w:suppressAutoHyphens/>
        <w:spacing w:line="360" w:lineRule="auto"/>
        <w:rPr>
          <w:sz w:val="20"/>
          <w:szCs w:val="20"/>
        </w:rPr>
      </w:pPr>
      <w:r>
        <w:rPr>
          <w:sz w:val="20"/>
          <w:szCs w:val="20"/>
        </w:rPr>
        <w:t xml:space="preserve">Ponadto, zgodnie z art. 8 ust. 2 ustawy z dnia 14 grudnia 2016 r. Prawo oświatowe (Dz.U. z 2025 r. poz. 1043 ze zm.), „szkoła i placówka (…) może być zakładana i prowadzona przez: </w:t>
      </w:r>
    </w:p>
    <w:p w14:paraId="77456F7D" w14:textId="77777777" w:rsidR="00D314BC" w:rsidRDefault="00D314BC" w:rsidP="00D314BC">
      <w:pPr>
        <w:pStyle w:val="Default"/>
        <w:suppressAutoHyphens/>
        <w:spacing w:line="360" w:lineRule="auto"/>
        <w:rPr>
          <w:sz w:val="20"/>
          <w:szCs w:val="20"/>
        </w:rPr>
      </w:pPr>
      <w:r>
        <w:rPr>
          <w:sz w:val="20"/>
          <w:szCs w:val="20"/>
        </w:rPr>
        <w:t>1) jednostkę samorządu terytorialnego;</w:t>
      </w:r>
    </w:p>
    <w:p w14:paraId="3DD3156E" w14:textId="77777777" w:rsidR="00D314BC" w:rsidRDefault="00D314BC" w:rsidP="00D314BC">
      <w:pPr>
        <w:pStyle w:val="Default"/>
        <w:suppressAutoHyphens/>
        <w:spacing w:line="360" w:lineRule="auto"/>
        <w:rPr>
          <w:sz w:val="20"/>
          <w:szCs w:val="20"/>
        </w:rPr>
      </w:pPr>
      <w:r>
        <w:rPr>
          <w:sz w:val="20"/>
          <w:szCs w:val="20"/>
        </w:rPr>
        <w:t>2) inną osobę prawną;</w:t>
      </w:r>
    </w:p>
    <w:p w14:paraId="65EA0316" w14:textId="77777777" w:rsidR="00D314BC" w:rsidRDefault="00D314BC" w:rsidP="00D314BC">
      <w:pPr>
        <w:pStyle w:val="Default"/>
        <w:suppressAutoHyphens/>
        <w:spacing w:line="360" w:lineRule="auto"/>
        <w:rPr>
          <w:sz w:val="20"/>
          <w:szCs w:val="20"/>
        </w:rPr>
      </w:pPr>
      <w:r>
        <w:rPr>
          <w:sz w:val="20"/>
          <w:szCs w:val="20"/>
        </w:rPr>
        <w:t>3) osobę fizyczną”.</w:t>
      </w:r>
    </w:p>
    <w:p w14:paraId="5D8552EF" w14:textId="77777777" w:rsidR="00D314BC" w:rsidRDefault="00D314BC" w:rsidP="00D314BC">
      <w:pPr>
        <w:pStyle w:val="Default"/>
        <w:suppressAutoHyphens/>
        <w:spacing w:line="360" w:lineRule="auto"/>
        <w:rPr>
          <w:sz w:val="20"/>
          <w:szCs w:val="20"/>
        </w:rPr>
      </w:pPr>
      <w:r>
        <w:rPr>
          <w:sz w:val="20"/>
          <w:szCs w:val="20"/>
        </w:rPr>
        <w:t xml:space="preserve">Podmiot składający koncepcję powinien spełniać warunek zapisany w części II Zaproszenia. Załączniki dotyczące oferenta ujęte zostały w części VII (załączniki obligatoryjne) oraz w części VIII (inne załączniki nieobligatoryjne). </w:t>
      </w:r>
    </w:p>
    <w:p w14:paraId="5ECB82E6" w14:textId="77777777" w:rsidR="00D314BC" w:rsidRDefault="00D314BC" w:rsidP="00D314BC">
      <w:pPr>
        <w:pStyle w:val="Default"/>
        <w:suppressAutoHyphens/>
        <w:spacing w:line="360" w:lineRule="auto"/>
        <w:rPr>
          <w:sz w:val="20"/>
          <w:szCs w:val="20"/>
        </w:rPr>
      </w:pPr>
    </w:p>
    <w:p w14:paraId="406996DC" w14:textId="7475E87F" w:rsidR="00D314BC" w:rsidRDefault="00D314BC" w:rsidP="00D314BC">
      <w:pPr>
        <w:pStyle w:val="Default"/>
        <w:suppressAutoHyphens/>
        <w:spacing w:line="360" w:lineRule="auto"/>
        <w:rPr>
          <w:i/>
          <w:iCs/>
          <w:sz w:val="20"/>
          <w:szCs w:val="20"/>
        </w:rPr>
      </w:pPr>
      <w:r>
        <w:rPr>
          <w:b/>
          <w:bCs/>
          <w:sz w:val="20"/>
          <w:szCs w:val="20"/>
        </w:rPr>
        <w:t>Pytanie 16.</w:t>
      </w:r>
      <w:r>
        <w:rPr>
          <w:sz w:val="20"/>
          <w:szCs w:val="20"/>
        </w:rPr>
        <w:t xml:space="preserve"> </w:t>
      </w:r>
      <w:r>
        <w:rPr>
          <w:i/>
          <w:iCs/>
          <w:sz w:val="20"/>
          <w:szCs w:val="20"/>
        </w:rPr>
        <w:t xml:space="preserve">W kryteriach oceny wskazano element „Koncepcja adaptacji budynku”. Czy organizator określił szczegółowe wytyczne lub kryteria, które należy uwzględnić przy opracowaniu koncepcji adaptacji budynku (np. wymagania funkcjonalne, ograniczenia techniczne, wytyczne miejskiego konserwatora zabytków, maksymalną liczbę uczniów, standardy powierzchniowe itp.)? </w:t>
      </w:r>
    </w:p>
    <w:p w14:paraId="2DCD3F94" w14:textId="77777777" w:rsidR="00D314BC" w:rsidRDefault="00D314BC" w:rsidP="00620488">
      <w:pPr>
        <w:pStyle w:val="11Trescpisma"/>
        <w:suppressAutoHyphens/>
        <w:spacing w:before="120" w:line="360" w:lineRule="auto"/>
        <w:jc w:val="left"/>
        <w:rPr>
          <w:color w:val="000000"/>
          <w:szCs w:val="22"/>
        </w:rPr>
      </w:pPr>
      <w:r w:rsidRPr="00A00663">
        <w:rPr>
          <w:b/>
          <w:bCs/>
          <w:szCs w:val="20"/>
        </w:rPr>
        <w:t>Odpowiedź:</w:t>
      </w:r>
      <w:r w:rsidRPr="00A00663">
        <w:rPr>
          <w:szCs w:val="20"/>
        </w:rPr>
        <w:t xml:space="preserve"> </w:t>
      </w:r>
      <w:bookmarkStart w:id="0" w:name="_Hlk222229264"/>
      <w:r>
        <w:rPr>
          <w:color w:val="000000"/>
          <w:szCs w:val="22"/>
        </w:rPr>
        <w:t xml:space="preserve">Złożone przez oferenta dokumenty powinny zawierać koncepcję utworzenia, funkcjonowania i rozwoju szkoły podstawowej i ponadpodstawowej z oddziałami międzynarodowymi m.in. w obszarze ewentualnej adaptacji budynku i nieruchomości </w:t>
      </w:r>
      <w:r>
        <w:rPr>
          <w:color w:val="000000"/>
          <w:szCs w:val="22"/>
        </w:rPr>
        <w:lastRenderedPageBreak/>
        <w:t xml:space="preserve">gruntowej, w tym wyszczególnienie zakresu planowanych prac remontowych oraz harmonogram prac adaptacyjnych obiektu (część V pkt 1 </w:t>
      </w:r>
      <w:proofErr w:type="spellStart"/>
      <w:r>
        <w:rPr>
          <w:color w:val="000000"/>
          <w:szCs w:val="22"/>
        </w:rPr>
        <w:t>ppkt</w:t>
      </w:r>
      <w:proofErr w:type="spellEnd"/>
      <w:r>
        <w:rPr>
          <w:color w:val="000000"/>
          <w:szCs w:val="22"/>
        </w:rPr>
        <w:t xml:space="preserve"> 4 i 7 Zaproszenia). Ponadto w Zaproszeniu ujęto, że „nieruchomość wskazana do realizacji ww. zadania powinna być przystosowana przez oferenta do prowadzenia danej formy kształcenia zgodnie z obowiązującymi przepisami prawa” (część V pkt 1 </w:t>
      </w:r>
      <w:proofErr w:type="spellStart"/>
      <w:r>
        <w:rPr>
          <w:color w:val="000000"/>
          <w:szCs w:val="22"/>
        </w:rPr>
        <w:t>ppkt</w:t>
      </w:r>
      <w:proofErr w:type="spellEnd"/>
      <w:r>
        <w:rPr>
          <w:color w:val="000000"/>
          <w:szCs w:val="22"/>
        </w:rPr>
        <w:t xml:space="preserve"> 5 Zaproszenia) oraz „w przypadku przewidywanej adaptacji obiektu oferent powinien uzyskać zgodę właściwego organu. Oferent jest zobowiązany do przestrzegania stosownych przepisów prawa przy realizacji koncepcji, a w szczególności do uzyskania wszelkich zezwoleń, decyzji, pozwoleń zgodnie z wymogami prawa związanych z pracami dostosowawczymi na nieruchomości oraz planowaną działalnością edukacyjną” (część V pkt 1 </w:t>
      </w:r>
      <w:proofErr w:type="spellStart"/>
      <w:r>
        <w:rPr>
          <w:color w:val="000000"/>
          <w:szCs w:val="22"/>
        </w:rPr>
        <w:t>ppkt</w:t>
      </w:r>
      <w:proofErr w:type="spellEnd"/>
      <w:r>
        <w:rPr>
          <w:color w:val="000000"/>
          <w:szCs w:val="22"/>
        </w:rPr>
        <w:t xml:space="preserve"> 6). </w:t>
      </w:r>
    </w:p>
    <w:bookmarkEnd w:id="0"/>
    <w:p w14:paraId="360CD972" w14:textId="77777777" w:rsidR="00D314BC" w:rsidRPr="009350CC" w:rsidRDefault="00D314BC" w:rsidP="00D314BC">
      <w:pPr>
        <w:pStyle w:val="11Trescpisma"/>
        <w:suppressAutoHyphens/>
        <w:spacing w:before="0" w:line="360" w:lineRule="auto"/>
        <w:jc w:val="left"/>
        <w:rPr>
          <w:rFonts w:cs="Calibri"/>
          <w:sz w:val="22"/>
          <w:szCs w:val="22"/>
        </w:rPr>
      </w:pPr>
      <w:r>
        <w:rPr>
          <w:szCs w:val="20"/>
        </w:rPr>
        <w:t>W dniu 10 marca 2026 r.</w:t>
      </w:r>
      <w:r w:rsidRPr="00B63ED3">
        <w:rPr>
          <w:szCs w:val="20"/>
        </w:rPr>
        <w:t xml:space="preserve"> na stronie Biuletynu Informacji Publicznej Urzędu Miejskiego Wrocławia, w zakładce „Tablica ogłoszeń” opublikowane zostało zawiadomienie w</w:t>
      </w:r>
      <w:r>
        <w:rPr>
          <w:szCs w:val="20"/>
        </w:rPr>
        <w:t> </w:t>
      </w:r>
      <w:r w:rsidRPr="00B63ED3">
        <w:rPr>
          <w:szCs w:val="20"/>
        </w:rPr>
        <w:t xml:space="preserve">sprawie wizji lokalnej </w:t>
      </w:r>
      <w:r w:rsidRPr="00B63ED3">
        <w:rPr>
          <w:rFonts w:cs="Calibri"/>
          <w:szCs w:val="20"/>
        </w:rPr>
        <w:t>nieruchomości położonej przy Al. Akacjowej 10-12 we Wrocławiu</w:t>
      </w:r>
      <w:r>
        <w:rPr>
          <w:rFonts w:cs="Calibri"/>
          <w:szCs w:val="20"/>
        </w:rPr>
        <w:t xml:space="preserve">. </w:t>
      </w:r>
      <w:r>
        <w:rPr>
          <w:rFonts w:cs="Calibri"/>
          <w:sz w:val="22"/>
          <w:szCs w:val="22"/>
        </w:rPr>
        <w:t xml:space="preserve"> </w:t>
      </w:r>
    </w:p>
    <w:p w14:paraId="25FECB99" w14:textId="77777777" w:rsidR="00D314BC" w:rsidRPr="00B63ED3" w:rsidRDefault="00D314BC" w:rsidP="00D314BC">
      <w:pPr>
        <w:pStyle w:val="11Trescpisma"/>
        <w:suppressAutoHyphens/>
        <w:spacing w:before="0" w:line="360" w:lineRule="auto"/>
        <w:jc w:val="left"/>
        <w:rPr>
          <w:rFonts w:cs="Calibri"/>
          <w:szCs w:val="20"/>
        </w:rPr>
      </w:pPr>
      <w:r w:rsidRPr="00B63ED3">
        <w:rPr>
          <w:rFonts w:cs="Calibri"/>
          <w:szCs w:val="20"/>
        </w:rPr>
        <w:t xml:space="preserve">Chęć uczestniczenia w wizji lokalnej należy zgłaszać na adres e-mail </w:t>
      </w:r>
      <w:hyperlink r:id="rId6" w:history="1">
        <w:r w:rsidRPr="00B63ED3">
          <w:rPr>
            <w:rStyle w:val="Hipercze"/>
            <w:rFonts w:cs="Calibri"/>
            <w:szCs w:val="20"/>
          </w:rPr>
          <w:t>wnk@um.wroc.pl</w:t>
        </w:r>
      </w:hyperlink>
      <w:r>
        <w:rPr>
          <w:rFonts w:cs="Calibri"/>
          <w:szCs w:val="20"/>
        </w:rPr>
        <w:t>,</w:t>
      </w:r>
    </w:p>
    <w:p w14:paraId="3AD5769D" w14:textId="77777777" w:rsidR="00D314BC" w:rsidRPr="00B63ED3" w:rsidRDefault="00D314BC" w:rsidP="00D314BC">
      <w:pPr>
        <w:pStyle w:val="11Trescpisma"/>
        <w:suppressAutoHyphens/>
        <w:spacing w:before="0" w:line="360" w:lineRule="auto"/>
        <w:jc w:val="left"/>
        <w:rPr>
          <w:rFonts w:cs="Calibri"/>
          <w:szCs w:val="20"/>
        </w:rPr>
      </w:pPr>
      <w:r w:rsidRPr="00B63ED3">
        <w:rPr>
          <w:rFonts w:cs="Calibri"/>
          <w:szCs w:val="20"/>
        </w:rPr>
        <w:t>w terminie do dnia 12 marca 2026 r. do godziny 15:00.</w:t>
      </w:r>
      <w:r>
        <w:rPr>
          <w:rFonts w:cs="Calibri"/>
          <w:szCs w:val="20"/>
        </w:rPr>
        <w:t xml:space="preserve"> </w:t>
      </w:r>
      <w:r w:rsidRPr="00B63ED3">
        <w:rPr>
          <w:rFonts w:cs="Calibri"/>
          <w:szCs w:val="20"/>
        </w:rPr>
        <w:t xml:space="preserve">Ze względów organizacyjnych w wizji lokalnej będzie mógł wziąć udział 1 reprezentant z każdego zainteresowanego podmiotu. </w:t>
      </w:r>
    </w:p>
    <w:p w14:paraId="20748322" w14:textId="1114DB8E" w:rsidR="00D314BC" w:rsidRPr="00D314BC" w:rsidRDefault="006435A1" w:rsidP="00D314BC">
      <w:pPr>
        <w:spacing w:line="360" w:lineRule="auto"/>
        <w:ind w:right="110"/>
        <w:rPr>
          <w:rFonts w:ascii="Verdana" w:hAnsi="Verdana"/>
          <w:b/>
          <w:bCs/>
          <w:color w:val="000000"/>
          <w:sz w:val="20"/>
          <w:szCs w:val="20"/>
        </w:rPr>
      </w:pPr>
      <w:r>
        <w:rPr>
          <w:rFonts w:ascii="Verdana" w:hAnsi="Verdana"/>
          <w:sz w:val="20"/>
          <w:szCs w:val="20"/>
        </w:rPr>
        <w:t>Z</w:t>
      </w:r>
      <w:r w:rsidR="00D314BC" w:rsidRPr="00D314BC">
        <w:rPr>
          <w:rFonts w:ascii="Verdana" w:hAnsi="Verdana"/>
          <w:sz w:val="20"/>
          <w:szCs w:val="20"/>
        </w:rPr>
        <w:t>godnie z art.170 ustawy z dnia 14 grudnia 2016 r. Prawo oświatowe (Dz.U. z 2025 r. poz. 1043 ze zm.) „p</w:t>
      </w:r>
      <w:r w:rsidR="00D314BC" w:rsidRPr="00D314BC">
        <w:rPr>
          <w:rFonts w:ascii="Verdana" w:hAnsi="Verdana" w:cs="Open Sans"/>
          <w:color w:val="333333"/>
          <w:sz w:val="20"/>
          <w:szCs w:val="20"/>
          <w:shd w:val="clear" w:color="auto" w:fill="FFFFFF"/>
        </w:rPr>
        <w:t>rowadzenie szkoły lub placówki, zespołu (…) nie jest działalnością gospodarczą”.</w:t>
      </w:r>
    </w:p>
    <w:p w14:paraId="53A09D8C" w14:textId="7A5E6237" w:rsidR="00D314BC" w:rsidRDefault="00D314BC" w:rsidP="007B344C">
      <w:pPr>
        <w:spacing w:line="360" w:lineRule="auto"/>
        <w:ind w:right="110"/>
        <w:rPr>
          <w:rFonts w:ascii="Verdana" w:hAnsi="Verdana"/>
          <w:b/>
          <w:bCs/>
          <w:color w:val="000000"/>
          <w:sz w:val="20"/>
          <w:szCs w:val="20"/>
        </w:rPr>
      </w:pPr>
    </w:p>
    <w:p w14:paraId="11EAD916" w14:textId="7996D344" w:rsidR="00923408" w:rsidRDefault="00923408" w:rsidP="007B344C">
      <w:pPr>
        <w:spacing w:line="360" w:lineRule="auto"/>
        <w:ind w:right="110"/>
        <w:rPr>
          <w:rFonts w:ascii="Verdana" w:hAnsi="Verdana"/>
          <w:b/>
          <w:bCs/>
          <w:color w:val="000000"/>
          <w:sz w:val="20"/>
          <w:szCs w:val="20"/>
        </w:rPr>
      </w:pPr>
    </w:p>
    <w:p w14:paraId="2A33D356" w14:textId="37C4AD25" w:rsidR="00923408" w:rsidRPr="00923408" w:rsidRDefault="00923408" w:rsidP="007B344C">
      <w:pPr>
        <w:spacing w:line="360" w:lineRule="auto"/>
        <w:ind w:right="110"/>
        <w:rPr>
          <w:rFonts w:ascii="Verdana" w:hAnsi="Verdana"/>
          <w:color w:val="000000"/>
          <w:sz w:val="20"/>
          <w:szCs w:val="20"/>
        </w:rPr>
      </w:pPr>
      <w:r w:rsidRPr="00923408">
        <w:rPr>
          <w:rFonts w:ascii="Verdana" w:hAnsi="Verdana"/>
          <w:color w:val="000000"/>
          <w:sz w:val="20"/>
          <w:szCs w:val="20"/>
        </w:rPr>
        <w:t>Zastępca Dyrektora Departamentu</w:t>
      </w:r>
    </w:p>
    <w:p w14:paraId="0F334208" w14:textId="57C2EC94" w:rsidR="00923408" w:rsidRPr="00923408" w:rsidRDefault="00923408" w:rsidP="007B344C">
      <w:pPr>
        <w:spacing w:line="360" w:lineRule="auto"/>
        <w:ind w:right="110"/>
        <w:rPr>
          <w:rFonts w:ascii="Verdana" w:hAnsi="Verdana"/>
          <w:color w:val="000000"/>
          <w:sz w:val="20"/>
          <w:szCs w:val="20"/>
        </w:rPr>
      </w:pPr>
      <w:r w:rsidRPr="00923408">
        <w:rPr>
          <w:rFonts w:ascii="Verdana" w:hAnsi="Verdana"/>
          <w:color w:val="000000"/>
          <w:sz w:val="20"/>
          <w:szCs w:val="20"/>
        </w:rPr>
        <w:t>Marcin Miedziński</w:t>
      </w:r>
    </w:p>
    <w:sectPr w:rsidR="00923408" w:rsidRPr="00923408" w:rsidSect="001E0DF0">
      <w:headerReference w:type="default" r:id="rId7"/>
      <w:headerReference w:type="first" r:id="rId8"/>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A9785" w14:textId="77777777" w:rsidR="001630B0" w:rsidRDefault="001630B0" w:rsidP="001630B0">
      <w:r>
        <w:separator/>
      </w:r>
    </w:p>
  </w:endnote>
  <w:endnote w:type="continuationSeparator" w:id="0">
    <w:p w14:paraId="69EB54C3" w14:textId="77777777" w:rsidR="001630B0" w:rsidRDefault="001630B0" w:rsidP="00163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8AEC3" w14:textId="77777777" w:rsidR="001630B0" w:rsidRDefault="001630B0" w:rsidP="001630B0">
      <w:r>
        <w:separator/>
      </w:r>
    </w:p>
  </w:footnote>
  <w:footnote w:type="continuationSeparator" w:id="0">
    <w:p w14:paraId="0C516A69" w14:textId="77777777" w:rsidR="001630B0" w:rsidRDefault="001630B0" w:rsidP="00163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A10ED" w14:textId="08BA3B70" w:rsidR="001630B0" w:rsidRDefault="001630B0" w:rsidP="001630B0">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2A1E9" w14:textId="6B86FC65" w:rsidR="001E0DF0" w:rsidRDefault="001E0DF0" w:rsidP="001E0DF0">
    <w:pPr>
      <w:pStyle w:val="Nagwek"/>
      <w:jc w:val="right"/>
    </w:pPr>
    <w:r>
      <w:rPr>
        <w:noProof/>
      </w:rPr>
      <w:drawing>
        <wp:inline distT="0" distB="0" distL="0" distR="0" wp14:anchorId="348D9E30" wp14:editId="37FA55B4">
          <wp:extent cx="2170430" cy="1621790"/>
          <wp:effectExtent l="19050" t="0" r="1270" b="0"/>
          <wp:docPr id="11" name="Obraz 11" descr="WFI_[DEU]_[WFI-Wydzial Finansow i Infrastruktury Oswiatowej]_naglow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FI_[DEU]_[WFI-Wydzial Finansow i Infrastruktury Oswiatowej]_naglowek"/>
                  <pic:cNvPicPr>
                    <a:picLocks noChangeAspect="1" noChangeArrowheads="1"/>
                  </pic:cNvPicPr>
                </pic:nvPicPr>
                <pic:blipFill>
                  <a:blip r:embed="rId1"/>
                  <a:srcRect/>
                  <a:stretch>
                    <a:fillRect/>
                  </a:stretch>
                </pic:blipFill>
                <pic:spPr bwMode="auto">
                  <a:xfrm>
                    <a:off x="0" y="0"/>
                    <a:ext cx="2170430" cy="1621790"/>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020"/>
    <w:rsid w:val="000D5820"/>
    <w:rsid w:val="001630B0"/>
    <w:rsid w:val="001A3885"/>
    <w:rsid w:val="001E0DF0"/>
    <w:rsid w:val="002239BD"/>
    <w:rsid w:val="005505EC"/>
    <w:rsid w:val="00613EEC"/>
    <w:rsid w:val="00620488"/>
    <w:rsid w:val="006435A1"/>
    <w:rsid w:val="007B344C"/>
    <w:rsid w:val="00822F22"/>
    <w:rsid w:val="00923408"/>
    <w:rsid w:val="00956CF5"/>
    <w:rsid w:val="00A13C95"/>
    <w:rsid w:val="00AF4020"/>
    <w:rsid w:val="00AF666A"/>
    <w:rsid w:val="00B50DC6"/>
    <w:rsid w:val="00C129C9"/>
    <w:rsid w:val="00D314BC"/>
    <w:rsid w:val="00D42477"/>
    <w:rsid w:val="00D74992"/>
    <w:rsid w:val="00E16065"/>
    <w:rsid w:val="00EA2EBB"/>
    <w:rsid w:val="00F376AA"/>
    <w:rsid w:val="00F93B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D7786A"/>
  <w15:chartTrackingRefBased/>
  <w15:docId w15:val="{F6B65100-C8AB-45A0-BE43-3E5BE0B4B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F402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630B0"/>
    <w:pPr>
      <w:tabs>
        <w:tab w:val="center" w:pos="4536"/>
        <w:tab w:val="right" w:pos="9072"/>
      </w:tabs>
    </w:pPr>
  </w:style>
  <w:style w:type="character" w:customStyle="1" w:styleId="NagwekZnak">
    <w:name w:val="Nagłówek Znak"/>
    <w:basedOn w:val="Domylnaczcionkaakapitu"/>
    <w:link w:val="Nagwek"/>
    <w:uiPriority w:val="99"/>
    <w:rsid w:val="001630B0"/>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1630B0"/>
    <w:pPr>
      <w:tabs>
        <w:tab w:val="center" w:pos="4536"/>
        <w:tab w:val="right" w:pos="9072"/>
      </w:tabs>
    </w:pPr>
  </w:style>
  <w:style w:type="character" w:customStyle="1" w:styleId="StopkaZnak">
    <w:name w:val="Stopka Znak"/>
    <w:basedOn w:val="Domylnaczcionkaakapitu"/>
    <w:link w:val="Stopka"/>
    <w:uiPriority w:val="99"/>
    <w:rsid w:val="001630B0"/>
    <w:rPr>
      <w:rFonts w:ascii="Times New Roman" w:eastAsia="Times New Roman" w:hAnsi="Times New Roman" w:cs="Times New Roman"/>
      <w:sz w:val="24"/>
      <w:szCs w:val="24"/>
      <w:lang w:eastAsia="pl-PL"/>
    </w:rPr>
  </w:style>
  <w:style w:type="paragraph" w:customStyle="1" w:styleId="11Trescpisma">
    <w:name w:val="@11.Tresc_pisma"/>
    <w:basedOn w:val="Normalny"/>
    <w:rsid w:val="00D314BC"/>
    <w:pPr>
      <w:spacing w:before="180"/>
      <w:jc w:val="both"/>
    </w:pPr>
    <w:rPr>
      <w:rFonts w:ascii="Verdana" w:hAnsi="Verdana"/>
      <w:sz w:val="20"/>
      <w:szCs w:val="18"/>
    </w:rPr>
  </w:style>
  <w:style w:type="character" w:styleId="Hipercze">
    <w:name w:val="Hyperlink"/>
    <w:semiHidden/>
    <w:rsid w:val="00D314BC"/>
    <w:rPr>
      <w:color w:val="0000FF"/>
      <w:u w:val="single"/>
    </w:rPr>
  </w:style>
  <w:style w:type="paragraph" w:customStyle="1" w:styleId="Default">
    <w:name w:val="Default"/>
    <w:rsid w:val="00D314BC"/>
    <w:pPr>
      <w:autoSpaceDE w:val="0"/>
      <w:autoSpaceDN w:val="0"/>
      <w:adjustRightInd w:val="0"/>
      <w:spacing w:after="0" w:line="240" w:lineRule="auto"/>
    </w:pPr>
    <w:rPr>
      <w:rFonts w:ascii="Verdana" w:eastAsia="Times New Roman" w:hAnsi="Verdana" w:cs="Verdana"/>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nk@um.wroc.p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487</Words>
  <Characters>2922</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Gmina Wroclaw</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Lazopoulos Magdalena</dc:creator>
  <cp:keywords/>
  <dc:description/>
  <cp:lastModifiedBy>Marusiak Joanna </cp:lastModifiedBy>
  <cp:revision>6</cp:revision>
  <cp:lastPrinted>2026-03-12T11:24:00Z</cp:lastPrinted>
  <dcterms:created xsi:type="dcterms:W3CDTF">2026-03-12T11:18:00Z</dcterms:created>
  <dcterms:modified xsi:type="dcterms:W3CDTF">2026-03-13T09:28:00Z</dcterms:modified>
</cp:coreProperties>
</file>