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526A" w14:textId="57EE9EB8" w:rsidR="00357050" w:rsidRPr="00DD7F84" w:rsidRDefault="00357050" w:rsidP="00357050">
      <w:pPr>
        <w:pStyle w:val="Tytu"/>
        <w:jc w:val="center"/>
        <w:rPr>
          <w:rFonts w:ascii="Verdana" w:hAnsi="Verdana"/>
          <w:b/>
          <w:bCs/>
          <w:w w:val="110"/>
          <w:sz w:val="22"/>
          <w:szCs w:val="22"/>
        </w:rPr>
      </w:pPr>
      <w:r w:rsidRPr="00DD7F84">
        <w:rPr>
          <w:rFonts w:ascii="Verdana" w:hAnsi="Verdana"/>
          <w:b/>
          <w:bCs/>
          <w:w w:val="110"/>
          <w:sz w:val="22"/>
          <w:szCs w:val="22"/>
        </w:rPr>
        <w:t xml:space="preserve">Uchwała Nr 2/2025 </w:t>
      </w:r>
    </w:p>
    <w:p w14:paraId="2D7CFD52" w14:textId="77777777" w:rsidR="00357050" w:rsidRPr="00DD7F84" w:rsidRDefault="00357050" w:rsidP="00357050">
      <w:pPr>
        <w:pStyle w:val="Tytu"/>
        <w:jc w:val="center"/>
        <w:rPr>
          <w:rFonts w:ascii="Verdana" w:hAnsi="Verdana"/>
          <w:b/>
          <w:bCs/>
          <w:w w:val="110"/>
          <w:sz w:val="22"/>
          <w:szCs w:val="22"/>
        </w:rPr>
      </w:pPr>
      <w:r w:rsidRPr="00DD7F84">
        <w:rPr>
          <w:rFonts w:ascii="Verdana" w:hAnsi="Verdana"/>
          <w:b/>
          <w:bCs/>
          <w:w w:val="110"/>
          <w:sz w:val="22"/>
          <w:szCs w:val="22"/>
        </w:rPr>
        <w:t>Nadzwyczajnego Zgromadzenia Wspólników</w:t>
      </w:r>
      <w:r w:rsidR="00F9671F" w:rsidRPr="00DD7F84">
        <w:rPr>
          <w:rFonts w:ascii="Verdana" w:hAnsi="Verdana"/>
          <w:b/>
          <w:bCs/>
          <w:w w:val="110"/>
          <w:sz w:val="22"/>
          <w:szCs w:val="22"/>
        </w:rPr>
        <w:t xml:space="preserve"> </w:t>
      </w:r>
    </w:p>
    <w:p w14:paraId="6631263B" w14:textId="77777777" w:rsidR="00357050" w:rsidRPr="00DD7F84" w:rsidRDefault="00357050" w:rsidP="00357050">
      <w:pPr>
        <w:pStyle w:val="Tytu"/>
        <w:jc w:val="center"/>
        <w:rPr>
          <w:rFonts w:ascii="Verdana" w:hAnsi="Verdana"/>
          <w:b/>
          <w:bCs/>
          <w:w w:val="110"/>
          <w:sz w:val="22"/>
          <w:szCs w:val="22"/>
        </w:rPr>
      </w:pPr>
      <w:r w:rsidRPr="00DD7F84">
        <w:rPr>
          <w:rFonts w:ascii="Verdana" w:hAnsi="Verdana"/>
          <w:b/>
          <w:bCs/>
          <w:w w:val="110"/>
          <w:sz w:val="22"/>
          <w:szCs w:val="22"/>
        </w:rPr>
        <w:t xml:space="preserve">spółki SIM Wrocław sp. z o.o. </w:t>
      </w:r>
    </w:p>
    <w:p w14:paraId="3E89B784" w14:textId="235DF29D" w:rsidR="00DB6F83" w:rsidRPr="00DD7F84" w:rsidRDefault="00357050" w:rsidP="00357050">
      <w:pPr>
        <w:pStyle w:val="Tytu"/>
        <w:jc w:val="center"/>
        <w:rPr>
          <w:rFonts w:ascii="Verdana" w:hAnsi="Verdana"/>
          <w:b/>
          <w:bCs/>
          <w:sz w:val="22"/>
          <w:szCs w:val="22"/>
        </w:rPr>
      </w:pPr>
      <w:r w:rsidRPr="00DD7F84">
        <w:rPr>
          <w:rFonts w:ascii="Verdana" w:hAnsi="Verdana"/>
          <w:b/>
          <w:bCs/>
          <w:w w:val="110"/>
          <w:sz w:val="22"/>
          <w:szCs w:val="22"/>
        </w:rPr>
        <w:t>z dnia 21 lutego 2025 r.</w:t>
      </w:r>
    </w:p>
    <w:p w14:paraId="29EE04CD" w14:textId="23139461" w:rsidR="00DB6F83" w:rsidRPr="00DD7F84" w:rsidRDefault="00357050" w:rsidP="00357050">
      <w:pPr>
        <w:spacing w:before="100" w:beforeAutospacing="1" w:line="360" w:lineRule="auto"/>
        <w:ind w:left="130" w:right="369" w:firstLine="28"/>
        <w:rPr>
          <w:rFonts w:ascii="Verdana" w:hAnsi="Verdana"/>
          <w:b/>
        </w:rPr>
      </w:pPr>
      <w:r w:rsidRPr="00DD7F84">
        <w:rPr>
          <w:rFonts w:ascii="Verdana" w:hAnsi="Verdana"/>
          <w:b/>
          <w:w w:val="110"/>
        </w:rPr>
        <w:t>zmieniająca uchwałę Nr 08/2022 Nadzwyczajnego Zgromadzenia Wspólników spółki SIM Wrocław sp. z o.o. w organizacji z dnia 27 stycznia 2022 r. w sprawie: ustalenia maksymalnej wysokości wynagrodzenia dla członków Zarządu oraz określenia prawa do świadczeń dodatkowych i maksymalnej wysokości tych świadczeń przysługujących</w:t>
      </w:r>
      <w:r w:rsidR="00F9671F" w:rsidRPr="00DD7F84">
        <w:rPr>
          <w:rFonts w:ascii="Verdana" w:hAnsi="Verdana"/>
          <w:b/>
          <w:w w:val="110"/>
        </w:rPr>
        <w:t xml:space="preserve"> </w:t>
      </w:r>
      <w:r w:rsidRPr="00DD7F84">
        <w:rPr>
          <w:rFonts w:ascii="Verdana" w:hAnsi="Verdana"/>
          <w:b/>
          <w:w w:val="110"/>
        </w:rPr>
        <w:t>członkom Zarządu</w:t>
      </w:r>
    </w:p>
    <w:p w14:paraId="26979533" w14:textId="77777777" w:rsidR="00DB6F83" w:rsidRPr="00DD7F84" w:rsidRDefault="00357050" w:rsidP="00357050">
      <w:pPr>
        <w:pStyle w:val="Tekstpodstawowy"/>
        <w:spacing w:before="100" w:beforeAutospacing="1" w:line="360" w:lineRule="auto"/>
        <w:ind w:left="108" w:right="397"/>
        <w:rPr>
          <w:rFonts w:ascii="Verdana" w:hAnsi="Verdana"/>
          <w:sz w:val="22"/>
          <w:szCs w:val="22"/>
        </w:rPr>
      </w:pPr>
      <w:r w:rsidRPr="00DD7F84">
        <w:rPr>
          <w:rFonts w:ascii="Verdana" w:hAnsi="Verdana"/>
          <w:w w:val="105"/>
          <w:sz w:val="22"/>
          <w:szCs w:val="22"/>
        </w:rPr>
        <w:t xml:space="preserve">Na podstawie § 16 ust. 2 pkt 13 Umowy Spółki z dnia 3 sierpnia 2021 r. (w </w:t>
      </w:r>
      <w:r w:rsidRPr="00DD7F84">
        <w:rPr>
          <w:rFonts w:ascii="Verdana" w:hAnsi="Verdana"/>
          <w:spacing w:val="-3"/>
          <w:w w:val="105"/>
          <w:sz w:val="22"/>
          <w:szCs w:val="22"/>
        </w:rPr>
        <w:t xml:space="preserve">brzmieniu </w:t>
      </w:r>
      <w:r w:rsidRPr="00DD7F84">
        <w:rPr>
          <w:rFonts w:ascii="Verdana" w:hAnsi="Verdana"/>
          <w:w w:val="105"/>
          <w:sz w:val="22"/>
          <w:szCs w:val="22"/>
        </w:rPr>
        <w:t>tekstu jednolitego przyjętego uchwałą nr 29/2022 Nadzwyczajnego Zgromadzenia Wspólników SIM Wrocław spółka z ograniczoną odpowiedzialnością z dnia 27 października 2022 r. - akt notarialny Rep. A nr 2778/2022), Zgromadzenie Wspólników uchwala, co</w:t>
      </w:r>
      <w:r w:rsidRPr="00DD7F84">
        <w:rPr>
          <w:rFonts w:ascii="Verdana" w:hAnsi="Verdana"/>
          <w:spacing w:val="17"/>
          <w:w w:val="105"/>
          <w:sz w:val="22"/>
          <w:szCs w:val="22"/>
        </w:rPr>
        <w:t xml:space="preserve"> </w:t>
      </w:r>
      <w:r w:rsidRPr="00DD7F84">
        <w:rPr>
          <w:rFonts w:ascii="Verdana" w:hAnsi="Verdana"/>
          <w:w w:val="105"/>
          <w:sz w:val="22"/>
          <w:szCs w:val="22"/>
        </w:rPr>
        <w:t>następuje:</w:t>
      </w:r>
    </w:p>
    <w:p w14:paraId="20439986" w14:textId="77777777" w:rsidR="00DB6F83" w:rsidRPr="00DD7F84" w:rsidRDefault="00357050" w:rsidP="00F9671F">
      <w:pPr>
        <w:spacing w:before="27" w:line="360" w:lineRule="auto"/>
        <w:ind w:left="4382" w:right="4768"/>
        <w:rPr>
          <w:rFonts w:ascii="Verdana" w:hAnsi="Verdana"/>
          <w:b/>
        </w:rPr>
      </w:pPr>
      <w:r w:rsidRPr="00DD7F84">
        <w:rPr>
          <w:rFonts w:ascii="Verdana" w:hAnsi="Verdana"/>
          <w:b/>
          <w:w w:val="110"/>
        </w:rPr>
        <w:t>§1</w:t>
      </w:r>
    </w:p>
    <w:p w14:paraId="5C6574E8" w14:textId="6450BBDE" w:rsidR="00DB6F83" w:rsidRPr="00DD7F84" w:rsidRDefault="00357050" w:rsidP="00F9671F">
      <w:pPr>
        <w:pStyle w:val="Tekstpodstawowy"/>
        <w:spacing w:before="103" w:line="360" w:lineRule="auto"/>
        <w:ind w:left="116" w:right="405" w:firstLine="4"/>
        <w:rPr>
          <w:rFonts w:ascii="Verdana" w:hAnsi="Verdana"/>
          <w:sz w:val="22"/>
          <w:szCs w:val="22"/>
        </w:rPr>
      </w:pPr>
      <w:r w:rsidRPr="00DD7F84">
        <w:rPr>
          <w:rFonts w:ascii="Verdana" w:hAnsi="Verdana"/>
          <w:w w:val="105"/>
          <w:sz w:val="22"/>
          <w:szCs w:val="22"/>
        </w:rPr>
        <w:t>W uchwale Nr 08/2022 Nadzwyczajnego Zgromadzenia Wspólników spółki SIM Wrocław sp. z o.o. w organizacji z dnia 27 stycznia 2022 r. w sprawie: ustalenia maksymalnej wysokości wynagrodzenia dla członków Zarządu oraz określenia prawa do świadczeń dodatkowych i maksymalnej wysokości tych świadczeń przysługujących członkom Zarządu, wprowadza się następującą</w:t>
      </w:r>
      <w:r w:rsidRPr="00DD7F84">
        <w:rPr>
          <w:rFonts w:ascii="Verdana" w:hAnsi="Verdana"/>
          <w:spacing w:val="-11"/>
          <w:w w:val="105"/>
          <w:sz w:val="22"/>
          <w:szCs w:val="22"/>
        </w:rPr>
        <w:t xml:space="preserve"> </w:t>
      </w:r>
      <w:r w:rsidRPr="00DD7F84">
        <w:rPr>
          <w:rFonts w:ascii="Verdana" w:hAnsi="Verdana"/>
          <w:w w:val="105"/>
          <w:sz w:val="22"/>
          <w:szCs w:val="22"/>
        </w:rPr>
        <w:t>zmianę:</w:t>
      </w:r>
    </w:p>
    <w:p w14:paraId="3B42D035" w14:textId="77777777" w:rsidR="00DB6F83" w:rsidRPr="00DD7F84" w:rsidRDefault="00357050" w:rsidP="00F9671F">
      <w:pPr>
        <w:pStyle w:val="Akapitzlist"/>
        <w:numPr>
          <w:ilvl w:val="0"/>
          <w:numId w:val="1"/>
        </w:numPr>
        <w:tabs>
          <w:tab w:val="left" w:pos="274"/>
        </w:tabs>
        <w:spacing w:before="10" w:line="360" w:lineRule="auto"/>
        <w:jc w:val="left"/>
        <w:rPr>
          <w:rFonts w:ascii="Verdana" w:hAnsi="Verdana"/>
        </w:rPr>
      </w:pPr>
      <w:r w:rsidRPr="00DD7F84">
        <w:rPr>
          <w:rFonts w:ascii="Verdana" w:hAnsi="Verdana"/>
          <w:w w:val="110"/>
        </w:rPr>
        <w:t>w§ 3 ust. 2 i 3 otrzymują</w:t>
      </w:r>
      <w:r w:rsidRPr="00DD7F84">
        <w:rPr>
          <w:rFonts w:ascii="Verdana" w:hAnsi="Verdana"/>
          <w:spacing w:val="14"/>
          <w:w w:val="110"/>
        </w:rPr>
        <w:t xml:space="preserve"> </w:t>
      </w:r>
      <w:r w:rsidRPr="00DD7F84">
        <w:rPr>
          <w:rFonts w:ascii="Verdana" w:hAnsi="Verdana"/>
          <w:w w:val="110"/>
        </w:rPr>
        <w:t>brzmienie:</w:t>
      </w:r>
    </w:p>
    <w:p w14:paraId="0D3A58A0" w14:textId="77777777" w:rsidR="00DB6F83" w:rsidRPr="00DD7F84" w:rsidRDefault="00357050" w:rsidP="00F9671F">
      <w:pPr>
        <w:pStyle w:val="Tekstpodstawowy"/>
        <w:spacing w:before="99" w:line="360" w:lineRule="auto"/>
        <w:ind w:left="107"/>
        <w:rPr>
          <w:rFonts w:ascii="Verdana" w:hAnsi="Verdana"/>
          <w:sz w:val="22"/>
          <w:szCs w:val="22"/>
        </w:rPr>
      </w:pPr>
      <w:r w:rsidRPr="00DD7F84">
        <w:rPr>
          <w:rFonts w:ascii="Verdana" w:hAnsi="Verdana"/>
          <w:w w:val="105"/>
          <w:sz w:val="22"/>
          <w:szCs w:val="22"/>
        </w:rPr>
        <w:t>,,2.Cele zarządcze na kolejne lata począwszy od 2025 roku ustalane będą:</w:t>
      </w:r>
    </w:p>
    <w:p w14:paraId="12669DA9" w14:textId="77777777" w:rsidR="00DB6F83" w:rsidRPr="00DD7F84" w:rsidRDefault="00357050" w:rsidP="00F9671F">
      <w:pPr>
        <w:pStyle w:val="Akapitzlist"/>
        <w:numPr>
          <w:ilvl w:val="1"/>
          <w:numId w:val="1"/>
        </w:numPr>
        <w:tabs>
          <w:tab w:val="left" w:pos="700"/>
        </w:tabs>
        <w:spacing w:before="106" w:line="360" w:lineRule="auto"/>
        <w:rPr>
          <w:rFonts w:ascii="Verdana" w:hAnsi="Verdana"/>
        </w:rPr>
      </w:pPr>
      <w:r w:rsidRPr="00DD7F84">
        <w:rPr>
          <w:rFonts w:ascii="Verdana" w:hAnsi="Verdana"/>
          <w:w w:val="105"/>
        </w:rPr>
        <w:t>w odrębnej uchwale Nadzwyczajnego Zgromadzenia</w:t>
      </w:r>
      <w:r w:rsidRPr="00DD7F84">
        <w:rPr>
          <w:rFonts w:ascii="Verdana" w:hAnsi="Verdana"/>
          <w:spacing w:val="2"/>
          <w:w w:val="105"/>
        </w:rPr>
        <w:t xml:space="preserve"> </w:t>
      </w:r>
      <w:r w:rsidRPr="00DD7F84">
        <w:rPr>
          <w:rFonts w:ascii="Verdana" w:hAnsi="Verdana"/>
          <w:w w:val="105"/>
        </w:rPr>
        <w:t>Wspólników;</w:t>
      </w:r>
    </w:p>
    <w:p w14:paraId="05BB2454" w14:textId="77777777" w:rsidR="00DB6F83" w:rsidRPr="00DD7F84" w:rsidRDefault="00357050" w:rsidP="00F9671F">
      <w:pPr>
        <w:pStyle w:val="Akapitzlist"/>
        <w:numPr>
          <w:ilvl w:val="1"/>
          <w:numId w:val="1"/>
        </w:numPr>
        <w:tabs>
          <w:tab w:val="left" w:pos="697"/>
        </w:tabs>
        <w:spacing w:before="85" w:line="360" w:lineRule="auto"/>
        <w:ind w:left="697" w:right="399" w:hanging="278"/>
        <w:rPr>
          <w:rFonts w:ascii="Verdana" w:hAnsi="Verdana"/>
        </w:rPr>
      </w:pPr>
      <w:r w:rsidRPr="00DD7F84">
        <w:rPr>
          <w:rFonts w:ascii="Verdana" w:hAnsi="Verdana"/>
          <w:w w:val="105"/>
        </w:rPr>
        <w:t>z uwzględnieniem zadań i uwarunkowań określanych w zatwierdzonych przez Zgromadzenie Wspólników:</w:t>
      </w:r>
    </w:p>
    <w:p w14:paraId="776D6C60" w14:textId="77777777" w:rsidR="00DB6F83" w:rsidRPr="00DD7F84" w:rsidRDefault="00357050" w:rsidP="00F9671F">
      <w:pPr>
        <w:pStyle w:val="Akapitzlist"/>
        <w:numPr>
          <w:ilvl w:val="2"/>
          <w:numId w:val="1"/>
        </w:numPr>
        <w:tabs>
          <w:tab w:val="left" w:pos="991"/>
        </w:tabs>
        <w:spacing w:line="360" w:lineRule="auto"/>
        <w:rPr>
          <w:rFonts w:ascii="Verdana" w:hAnsi="Verdana"/>
        </w:rPr>
      </w:pPr>
      <w:r w:rsidRPr="00DD7F84">
        <w:rPr>
          <w:rFonts w:ascii="Verdana" w:hAnsi="Verdana"/>
          <w:w w:val="110"/>
        </w:rPr>
        <w:t>planie inwestycyjnym, określającym harmonogram etapów realizacji</w:t>
      </w:r>
      <w:r w:rsidRPr="00DD7F84">
        <w:rPr>
          <w:rFonts w:ascii="Verdana" w:hAnsi="Verdana"/>
          <w:spacing w:val="-28"/>
          <w:w w:val="110"/>
        </w:rPr>
        <w:t xml:space="preserve"> </w:t>
      </w:r>
      <w:r w:rsidRPr="00DD7F84">
        <w:rPr>
          <w:rFonts w:ascii="Verdana" w:hAnsi="Verdana"/>
          <w:w w:val="110"/>
        </w:rPr>
        <w:t>Inwestycji;</w:t>
      </w:r>
    </w:p>
    <w:p w14:paraId="3BE3921E" w14:textId="4C91F7F8" w:rsidR="00DB6F83" w:rsidRPr="00DD7F84" w:rsidRDefault="00357050" w:rsidP="00F9671F">
      <w:pPr>
        <w:pStyle w:val="Akapitzlist"/>
        <w:numPr>
          <w:ilvl w:val="2"/>
          <w:numId w:val="1"/>
        </w:numPr>
        <w:tabs>
          <w:tab w:val="left" w:pos="992"/>
        </w:tabs>
        <w:spacing w:before="106" w:line="360" w:lineRule="auto"/>
        <w:ind w:left="999" w:right="365" w:hanging="298"/>
        <w:rPr>
          <w:rFonts w:ascii="Verdana" w:hAnsi="Verdana"/>
        </w:rPr>
      </w:pPr>
      <w:r w:rsidRPr="00DD7F84">
        <w:rPr>
          <w:rFonts w:ascii="Verdana" w:hAnsi="Verdana"/>
          <w:w w:val="110"/>
        </w:rPr>
        <w:t xml:space="preserve">rocznym planie rzeczowo-finansowym, zawierającym </w:t>
      </w:r>
      <w:r w:rsidRPr="00DD7F84">
        <w:rPr>
          <w:rFonts w:ascii="Verdana" w:hAnsi="Verdana"/>
          <w:spacing w:val="-3"/>
          <w:w w:val="110"/>
        </w:rPr>
        <w:t xml:space="preserve">wszelkie </w:t>
      </w:r>
      <w:r w:rsidRPr="00DD7F84">
        <w:rPr>
          <w:rFonts w:ascii="Verdana" w:hAnsi="Verdana"/>
          <w:w w:val="110"/>
        </w:rPr>
        <w:t xml:space="preserve">koszty </w:t>
      </w:r>
      <w:r w:rsidRPr="00DD7F84">
        <w:rPr>
          <w:rFonts w:ascii="Verdana" w:hAnsi="Verdana"/>
          <w:spacing w:val="-3"/>
          <w:w w:val="110"/>
        </w:rPr>
        <w:t xml:space="preserve">związane </w:t>
      </w:r>
      <w:r w:rsidRPr="00DD7F84">
        <w:rPr>
          <w:rFonts w:ascii="Verdana" w:hAnsi="Verdana"/>
          <w:w w:val="110"/>
        </w:rPr>
        <w:t>z</w:t>
      </w:r>
      <w:r w:rsidRPr="00DD7F84">
        <w:rPr>
          <w:rFonts w:ascii="Verdana" w:hAnsi="Verdana"/>
          <w:spacing w:val="-10"/>
          <w:w w:val="110"/>
        </w:rPr>
        <w:t xml:space="preserve"> </w:t>
      </w:r>
      <w:r w:rsidRPr="00DD7F84">
        <w:rPr>
          <w:rFonts w:ascii="Verdana" w:hAnsi="Verdana"/>
          <w:w w:val="110"/>
        </w:rPr>
        <w:t>funkcjonowaniem</w:t>
      </w:r>
      <w:r w:rsidRPr="00DD7F84">
        <w:rPr>
          <w:rFonts w:ascii="Verdana" w:hAnsi="Verdana"/>
          <w:spacing w:val="-12"/>
          <w:w w:val="110"/>
        </w:rPr>
        <w:t xml:space="preserve"> </w:t>
      </w:r>
      <w:r w:rsidRPr="00DD7F84">
        <w:rPr>
          <w:rFonts w:ascii="Verdana" w:hAnsi="Verdana"/>
          <w:w w:val="110"/>
        </w:rPr>
        <w:t>Spółki,</w:t>
      </w:r>
      <w:r w:rsidRPr="00DD7F84">
        <w:rPr>
          <w:rFonts w:ascii="Verdana" w:hAnsi="Verdana"/>
          <w:spacing w:val="-10"/>
          <w:w w:val="110"/>
        </w:rPr>
        <w:t xml:space="preserve"> </w:t>
      </w:r>
      <w:r w:rsidRPr="00DD7F84">
        <w:rPr>
          <w:rFonts w:ascii="Verdana" w:hAnsi="Verdana"/>
          <w:w w:val="110"/>
        </w:rPr>
        <w:t>(w</w:t>
      </w:r>
      <w:r w:rsidRPr="00DD7F84">
        <w:rPr>
          <w:rFonts w:ascii="Verdana" w:hAnsi="Verdana"/>
          <w:spacing w:val="-1"/>
          <w:w w:val="110"/>
        </w:rPr>
        <w:t xml:space="preserve"> </w:t>
      </w:r>
      <w:r w:rsidRPr="00DD7F84">
        <w:rPr>
          <w:rFonts w:ascii="Verdana" w:hAnsi="Verdana"/>
          <w:w w:val="110"/>
        </w:rPr>
        <w:t>tym</w:t>
      </w:r>
      <w:r w:rsidRPr="00DD7F84">
        <w:rPr>
          <w:rFonts w:ascii="Verdana" w:hAnsi="Verdana"/>
          <w:spacing w:val="17"/>
          <w:w w:val="110"/>
        </w:rPr>
        <w:t xml:space="preserve"> </w:t>
      </w:r>
      <w:r w:rsidRPr="00DD7F84">
        <w:rPr>
          <w:rFonts w:ascii="Verdana" w:hAnsi="Verdana"/>
          <w:w w:val="110"/>
        </w:rPr>
        <w:t>koszty</w:t>
      </w:r>
      <w:r w:rsidRPr="00DD7F84">
        <w:rPr>
          <w:rFonts w:ascii="Verdana" w:hAnsi="Verdana"/>
          <w:spacing w:val="18"/>
          <w:w w:val="110"/>
        </w:rPr>
        <w:t xml:space="preserve"> </w:t>
      </w:r>
      <w:r w:rsidRPr="00DD7F84">
        <w:rPr>
          <w:rFonts w:ascii="Verdana" w:hAnsi="Verdana"/>
          <w:w w:val="110"/>
        </w:rPr>
        <w:t>związane z</w:t>
      </w:r>
      <w:r w:rsidRPr="00DD7F84">
        <w:rPr>
          <w:rFonts w:ascii="Verdana" w:hAnsi="Verdana"/>
          <w:spacing w:val="-13"/>
          <w:w w:val="110"/>
        </w:rPr>
        <w:t xml:space="preserve"> </w:t>
      </w:r>
      <w:r w:rsidRPr="00DD7F84">
        <w:rPr>
          <w:rFonts w:ascii="Verdana" w:hAnsi="Verdana"/>
          <w:w w:val="110"/>
        </w:rPr>
        <w:t>realizacją</w:t>
      </w:r>
      <w:r w:rsidRPr="00DD7F84">
        <w:rPr>
          <w:rFonts w:ascii="Verdana" w:hAnsi="Verdana"/>
          <w:spacing w:val="-26"/>
          <w:w w:val="110"/>
        </w:rPr>
        <w:t xml:space="preserve"> </w:t>
      </w:r>
      <w:r w:rsidRPr="00DD7F84">
        <w:rPr>
          <w:rFonts w:ascii="Verdana" w:hAnsi="Verdana"/>
          <w:w w:val="110"/>
        </w:rPr>
        <w:t>Inwestycji);</w:t>
      </w:r>
    </w:p>
    <w:p w14:paraId="24694A76" w14:textId="77777777" w:rsidR="00DB6F83" w:rsidRPr="00DD7F84" w:rsidRDefault="00357050" w:rsidP="00F9671F">
      <w:pPr>
        <w:pStyle w:val="Akapitzlist"/>
        <w:numPr>
          <w:ilvl w:val="2"/>
          <w:numId w:val="1"/>
        </w:numPr>
        <w:tabs>
          <w:tab w:val="left" w:pos="1010"/>
        </w:tabs>
        <w:spacing w:line="360" w:lineRule="auto"/>
        <w:ind w:left="1005" w:right="329"/>
        <w:rPr>
          <w:rFonts w:ascii="Verdana" w:hAnsi="Verdana"/>
        </w:rPr>
      </w:pPr>
      <w:r w:rsidRPr="00DD7F84">
        <w:rPr>
          <w:rFonts w:ascii="Verdana" w:hAnsi="Verdana"/>
          <w:w w:val="105"/>
        </w:rPr>
        <w:t xml:space="preserve">5-letniej strategii działalności Spółki, zawierającej w szczególności misję i wizję Spółki, kierunkowe działania Spółki, cele, mierniki tych </w:t>
      </w:r>
      <w:r w:rsidRPr="00DD7F84">
        <w:rPr>
          <w:rFonts w:ascii="Verdana" w:hAnsi="Verdana"/>
          <w:spacing w:val="-4"/>
          <w:w w:val="105"/>
        </w:rPr>
        <w:t xml:space="preserve">celów </w:t>
      </w:r>
      <w:r w:rsidRPr="00DD7F84">
        <w:rPr>
          <w:rFonts w:ascii="Verdana" w:hAnsi="Verdana"/>
          <w:w w:val="105"/>
        </w:rPr>
        <w:t>z określeniem terminu ich</w:t>
      </w:r>
      <w:r w:rsidRPr="00DD7F84">
        <w:rPr>
          <w:rFonts w:ascii="Verdana" w:hAnsi="Verdana"/>
          <w:spacing w:val="6"/>
          <w:w w:val="105"/>
        </w:rPr>
        <w:t xml:space="preserve"> </w:t>
      </w:r>
      <w:r w:rsidRPr="00DD7F84">
        <w:rPr>
          <w:rFonts w:ascii="Verdana" w:hAnsi="Verdana"/>
          <w:spacing w:val="-5"/>
          <w:w w:val="105"/>
        </w:rPr>
        <w:t>osiągnięcia</w:t>
      </w:r>
    </w:p>
    <w:p w14:paraId="765A683B" w14:textId="77777777" w:rsidR="00DB6F83" w:rsidRPr="00DD7F84" w:rsidRDefault="00357050" w:rsidP="00F9671F">
      <w:pPr>
        <w:pStyle w:val="Tekstpodstawowy"/>
        <w:spacing w:line="360" w:lineRule="auto"/>
        <w:ind w:left="448" w:right="336" w:hanging="219"/>
        <w:rPr>
          <w:rFonts w:ascii="Verdana" w:hAnsi="Verdana"/>
          <w:sz w:val="22"/>
          <w:szCs w:val="22"/>
        </w:rPr>
      </w:pPr>
      <w:r w:rsidRPr="00DD7F84">
        <w:rPr>
          <w:rFonts w:ascii="Verdana" w:hAnsi="Verdana"/>
          <w:w w:val="105"/>
          <w:sz w:val="22"/>
          <w:szCs w:val="22"/>
        </w:rPr>
        <w:t xml:space="preserve">3. Upoważnia się Radę Nadzorczą do ustalenia wskaźnika procentowego </w:t>
      </w:r>
      <w:r w:rsidRPr="00DD7F84">
        <w:rPr>
          <w:rFonts w:ascii="Verdana" w:hAnsi="Verdana"/>
          <w:w w:val="105"/>
          <w:sz w:val="22"/>
          <w:szCs w:val="22"/>
        </w:rPr>
        <w:lastRenderedPageBreak/>
        <w:t>Wynagrodzenia zmiennego oraz do uszczegółowienia celów zarządczych, ustalenia wag oraz obiektywnych i mierzalnych kryteriów ich realizacji w terminie do końca pierwszego kwartału roku obrotowego, na który cele</w:t>
      </w:r>
    </w:p>
    <w:p w14:paraId="055D97B3" w14:textId="77777777" w:rsidR="00DB6F83" w:rsidRPr="00DD7F84" w:rsidRDefault="00357050" w:rsidP="00F9671F">
      <w:pPr>
        <w:pStyle w:val="Tekstpodstawowy"/>
        <w:spacing w:before="37" w:line="360" w:lineRule="auto"/>
        <w:ind w:left="463"/>
        <w:rPr>
          <w:rFonts w:ascii="Verdana" w:hAnsi="Verdana"/>
          <w:sz w:val="22"/>
          <w:szCs w:val="22"/>
        </w:rPr>
      </w:pPr>
      <w:r w:rsidRPr="00DD7F84">
        <w:rPr>
          <w:rFonts w:ascii="Verdana" w:hAnsi="Verdana"/>
          <w:w w:val="110"/>
          <w:sz w:val="22"/>
          <w:szCs w:val="22"/>
        </w:rPr>
        <w:t>są ustalane."</w:t>
      </w:r>
    </w:p>
    <w:p w14:paraId="72914FAB" w14:textId="77777777" w:rsidR="00DB6F83" w:rsidRPr="00DD7F84" w:rsidRDefault="00357050" w:rsidP="00F9671F">
      <w:pPr>
        <w:spacing w:before="81" w:line="360" w:lineRule="auto"/>
        <w:ind w:left="4458" w:right="4702"/>
        <w:rPr>
          <w:rFonts w:ascii="Verdana" w:hAnsi="Verdana"/>
          <w:b/>
        </w:rPr>
      </w:pPr>
      <w:r w:rsidRPr="00DD7F84">
        <w:rPr>
          <w:rFonts w:ascii="Verdana" w:hAnsi="Verdana"/>
          <w:b/>
          <w:w w:val="110"/>
        </w:rPr>
        <w:t>§2</w:t>
      </w:r>
    </w:p>
    <w:p w14:paraId="4BAA4250" w14:textId="16E2D32B" w:rsidR="00DB6F83" w:rsidRPr="00DD7F84" w:rsidRDefault="00357050" w:rsidP="00F9671F">
      <w:pPr>
        <w:pStyle w:val="Tekstpodstawowy"/>
        <w:spacing w:before="114" w:line="360" w:lineRule="auto"/>
        <w:ind w:left="180"/>
        <w:rPr>
          <w:rFonts w:ascii="Verdana" w:hAnsi="Verdana"/>
          <w:sz w:val="22"/>
          <w:szCs w:val="22"/>
        </w:rPr>
      </w:pPr>
      <w:r w:rsidRPr="00DD7F84">
        <w:rPr>
          <w:rFonts w:ascii="Verdana" w:hAnsi="Verdana"/>
          <w:w w:val="105"/>
          <w:sz w:val="22"/>
          <w:szCs w:val="22"/>
        </w:rPr>
        <w:t>Uchwała wchodzi w życie z dniem podjęcia.</w:t>
      </w:r>
    </w:p>
    <w:p w14:paraId="7F915ADC" w14:textId="3EA628A7" w:rsidR="00DB6F83" w:rsidRPr="00DD7F84" w:rsidRDefault="00357050" w:rsidP="00357050">
      <w:pPr>
        <w:pStyle w:val="Tekstpodstawowy"/>
        <w:spacing w:before="600" w:line="360" w:lineRule="auto"/>
        <w:ind w:left="187"/>
        <w:rPr>
          <w:rFonts w:ascii="Verdana" w:hAnsi="Verdana"/>
          <w:sz w:val="22"/>
          <w:szCs w:val="22"/>
        </w:rPr>
      </w:pPr>
      <w:r w:rsidRPr="00DD7F84">
        <w:rPr>
          <w:rFonts w:ascii="Verdana" w:hAnsi="Verdana"/>
          <w:w w:val="105"/>
          <w:sz w:val="22"/>
          <w:szCs w:val="22"/>
        </w:rPr>
        <w:t>Uchwałę podjęto w głosowaniu jawnym, stos</w:t>
      </w:r>
      <w:r w:rsidR="00F9671F" w:rsidRPr="00DD7F84">
        <w:rPr>
          <w:rFonts w:ascii="Verdana" w:hAnsi="Verdana"/>
          <w:w w:val="105"/>
          <w:sz w:val="22"/>
          <w:szCs w:val="22"/>
        </w:rPr>
        <w:t>u</w:t>
      </w:r>
      <w:r w:rsidRPr="00DD7F84">
        <w:rPr>
          <w:rFonts w:ascii="Verdana" w:hAnsi="Verdana"/>
          <w:w w:val="105"/>
          <w:sz w:val="22"/>
          <w:szCs w:val="22"/>
        </w:rPr>
        <w:t>nkiem głosów:</w:t>
      </w:r>
    </w:p>
    <w:p w14:paraId="52569A6E" w14:textId="2052EB21" w:rsidR="00F9671F" w:rsidRPr="00DD7F84" w:rsidRDefault="00357050" w:rsidP="00F9671F">
      <w:pPr>
        <w:tabs>
          <w:tab w:val="left" w:pos="3565"/>
          <w:tab w:val="left" w:leader="dot" w:pos="4490"/>
        </w:tabs>
        <w:spacing w:line="360" w:lineRule="auto"/>
        <w:ind w:left="1318"/>
        <w:rPr>
          <w:rFonts w:ascii="Verdana" w:hAnsi="Verdana"/>
          <w:w w:val="110"/>
        </w:rPr>
      </w:pPr>
      <w:r w:rsidRPr="00DD7F84">
        <w:rPr>
          <w:rFonts w:ascii="Verdana" w:hAnsi="Verdana"/>
          <w:w w:val="110"/>
        </w:rPr>
        <w:t>,,za" 1.537.828</w:t>
      </w:r>
    </w:p>
    <w:p w14:paraId="01FB98F5" w14:textId="012E2666" w:rsidR="00DB6F83" w:rsidRPr="00DD7F84" w:rsidRDefault="00357050" w:rsidP="00F9671F">
      <w:pPr>
        <w:tabs>
          <w:tab w:val="left" w:pos="3565"/>
          <w:tab w:val="left" w:leader="dot" w:pos="4490"/>
        </w:tabs>
        <w:spacing w:line="360" w:lineRule="auto"/>
        <w:ind w:left="1318"/>
        <w:rPr>
          <w:rFonts w:ascii="Verdana" w:hAnsi="Verdana"/>
        </w:rPr>
      </w:pPr>
      <w:r w:rsidRPr="00DD7F84">
        <w:rPr>
          <w:rFonts w:ascii="Verdana" w:hAnsi="Verdana"/>
          <w:w w:val="105"/>
        </w:rPr>
        <w:t>,,przeciw" 0</w:t>
      </w:r>
    </w:p>
    <w:p w14:paraId="2C27A22E" w14:textId="77257C3F" w:rsidR="00DB6F83" w:rsidRPr="00DD7F84" w:rsidRDefault="00357050" w:rsidP="00F9671F">
      <w:pPr>
        <w:pStyle w:val="Tekstpodstawowy"/>
        <w:spacing w:before="12" w:line="360" w:lineRule="auto"/>
        <w:ind w:left="1312"/>
        <w:rPr>
          <w:rFonts w:ascii="Verdana" w:hAnsi="Verdana"/>
          <w:sz w:val="22"/>
          <w:szCs w:val="22"/>
        </w:rPr>
      </w:pPr>
      <w:r w:rsidRPr="00DD7F84">
        <w:rPr>
          <w:rFonts w:ascii="Verdana" w:hAnsi="Verdana"/>
          <w:w w:val="110"/>
          <w:sz w:val="22"/>
          <w:szCs w:val="22"/>
        </w:rPr>
        <w:t>,,wstrzymujące</w:t>
      </w:r>
      <w:r w:rsidRPr="00DD7F84">
        <w:rPr>
          <w:rFonts w:ascii="Verdana" w:hAnsi="Verdana"/>
          <w:spacing w:val="-41"/>
          <w:w w:val="110"/>
          <w:sz w:val="22"/>
          <w:szCs w:val="22"/>
        </w:rPr>
        <w:t xml:space="preserve"> </w:t>
      </w:r>
      <w:r w:rsidRPr="00DD7F84">
        <w:rPr>
          <w:rFonts w:ascii="Verdana" w:hAnsi="Verdana"/>
          <w:w w:val="110"/>
          <w:sz w:val="22"/>
          <w:szCs w:val="22"/>
        </w:rPr>
        <w:t>się 0"</w:t>
      </w:r>
    </w:p>
    <w:p w14:paraId="0206638E" w14:textId="0BC33866" w:rsidR="00357050" w:rsidRPr="00DD7F84" w:rsidRDefault="00357050" w:rsidP="00357050">
      <w:pPr>
        <w:pStyle w:val="Tekstpodstawowy"/>
        <w:spacing w:before="100" w:beforeAutospacing="1" w:line="360" w:lineRule="auto"/>
        <w:rPr>
          <w:rFonts w:ascii="Verdana" w:hAnsi="Verdana"/>
          <w:w w:val="105"/>
          <w:sz w:val="22"/>
          <w:szCs w:val="22"/>
        </w:rPr>
      </w:pPr>
      <w:r w:rsidRPr="00DD7F84">
        <w:rPr>
          <w:rFonts w:ascii="Verdana" w:hAnsi="Verdana"/>
          <w:w w:val="105"/>
          <w:sz w:val="22"/>
          <w:szCs w:val="22"/>
        </w:rPr>
        <w:t>Dokument podpisał:</w:t>
      </w:r>
    </w:p>
    <w:p w14:paraId="56E4D780" w14:textId="26E42D41" w:rsidR="00DB6F83" w:rsidRPr="00DD7F84" w:rsidRDefault="00357050" w:rsidP="00357050">
      <w:pPr>
        <w:pStyle w:val="Tekstpodstawowy"/>
        <w:spacing w:line="360" w:lineRule="auto"/>
        <w:rPr>
          <w:rFonts w:ascii="Verdana" w:hAnsi="Verdana"/>
          <w:sz w:val="22"/>
          <w:szCs w:val="22"/>
        </w:rPr>
      </w:pPr>
      <w:r w:rsidRPr="00DD7F84">
        <w:rPr>
          <w:rFonts w:ascii="Verdana" w:hAnsi="Verdana"/>
          <w:w w:val="105"/>
          <w:sz w:val="22"/>
          <w:szCs w:val="22"/>
        </w:rPr>
        <w:t xml:space="preserve">Przewodniczący Nadzwyczajnego Zgromadzenia Wspólników Paweł </w:t>
      </w:r>
      <w:proofErr w:type="spellStart"/>
      <w:r w:rsidRPr="00DD7F84">
        <w:rPr>
          <w:rFonts w:ascii="Verdana" w:hAnsi="Verdana"/>
          <w:w w:val="105"/>
          <w:sz w:val="22"/>
          <w:szCs w:val="22"/>
        </w:rPr>
        <w:t>Inglot</w:t>
      </w:r>
      <w:proofErr w:type="spellEnd"/>
    </w:p>
    <w:sectPr w:rsidR="00DB6F83" w:rsidRPr="00DD7F84" w:rsidSect="00DD7F84">
      <w:type w:val="continuous"/>
      <w:pgSz w:w="11910" w:h="16840"/>
      <w:pgMar w:top="1280" w:right="980" w:bottom="1560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5D51"/>
    <w:multiLevelType w:val="hybridMultilevel"/>
    <w:tmpl w:val="7FE29052"/>
    <w:lvl w:ilvl="0" w:tplc="10C6F336">
      <w:numFmt w:val="bullet"/>
      <w:lvlText w:val="-"/>
      <w:lvlJc w:val="left"/>
      <w:pPr>
        <w:ind w:left="273" w:hanging="143"/>
      </w:pPr>
      <w:rPr>
        <w:rFonts w:ascii="Arial" w:eastAsia="Arial" w:hAnsi="Arial" w:cs="Arial" w:hint="default"/>
        <w:color w:val="4F4F4D"/>
        <w:w w:val="101"/>
        <w:sz w:val="19"/>
        <w:szCs w:val="19"/>
      </w:rPr>
    </w:lvl>
    <w:lvl w:ilvl="1" w:tplc="E1D8D9A6">
      <w:start w:val="1"/>
      <w:numFmt w:val="decimal"/>
      <w:lvlText w:val="%2)"/>
      <w:lvlJc w:val="left"/>
      <w:pPr>
        <w:ind w:left="699" w:hanging="288"/>
        <w:jc w:val="left"/>
      </w:pPr>
      <w:rPr>
        <w:rFonts w:hint="default"/>
        <w:spacing w:val="-1"/>
        <w:w w:val="106"/>
      </w:rPr>
    </w:lvl>
    <w:lvl w:ilvl="2" w:tplc="607CFEFC">
      <w:start w:val="1"/>
      <w:numFmt w:val="lowerLetter"/>
      <w:lvlText w:val="%3)"/>
      <w:lvlJc w:val="left"/>
      <w:pPr>
        <w:ind w:left="990" w:hanging="291"/>
        <w:jc w:val="left"/>
      </w:pPr>
      <w:rPr>
        <w:rFonts w:hint="default"/>
        <w:spacing w:val="-1"/>
        <w:w w:val="106"/>
      </w:rPr>
    </w:lvl>
    <w:lvl w:ilvl="3" w:tplc="D61C788A">
      <w:numFmt w:val="bullet"/>
      <w:lvlText w:val="•"/>
      <w:lvlJc w:val="left"/>
      <w:pPr>
        <w:ind w:left="2065" w:hanging="291"/>
      </w:pPr>
      <w:rPr>
        <w:rFonts w:hint="default"/>
      </w:rPr>
    </w:lvl>
    <w:lvl w:ilvl="4" w:tplc="C4A6AA90">
      <w:numFmt w:val="bullet"/>
      <w:lvlText w:val="•"/>
      <w:lvlJc w:val="left"/>
      <w:pPr>
        <w:ind w:left="3130" w:hanging="291"/>
      </w:pPr>
      <w:rPr>
        <w:rFonts w:hint="default"/>
      </w:rPr>
    </w:lvl>
    <w:lvl w:ilvl="5" w:tplc="C20CC7B6">
      <w:numFmt w:val="bullet"/>
      <w:lvlText w:val="•"/>
      <w:lvlJc w:val="left"/>
      <w:pPr>
        <w:ind w:left="4195" w:hanging="291"/>
      </w:pPr>
      <w:rPr>
        <w:rFonts w:hint="default"/>
      </w:rPr>
    </w:lvl>
    <w:lvl w:ilvl="6" w:tplc="24369070">
      <w:numFmt w:val="bullet"/>
      <w:lvlText w:val="•"/>
      <w:lvlJc w:val="left"/>
      <w:pPr>
        <w:ind w:left="5260" w:hanging="291"/>
      </w:pPr>
      <w:rPr>
        <w:rFonts w:hint="default"/>
      </w:rPr>
    </w:lvl>
    <w:lvl w:ilvl="7" w:tplc="9E8A9652">
      <w:numFmt w:val="bullet"/>
      <w:lvlText w:val="•"/>
      <w:lvlJc w:val="left"/>
      <w:pPr>
        <w:ind w:left="6326" w:hanging="291"/>
      </w:pPr>
      <w:rPr>
        <w:rFonts w:hint="default"/>
      </w:rPr>
    </w:lvl>
    <w:lvl w:ilvl="8" w:tplc="32E83D74">
      <w:numFmt w:val="bullet"/>
      <w:lvlText w:val="•"/>
      <w:lvlJc w:val="left"/>
      <w:pPr>
        <w:ind w:left="7391" w:hanging="2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F83"/>
    <w:rsid w:val="00357050"/>
    <w:rsid w:val="00DB6F83"/>
    <w:rsid w:val="00DD7F84"/>
    <w:rsid w:val="00F9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0D29"/>
  <w15:docId w15:val="{6811A43C-08A2-481A-8B70-AE30E1AA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14" w:hanging="269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ind w:left="273" w:hanging="29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rsid w:val="003570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70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Ochman Elżbieta</cp:lastModifiedBy>
  <cp:revision>3</cp:revision>
  <dcterms:created xsi:type="dcterms:W3CDTF">2026-03-03T12:50:00Z</dcterms:created>
  <dcterms:modified xsi:type="dcterms:W3CDTF">2026-03-03T13:09:00Z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</Properties>
</file>