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9807B" w14:textId="4A6D7C79" w:rsidR="00411E37" w:rsidRPr="00411E37" w:rsidRDefault="00411E37" w:rsidP="00411E37">
      <w:pPr>
        <w:pStyle w:val="Nagwek"/>
        <w:ind w:right="360"/>
        <w:jc w:val="right"/>
        <w:rPr>
          <w:rFonts w:ascii="Verdana" w:hAnsi="Verdana"/>
          <w:sz w:val="20"/>
          <w:szCs w:val="20"/>
        </w:rPr>
      </w:pPr>
      <w:r w:rsidRPr="00411E37">
        <w:rPr>
          <w:rFonts w:ascii="Verdana" w:hAnsi="Verdana"/>
          <w:sz w:val="20"/>
          <w:szCs w:val="20"/>
        </w:rPr>
        <w:t xml:space="preserve">Załącznik do umowy z dnia </w:t>
      </w:r>
      <w:r w:rsidRPr="00411E37">
        <w:rPr>
          <w:rFonts w:ascii="Verdana" w:hAnsi="Verdana"/>
          <w:sz w:val="20"/>
          <w:szCs w:val="20"/>
        </w:rPr>
        <w:t>9 lutego</w:t>
      </w:r>
      <w:r w:rsidRPr="00411E37">
        <w:rPr>
          <w:rFonts w:ascii="Verdana" w:hAnsi="Verdana"/>
          <w:sz w:val="20"/>
          <w:szCs w:val="20"/>
        </w:rPr>
        <w:t xml:space="preserve"> 2026 r. </w:t>
      </w:r>
    </w:p>
    <w:p w14:paraId="1501730B" w14:textId="77777777" w:rsidR="00411E37" w:rsidRPr="00411E37" w:rsidRDefault="00411E37" w:rsidP="00233D20">
      <w:pPr>
        <w:spacing w:before="240"/>
        <w:ind w:right="40"/>
        <w:jc w:val="center"/>
        <w:rPr>
          <w:rFonts w:ascii="Verdana" w:eastAsia="Times New Roman" w:hAnsi="Verdana" w:cs="Times New Roman"/>
          <w:b/>
          <w:bCs/>
          <w:sz w:val="20"/>
          <w:szCs w:val="20"/>
        </w:rPr>
      </w:pPr>
    </w:p>
    <w:p w14:paraId="00000001" w14:textId="0010866B" w:rsidR="00625CC8" w:rsidRPr="00411E37" w:rsidRDefault="00D8522D" w:rsidP="00233D20">
      <w:pPr>
        <w:spacing w:before="240"/>
        <w:ind w:right="40"/>
        <w:jc w:val="center"/>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 Program działania i rozwoju Muzeum Współczesnego Wrocław</w:t>
      </w:r>
    </w:p>
    <w:p w14:paraId="00000002" w14:textId="77777777" w:rsidR="00625CC8" w:rsidRPr="00411E37" w:rsidRDefault="00D8522D" w:rsidP="00233D20">
      <w:pPr>
        <w:spacing w:after="160"/>
        <w:jc w:val="center"/>
        <w:rPr>
          <w:rFonts w:ascii="Verdana" w:eastAsia="Times New Roman" w:hAnsi="Verdana" w:cs="Times New Roman"/>
          <w:b/>
          <w:bCs/>
          <w:sz w:val="20"/>
          <w:szCs w:val="20"/>
        </w:rPr>
      </w:pPr>
      <w:r w:rsidRPr="00411E37">
        <w:rPr>
          <w:rFonts w:ascii="Verdana" w:eastAsia="Times New Roman" w:hAnsi="Verdana" w:cs="Times New Roman"/>
          <w:b/>
          <w:bCs/>
          <w:sz w:val="20"/>
          <w:szCs w:val="20"/>
        </w:rPr>
        <w:t>2026–2031</w:t>
      </w:r>
    </w:p>
    <w:p w14:paraId="00000003" w14:textId="77777777" w:rsidR="00625CC8" w:rsidRPr="00411E37" w:rsidRDefault="00625CC8" w:rsidP="00233D20">
      <w:pPr>
        <w:spacing w:after="160"/>
        <w:jc w:val="center"/>
        <w:rPr>
          <w:rFonts w:ascii="Verdana" w:eastAsia="Times New Roman" w:hAnsi="Verdana" w:cs="Times New Roman"/>
          <w:b/>
          <w:bCs/>
          <w:sz w:val="20"/>
          <w:szCs w:val="20"/>
        </w:rPr>
      </w:pPr>
    </w:p>
    <w:p w14:paraId="607EAF42" w14:textId="77777777" w:rsidR="00C916C5" w:rsidRPr="00411E37" w:rsidRDefault="00C916C5" w:rsidP="00233D20">
      <w:pPr>
        <w:spacing w:after="160"/>
        <w:jc w:val="center"/>
        <w:rPr>
          <w:rFonts w:ascii="Verdana" w:eastAsia="Times New Roman" w:hAnsi="Verdana" w:cs="Times New Roman"/>
          <w:b/>
          <w:bCs/>
          <w:sz w:val="20"/>
          <w:szCs w:val="20"/>
        </w:rPr>
      </w:pPr>
    </w:p>
    <w:p w14:paraId="00000004" w14:textId="77777777" w:rsidR="00625CC8" w:rsidRPr="00411E37" w:rsidRDefault="00D8522D" w:rsidP="00233D20">
      <w:pPr>
        <w:spacing w:after="160"/>
        <w:jc w:val="center"/>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Piotr Lisowski </w:t>
      </w:r>
    </w:p>
    <w:p w14:paraId="00000005" w14:textId="77777777" w:rsidR="00625CC8" w:rsidRPr="00411E37" w:rsidRDefault="00625CC8" w:rsidP="00233D20">
      <w:pPr>
        <w:spacing w:after="160"/>
        <w:jc w:val="center"/>
        <w:rPr>
          <w:rFonts w:ascii="Verdana" w:eastAsia="Times New Roman" w:hAnsi="Verdana" w:cs="Times New Roman"/>
          <w:b/>
          <w:bCs/>
          <w:sz w:val="20"/>
          <w:szCs w:val="20"/>
        </w:rPr>
      </w:pPr>
    </w:p>
    <w:p w14:paraId="00000006" w14:textId="77777777" w:rsidR="00625CC8" w:rsidRPr="00411E37" w:rsidRDefault="00625CC8" w:rsidP="00233D20">
      <w:pPr>
        <w:spacing w:after="160"/>
        <w:jc w:val="center"/>
        <w:rPr>
          <w:rFonts w:ascii="Verdana" w:eastAsia="Times New Roman" w:hAnsi="Verdana" w:cs="Times New Roman"/>
          <w:b/>
          <w:bCs/>
          <w:sz w:val="20"/>
          <w:szCs w:val="20"/>
        </w:rPr>
      </w:pPr>
    </w:p>
    <w:p w14:paraId="00000007" w14:textId="77777777" w:rsidR="00625CC8" w:rsidRPr="00411E37" w:rsidRDefault="00625CC8" w:rsidP="00233D20">
      <w:pPr>
        <w:spacing w:after="160"/>
        <w:jc w:val="center"/>
        <w:rPr>
          <w:rFonts w:ascii="Verdana" w:eastAsia="Times New Roman" w:hAnsi="Verdana" w:cs="Times New Roman"/>
          <w:b/>
          <w:bCs/>
          <w:sz w:val="20"/>
          <w:szCs w:val="20"/>
        </w:rPr>
      </w:pPr>
    </w:p>
    <w:p w14:paraId="00000008" w14:textId="77777777" w:rsidR="00625CC8" w:rsidRPr="00411E37" w:rsidRDefault="00625CC8" w:rsidP="00233D20">
      <w:pPr>
        <w:spacing w:after="160"/>
        <w:jc w:val="center"/>
        <w:rPr>
          <w:rFonts w:ascii="Verdana" w:eastAsia="Times New Roman" w:hAnsi="Verdana" w:cs="Times New Roman"/>
          <w:b/>
          <w:bCs/>
          <w:sz w:val="20"/>
          <w:szCs w:val="20"/>
        </w:rPr>
      </w:pPr>
    </w:p>
    <w:p w14:paraId="00000009" w14:textId="77777777" w:rsidR="00625CC8" w:rsidRPr="00411E37" w:rsidRDefault="00625CC8" w:rsidP="00233D20">
      <w:pPr>
        <w:spacing w:after="160"/>
        <w:jc w:val="center"/>
        <w:rPr>
          <w:rFonts w:ascii="Verdana" w:eastAsia="Times New Roman" w:hAnsi="Verdana" w:cs="Times New Roman"/>
          <w:b/>
          <w:bCs/>
          <w:sz w:val="20"/>
          <w:szCs w:val="20"/>
        </w:rPr>
      </w:pPr>
    </w:p>
    <w:p w14:paraId="0000000A" w14:textId="77777777" w:rsidR="00625CC8" w:rsidRPr="00411E37" w:rsidRDefault="00625CC8" w:rsidP="00233D20">
      <w:pPr>
        <w:spacing w:after="160"/>
        <w:jc w:val="center"/>
        <w:rPr>
          <w:rFonts w:ascii="Verdana" w:eastAsia="Times New Roman" w:hAnsi="Verdana" w:cs="Times New Roman"/>
          <w:b/>
          <w:bCs/>
          <w:sz w:val="20"/>
          <w:szCs w:val="20"/>
        </w:rPr>
      </w:pPr>
    </w:p>
    <w:p w14:paraId="0000000B" w14:textId="77777777" w:rsidR="00625CC8" w:rsidRPr="00411E37" w:rsidRDefault="00625CC8" w:rsidP="00233D20">
      <w:pPr>
        <w:spacing w:after="160"/>
        <w:jc w:val="center"/>
        <w:rPr>
          <w:rFonts w:ascii="Verdana" w:eastAsia="Times New Roman" w:hAnsi="Verdana" w:cs="Times New Roman"/>
          <w:b/>
          <w:bCs/>
          <w:sz w:val="20"/>
          <w:szCs w:val="20"/>
        </w:rPr>
      </w:pPr>
    </w:p>
    <w:p w14:paraId="0000000C" w14:textId="77777777" w:rsidR="00625CC8" w:rsidRPr="00411E37" w:rsidRDefault="00625CC8" w:rsidP="00233D20">
      <w:pPr>
        <w:spacing w:after="160"/>
        <w:jc w:val="center"/>
        <w:rPr>
          <w:rFonts w:ascii="Verdana" w:eastAsia="Times New Roman" w:hAnsi="Verdana" w:cs="Times New Roman"/>
          <w:b/>
          <w:bCs/>
          <w:sz w:val="20"/>
          <w:szCs w:val="20"/>
        </w:rPr>
      </w:pPr>
    </w:p>
    <w:p w14:paraId="0000000D" w14:textId="77777777" w:rsidR="00625CC8" w:rsidRPr="00411E37" w:rsidRDefault="00625CC8" w:rsidP="00233D20">
      <w:pPr>
        <w:spacing w:after="160"/>
        <w:jc w:val="center"/>
        <w:rPr>
          <w:rFonts w:ascii="Verdana" w:eastAsia="Times New Roman" w:hAnsi="Verdana" w:cs="Times New Roman"/>
          <w:b/>
          <w:bCs/>
          <w:sz w:val="20"/>
          <w:szCs w:val="20"/>
        </w:rPr>
      </w:pPr>
    </w:p>
    <w:p w14:paraId="0000000E" w14:textId="77777777" w:rsidR="00625CC8" w:rsidRPr="00411E37" w:rsidRDefault="00625CC8" w:rsidP="00233D20">
      <w:pPr>
        <w:spacing w:after="160"/>
        <w:jc w:val="center"/>
        <w:rPr>
          <w:rFonts w:ascii="Verdana" w:eastAsia="Times New Roman" w:hAnsi="Verdana" w:cs="Times New Roman"/>
          <w:b/>
          <w:bCs/>
          <w:sz w:val="20"/>
          <w:szCs w:val="20"/>
        </w:rPr>
      </w:pPr>
    </w:p>
    <w:p w14:paraId="0000000F" w14:textId="77777777" w:rsidR="00625CC8" w:rsidRPr="00411E37" w:rsidRDefault="00625CC8" w:rsidP="00233D20">
      <w:pPr>
        <w:spacing w:after="160"/>
        <w:jc w:val="center"/>
        <w:rPr>
          <w:rFonts w:ascii="Verdana" w:eastAsia="Times New Roman" w:hAnsi="Verdana" w:cs="Times New Roman"/>
          <w:b/>
          <w:bCs/>
          <w:sz w:val="20"/>
          <w:szCs w:val="20"/>
        </w:rPr>
      </w:pPr>
    </w:p>
    <w:p w14:paraId="00000010" w14:textId="77777777" w:rsidR="00625CC8" w:rsidRPr="00411E37" w:rsidRDefault="00625CC8" w:rsidP="00233D20">
      <w:pPr>
        <w:spacing w:after="160"/>
        <w:jc w:val="center"/>
        <w:rPr>
          <w:rFonts w:ascii="Verdana" w:eastAsia="Times New Roman" w:hAnsi="Verdana" w:cs="Times New Roman"/>
          <w:b/>
          <w:bCs/>
          <w:sz w:val="20"/>
          <w:szCs w:val="20"/>
        </w:rPr>
      </w:pPr>
    </w:p>
    <w:p w14:paraId="00000011" w14:textId="77777777" w:rsidR="00625CC8" w:rsidRPr="00411E37" w:rsidRDefault="00625CC8" w:rsidP="00233D20">
      <w:pPr>
        <w:spacing w:after="160"/>
        <w:jc w:val="center"/>
        <w:rPr>
          <w:rFonts w:ascii="Verdana" w:eastAsia="Times New Roman" w:hAnsi="Verdana" w:cs="Times New Roman"/>
          <w:b/>
          <w:bCs/>
          <w:sz w:val="20"/>
          <w:szCs w:val="20"/>
        </w:rPr>
      </w:pPr>
    </w:p>
    <w:p w14:paraId="00000012" w14:textId="77777777" w:rsidR="00625CC8" w:rsidRPr="00411E37" w:rsidRDefault="00625CC8" w:rsidP="00233D20">
      <w:pPr>
        <w:spacing w:after="160"/>
        <w:jc w:val="center"/>
        <w:rPr>
          <w:rFonts w:ascii="Verdana" w:eastAsia="Times New Roman" w:hAnsi="Verdana" w:cs="Times New Roman"/>
          <w:b/>
          <w:bCs/>
          <w:sz w:val="20"/>
          <w:szCs w:val="20"/>
        </w:rPr>
      </w:pPr>
    </w:p>
    <w:p w14:paraId="00000013" w14:textId="77777777" w:rsidR="00625CC8" w:rsidRPr="00411E37" w:rsidRDefault="00625CC8" w:rsidP="00233D20">
      <w:pPr>
        <w:spacing w:after="160"/>
        <w:jc w:val="center"/>
        <w:rPr>
          <w:rFonts w:ascii="Verdana" w:eastAsia="Times New Roman" w:hAnsi="Verdana" w:cs="Times New Roman"/>
          <w:b/>
          <w:bCs/>
          <w:sz w:val="20"/>
          <w:szCs w:val="20"/>
        </w:rPr>
      </w:pPr>
    </w:p>
    <w:p w14:paraId="00000014" w14:textId="77777777" w:rsidR="00625CC8" w:rsidRPr="00411E37" w:rsidRDefault="00625CC8" w:rsidP="00233D20">
      <w:pPr>
        <w:spacing w:after="160"/>
        <w:jc w:val="center"/>
        <w:rPr>
          <w:rFonts w:ascii="Verdana" w:eastAsia="Times New Roman" w:hAnsi="Verdana" w:cs="Times New Roman"/>
          <w:b/>
          <w:bCs/>
          <w:sz w:val="20"/>
          <w:szCs w:val="20"/>
        </w:rPr>
      </w:pPr>
    </w:p>
    <w:p w14:paraId="00000015" w14:textId="77777777" w:rsidR="00625CC8" w:rsidRPr="00411E37" w:rsidRDefault="00625CC8" w:rsidP="00233D20">
      <w:pPr>
        <w:spacing w:after="160"/>
        <w:jc w:val="center"/>
        <w:rPr>
          <w:rFonts w:ascii="Verdana" w:eastAsia="Times New Roman" w:hAnsi="Verdana" w:cs="Times New Roman"/>
          <w:b/>
          <w:bCs/>
          <w:sz w:val="20"/>
          <w:szCs w:val="20"/>
        </w:rPr>
      </w:pPr>
    </w:p>
    <w:p w14:paraId="00000016" w14:textId="77777777" w:rsidR="00625CC8" w:rsidRPr="00411E37" w:rsidRDefault="00625CC8" w:rsidP="00233D20">
      <w:pPr>
        <w:spacing w:after="160"/>
        <w:jc w:val="center"/>
        <w:rPr>
          <w:rFonts w:ascii="Verdana" w:eastAsia="Times New Roman" w:hAnsi="Verdana" w:cs="Times New Roman"/>
          <w:b/>
          <w:bCs/>
          <w:sz w:val="20"/>
          <w:szCs w:val="20"/>
        </w:rPr>
      </w:pPr>
    </w:p>
    <w:p w14:paraId="00000017" w14:textId="77777777" w:rsidR="00625CC8" w:rsidRPr="00411E37" w:rsidRDefault="00625CC8" w:rsidP="00233D20">
      <w:pPr>
        <w:spacing w:after="160"/>
        <w:jc w:val="center"/>
        <w:rPr>
          <w:rFonts w:ascii="Verdana" w:eastAsia="Times New Roman" w:hAnsi="Verdana" w:cs="Times New Roman"/>
          <w:b/>
          <w:bCs/>
          <w:sz w:val="20"/>
          <w:szCs w:val="20"/>
        </w:rPr>
      </w:pPr>
    </w:p>
    <w:p w14:paraId="00000018" w14:textId="77777777" w:rsidR="00625CC8" w:rsidRPr="00411E37" w:rsidRDefault="00625CC8" w:rsidP="00233D20">
      <w:pPr>
        <w:spacing w:after="160"/>
        <w:jc w:val="center"/>
        <w:rPr>
          <w:rFonts w:ascii="Verdana" w:eastAsia="Times New Roman" w:hAnsi="Verdana" w:cs="Times New Roman"/>
          <w:b/>
          <w:bCs/>
          <w:sz w:val="20"/>
          <w:szCs w:val="20"/>
        </w:rPr>
      </w:pPr>
    </w:p>
    <w:p w14:paraId="00000019" w14:textId="77777777" w:rsidR="00625CC8" w:rsidRPr="00411E37" w:rsidRDefault="00625CC8" w:rsidP="00233D20">
      <w:pPr>
        <w:spacing w:after="160"/>
        <w:jc w:val="center"/>
        <w:rPr>
          <w:rFonts w:ascii="Verdana" w:eastAsia="Times New Roman" w:hAnsi="Verdana" w:cs="Times New Roman"/>
          <w:b/>
          <w:bCs/>
          <w:sz w:val="20"/>
          <w:szCs w:val="20"/>
        </w:rPr>
      </w:pPr>
    </w:p>
    <w:p w14:paraId="0000001B" w14:textId="77777777" w:rsidR="00625CC8" w:rsidRPr="00411E37" w:rsidRDefault="00625CC8" w:rsidP="00233D20">
      <w:pPr>
        <w:spacing w:after="160"/>
        <w:jc w:val="both"/>
        <w:rPr>
          <w:rFonts w:ascii="Verdana" w:eastAsia="Times New Roman" w:hAnsi="Verdana" w:cs="Times New Roman"/>
          <w:b/>
          <w:bCs/>
          <w:sz w:val="20"/>
          <w:szCs w:val="20"/>
        </w:rPr>
      </w:pPr>
    </w:p>
    <w:p w14:paraId="0000001C" w14:textId="3AF59247" w:rsidR="00625CC8" w:rsidRDefault="00625CC8" w:rsidP="00233D20">
      <w:pPr>
        <w:spacing w:after="160"/>
        <w:jc w:val="both"/>
        <w:rPr>
          <w:rFonts w:ascii="Verdana" w:eastAsia="Times New Roman" w:hAnsi="Verdana" w:cs="Times New Roman"/>
          <w:b/>
          <w:bCs/>
          <w:sz w:val="20"/>
          <w:szCs w:val="20"/>
        </w:rPr>
      </w:pPr>
    </w:p>
    <w:p w14:paraId="79F98502" w14:textId="77777777" w:rsidR="00411E37" w:rsidRPr="00411E37" w:rsidRDefault="00411E37" w:rsidP="00233D20">
      <w:pPr>
        <w:spacing w:after="160"/>
        <w:jc w:val="both"/>
        <w:rPr>
          <w:rFonts w:ascii="Verdana" w:eastAsia="Times New Roman" w:hAnsi="Verdana" w:cs="Times New Roman"/>
          <w:b/>
          <w:bCs/>
          <w:sz w:val="20"/>
          <w:szCs w:val="20"/>
        </w:rPr>
      </w:pPr>
    </w:p>
    <w:p w14:paraId="00000020" w14:textId="77777777" w:rsidR="00625CC8" w:rsidRPr="00411E37" w:rsidRDefault="00D8522D" w:rsidP="00C916C5">
      <w:pPr>
        <w:spacing w:after="160"/>
        <w:jc w:val="center"/>
        <w:rPr>
          <w:rFonts w:ascii="Verdana" w:eastAsia="Times New Roman" w:hAnsi="Verdana" w:cs="Times New Roman"/>
          <w:b/>
          <w:bCs/>
          <w:sz w:val="20"/>
          <w:szCs w:val="20"/>
        </w:rPr>
      </w:pPr>
      <w:r w:rsidRPr="00411E37">
        <w:rPr>
          <w:rFonts w:ascii="Verdana" w:eastAsia="Times New Roman" w:hAnsi="Verdana" w:cs="Times New Roman"/>
          <w:b/>
          <w:bCs/>
          <w:sz w:val="20"/>
          <w:szCs w:val="20"/>
        </w:rPr>
        <w:lastRenderedPageBreak/>
        <w:t>1) Misja i wizja rozwoju, cele strategiczne długoterminowe i krótkoterminowe ze wskazaniem planowanych działań do ich realizacji oraz wskaźników ich osiągnięcia</w:t>
      </w:r>
    </w:p>
    <w:p w14:paraId="00000021" w14:textId="77777777" w:rsidR="00625CC8" w:rsidRPr="00411E37" w:rsidRDefault="00D8522D" w:rsidP="00233D20">
      <w:pPr>
        <w:spacing w:after="160"/>
        <w:jc w:val="both"/>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Misja i wizja rozwoju </w:t>
      </w:r>
    </w:p>
    <w:p w14:paraId="00000022" w14:textId="29D1C0A8"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Muzeum Współczesne Wrocław (MWW) w proponowanej wizji rozwoju to „muzeum otwarte”</w:t>
      </w:r>
      <w:r w:rsidR="00233D20"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 xml:space="preserve">zarówno w wymiarze artystycznym jak i społecznym. Oznacza instytucję dostępną, uczestniczącą i włączającą, a zarazem edukacyjno-badawczą oraz innowacyjną. Będącą przestrzenią dialogu, krytycznej refleksji oraz twórczym laboratorium, reagującą na wyzwania i gwałtowne przemiany współczesnej rzeczywistości. </w:t>
      </w:r>
    </w:p>
    <w:p w14:paraId="00000023"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„Muzeum otwarte” pozostaje aktywne w relacjach z publicznością i artystami. Jest wizją miejsca, które rozwija swoją działalność zarówno w kontekście lokalnym, jak i </w:t>
      </w:r>
      <w:proofErr w:type="spellStart"/>
      <w:r w:rsidRPr="00411E37">
        <w:rPr>
          <w:rFonts w:ascii="Verdana" w:eastAsia="Times New Roman" w:hAnsi="Verdana" w:cs="Times New Roman"/>
          <w:sz w:val="20"/>
          <w:szCs w:val="20"/>
        </w:rPr>
        <w:t>translokalnym</w:t>
      </w:r>
      <w:proofErr w:type="spellEnd"/>
      <w:r w:rsidRPr="00411E37">
        <w:rPr>
          <w:rFonts w:ascii="Verdana" w:eastAsia="Times New Roman" w:hAnsi="Verdana" w:cs="Times New Roman"/>
          <w:sz w:val="20"/>
          <w:szCs w:val="20"/>
        </w:rPr>
        <w:t xml:space="preserve">, budując sieci relacji, współpracy oraz wymiany pomiędzy wszystkimi grupami interesariuszy Muzeum. </w:t>
      </w:r>
    </w:p>
    <w:p w14:paraId="00000024"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W proponowanej koncepcji celem jest stworzenie miejsca łączącego doświadczenie przeszłości z perspektywą przyszłości. To napięcie stanowi fundament dwutorowego modelu działania MWW. Z jednej strony misją Muzeum jest gromadzenie, badanie oraz prezentowanie dziedzictwa sztuki wrocławskiej, ze szczególnym uwzględnieniem jej neoawangardowego charakteru. Z drugiej strony zaś – podjęcie refleksji nad rolą sztuki w otaczającej nas rzeczywistości, a także badanie jeszcze niewyartykułowanych możliwości i przyszłych zadań sztuki. MWW jako „muzeum otwarte” nie jest zatem wyłącznie miejscem przechowywania i eksponowania zbiorów, lecz aktywnym uczestnikiem procesów artystycznych. W sposób świadomy włącza się w kreowanie sztuki współczesnej, inicjuje dialog społeczny i wzmacnia wizerunek Wrocławia jako miasta o silnej, rozpoznawalnej i opiniotwórczej scenie artystycznej. </w:t>
      </w:r>
    </w:p>
    <w:p w14:paraId="00000025"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W tak nakreślonej wizji misją MWW jest kreowanie przestrzeni spotkania, sprzyjającej komunikacji oraz budowaniu trwałych relacji międzyludzkich, w której sztuka staje się narzędziem tworzenia wartości społecznych. Rolą Muzeum w szczególności jest badanie oraz prezentowanie lokalnej tradycji i sytuowanie jej spuścizny w szerszym – ogólnopolskim i międzynarodowym kontekście.</w:t>
      </w:r>
    </w:p>
    <w:p w14:paraId="00000026"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b/>
          <w:bCs/>
          <w:sz w:val="20"/>
          <w:szCs w:val="20"/>
        </w:rPr>
        <w:t>Historyczne źródła</w:t>
      </w:r>
      <w:r w:rsidRPr="00411E37">
        <w:rPr>
          <w:rFonts w:ascii="Verdana" w:eastAsia="Times New Roman" w:hAnsi="Verdana" w:cs="Times New Roman"/>
          <w:sz w:val="20"/>
          <w:szCs w:val="20"/>
        </w:rPr>
        <w:t xml:space="preserve"> </w:t>
      </w:r>
    </w:p>
    <w:p w14:paraId="00000027"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Pojęcie „muzeum otwarte” jest osadzone w lokalnej tradycji artystycznej Wrocławia – stanowi parafrazę terminów „teatr otwarty” oraz „sztuka otwarta”. W latach 70. XX w. Bogusław Litwiniec, twórca niezależnej kultury teatralnej, zaczął stosować koncepcję teatru otwartego, rozszerzając ją następnie o inne praktyki artystyczne, zdefiniowane jako sztuka otwarta. Jej celem było przekształcenie codzienności w akt twórczy – sztuka miała wychodzić w przestrzeń publiczną, przenikać życie społeczne i prowokować do wspólnego działania. W zbliżonym czasie, na gruncie polskiego muzealnictwa, ideę muzeum otwartego rozwijał Ryszard Stanisławski, postrzegając tego typu instytucję jako miejsce aktywnie nawiązujące kontakt z publicznością, zaangażowane w życie społeczne oraz uczestniczące w bieżących procesach artystycznych. Niemniej jednak w mojej koncepcji zasadniczym źródłem inspiracji pozostają dolnośląskie idee teatru otwartego i sztuki otwartej.</w:t>
      </w:r>
    </w:p>
    <w:p w14:paraId="00000028" w14:textId="77777777" w:rsidR="00625CC8" w:rsidRPr="00411E37" w:rsidRDefault="00D8522D" w:rsidP="00411E37">
      <w:pPr>
        <w:spacing w:after="160"/>
        <w:rPr>
          <w:rFonts w:ascii="Verdana" w:eastAsia="Roboto" w:hAnsi="Verdana" w:cs="Times New Roman"/>
          <w:color w:val="1F1F1F"/>
          <w:sz w:val="20"/>
          <w:szCs w:val="20"/>
          <w:highlight w:val="white"/>
        </w:rPr>
      </w:pPr>
      <w:r w:rsidRPr="00411E37">
        <w:rPr>
          <w:rFonts w:ascii="Verdana" w:eastAsia="Times New Roman" w:hAnsi="Verdana" w:cs="Times New Roman"/>
          <w:sz w:val="20"/>
          <w:szCs w:val="20"/>
        </w:rPr>
        <w:t xml:space="preserve">Pojęcie sztuki otwartej było często przywoływane w kontekście historycznych analiz sztuki Wrocławia po 1945 roku. Miasto, będące centralnym ośrodkiem Ziem </w:t>
      </w:r>
      <w:r w:rsidRPr="00411E37">
        <w:rPr>
          <w:rFonts w:ascii="Verdana" w:eastAsia="Times New Roman" w:hAnsi="Verdana" w:cs="Times New Roman"/>
          <w:sz w:val="20"/>
          <w:szCs w:val="20"/>
        </w:rPr>
        <w:lastRenderedPageBreak/>
        <w:t xml:space="preserve">Odzyskanych, po II wojnie światowej zostało zasiedlone przez przybyszów z różnych regionów Polski. W rezultacie rozpoczął się dynamiczny proces kształtowania tożsamości, która w istotnym stopniu musiała zostać wymyślona na nowo. W tym kontekście kultura napotkała szczególnie podatny grunt, który z czasem umożliwił wykształcenie silnego środowiska artystycznego, opartego na przenikaniu się dyscyplin, otwartości oraz swobodnej wymianie idei, sprzyjającego rozwijaniu nowych modeli działania. </w:t>
      </w:r>
      <w:r w:rsidRPr="00411E37">
        <w:rPr>
          <w:rFonts w:ascii="Verdana" w:eastAsia="Times New Roman" w:hAnsi="Verdana" w:cs="Times New Roman"/>
          <w:color w:val="1F1F1F"/>
          <w:sz w:val="20"/>
          <w:szCs w:val="20"/>
          <w:highlight w:val="white"/>
        </w:rPr>
        <w:t xml:space="preserve">Dla rozkwitu otwartego, progresywnego i eksperymentalnego ekosystemu artystycznego Wrocławia kluczowe było także zaproszenie tu w 1966 roku Jerzego Ludwińskiego, autora pionierskiej koncepcji Muzeum Sztuki Aktualnej. Krytyk postrzegał muzeum jako instytucję, która z jednej strony miała być „czułym sejsmografem”, rejestrującym nowe zjawiska i fakty artystyczne, z drugiej zaś </w:t>
      </w:r>
      <w:r w:rsidRPr="00411E37">
        <w:rPr>
          <w:rFonts w:ascii="Verdana" w:eastAsia="Times New Roman" w:hAnsi="Verdana" w:cs="Times New Roman"/>
          <w:sz w:val="20"/>
          <w:szCs w:val="20"/>
        </w:rPr>
        <w:t xml:space="preserve">– </w:t>
      </w:r>
      <w:r w:rsidRPr="00411E37">
        <w:rPr>
          <w:rFonts w:ascii="Verdana" w:eastAsia="Times New Roman" w:hAnsi="Verdana" w:cs="Times New Roman"/>
          <w:color w:val="1F1F1F"/>
          <w:sz w:val="20"/>
          <w:szCs w:val="20"/>
          <w:highlight w:val="white"/>
        </w:rPr>
        <w:t>„katalizatorem”, prowokującym i przyspieszającym ich zaistnienie. Tak rozumiana instytucja powinna reagować na fakty artystyczne w momencie ich powstawania.</w:t>
      </w:r>
    </w:p>
    <w:p w14:paraId="00000029"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Muzeum otwarte – muzeum odpowiedzialne</w:t>
      </w:r>
    </w:p>
    <w:p w14:paraId="0000002A" w14:textId="1955D342"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Idea muzeum otwartego oznacza dla mnie instytucję działającą w sposób odpowiedzialny, rzetelny i sprawiedliwy. Jej fundamentem jest stabilny, zaangażowany zespół, realnie uczestniczący w realizacji misji Muzeum, posiadający poczucie sprawczości oraz objęty godnymi i transparentnymi warunkami pracy. Kluczowe jest stworzenie bezpiecznego i wspierającego środowiska zawodowego, w którym różnorodność stanowi wartość, a rozwój osobisty i zawodowy jest wspólnym celem instytucji i pracowników. To samo poczucie bezpieczeństwa, odpowiedzialności i wzajemnego zaufania powinno towarzyszyć współpracy z artystami. Muzeum musi kierować się jasnymi zasadami współdziałania, etyką zawodową oraz uczciwym wynagradzaniem pracy twórczej, traktując artystów jako równorzędnych partnerów procesu instytucjonalnego i programowego. Równie istotne jest budowanie trwałych relacji z publicznością i otoczeniem społecznym Muzeum. Zamierzam rozwijać dialog z różnorodnymi grupami odbiorców, w tym z lokalnym sąsiedztwem, projektując programy artystyczne i edukacyjne oparte na rozpoznaniu ich potrzeb, doświadczeń i kontekstów kulturowych. Szczególną uwagę należy poświęcić obecnym we Wrocławiu mniejszościom, w tym społeczności ukraińskiej, a także systematycznie rozwijać dostępność instytucji, uwzględniając potrzeby osób z niepełnosprawnościami. Muzeum otwarte rozumiem jako przestrzeń realnego włącz</w:t>
      </w:r>
      <w:r w:rsidR="00A51BC9" w:rsidRPr="00411E37">
        <w:rPr>
          <w:rFonts w:ascii="Verdana" w:eastAsia="Times New Roman" w:hAnsi="Verdana" w:cs="Times New Roman"/>
          <w:sz w:val="20"/>
          <w:szCs w:val="20"/>
        </w:rPr>
        <w:t>a</w:t>
      </w:r>
      <w:r w:rsidRPr="00411E37">
        <w:rPr>
          <w:rFonts w:ascii="Verdana" w:eastAsia="Times New Roman" w:hAnsi="Verdana" w:cs="Times New Roman"/>
          <w:sz w:val="20"/>
          <w:szCs w:val="20"/>
        </w:rPr>
        <w:t>nia, odpowiedzialności i wspólnego działania.</w:t>
      </w:r>
    </w:p>
    <w:p w14:paraId="0000002B" w14:textId="77777777" w:rsidR="00625CC8" w:rsidRPr="00411E37" w:rsidRDefault="00D8522D" w:rsidP="00411E37">
      <w:pPr>
        <w:spacing w:before="240" w:after="240"/>
        <w:rPr>
          <w:rFonts w:ascii="Verdana" w:eastAsia="Times New Roman" w:hAnsi="Verdana" w:cs="Times New Roman"/>
          <w:b/>
          <w:bCs/>
          <w:sz w:val="20"/>
          <w:szCs w:val="20"/>
        </w:rPr>
      </w:pPr>
      <w:r w:rsidRPr="00411E37">
        <w:rPr>
          <w:rFonts w:ascii="Verdana" w:eastAsia="Times New Roman" w:hAnsi="Verdana" w:cs="Times New Roman"/>
          <w:b/>
          <w:bCs/>
          <w:sz w:val="20"/>
          <w:szCs w:val="20"/>
        </w:rPr>
        <w:t>Muzeum w ekosystemie instytucjonalnym sztuki Wrocławia</w:t>
      </w:r>
    </w:p>
    <w:p w14:paraId="0000002C"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W bogatym i zróżnicowanym ekosystemie wrocławskiej sztuki, obejmującym instytucje publiczne, prywatne czy organizacje pozarządowe, w mojej wizji MWW zajmuje wyraźnie określone miejsce. Jego unikatowy charakter wynika z synergii eksperckiej wiedzy, jasno zdefiniowanego profilu badawczego oraz silnego zakorzenienia w lokalnej historii i dziedzictwie </w:t>
      </w:r>
      <w:proofErr w:type="spellStart"/>
      <w:r w:rsidRPr="00411E37">
        <w:rPr>
          <w:rFonts w:ascii="Verdana" w:eastAsia="Times New Roman" w:hAnsi="Verdana" w:cs="Times New Roman"/>
          <w:sz w:val="20"/>
          <w:szCs w:val="20"/>
        </w:rPr>
        <w:t>neoawangardy</w:t>
      </w:r>
      <w:proofErr w:type="spellEnd"/>
      <w:r w:rsidRPr="00411E37">
        <w:rPr>
          <w:rFonts w:ascii="Verdana" w:eastAsia="Times New Roman" w:hAnsi="Verdana" w:cs="Times New Roman"/>
          <w:sz w:val="20"/>
          <w:szCs w:val="20"/>
        </w:rPr>
        <w:t xml:space="preserve">, interpretowanych z perspektywy sztuki najnowszej i współczesnych praktyk muzealnych. MWW wyróżnia także międzynarodowa kolekcja, której trzonem jest historia awangardowego Wrocławia. </w:t>
      </w:r>
    </w:p>
    <w:p w14:paraId="0000002D" w14:textId="77777777" w:rsidR="00625CC8" w:rsidRPr="00411E37" w:rsidRDefault="00D8522D" w:rsidP="00411E37">
      <w:pPr>
        <w:spacing w:before="240"/>
        <w:rPr>
          <w:rFonts w:ascii="Verdana" w:eastAsia="Times New Roman" w:hAnsi="Verdana" w:cs="Times New Roman"/>
          <w:b/>
          <w:bCs/>
          <w:sz w:val="20"/>
          <w:szCs w:val="20"/>
        </w:rPr>
      </w:pPr>
      <w:r w:rsidRPr="00411E37">
        <w:rPr>
          <w:rFonts w:ascii="Verdana" w:eastAsia="Times New Roman" w:hAnsi="Verdana" w:cs="Times New Roman"/>
          <w:b/>
          <w:bCs/>
          <w:sz w:val="20"/>
          <w:szCs w:val="20"/>
        </w:rPr>
        <w:t>Cele strategiczne</w:t>
      </w:r>
    </w:p>
    <w:p w14:paraId="0000002E"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Proponowana przeze mnie wizja rozwoju MWW formułowana jest z perspektywy osoby posiadającej niemal piętnastoletnie doświadczenie w badaniu współczesnej sztuki Wrocławia, a jednocześnie aktywnie uczestniczącej w życiu lokalnego środowiska artystycznego. Równocześnie jest to perspektywa osoby dobrze znającej specyfikę </w:t>
      </w:r>
      <w:r w:rsidRPr="00411E37">
        <w:rPr>
          <w:rFonts w:ascii="Verdana" w:eastAsia="Times New Roman" w:hAnsi="Verdana" w:cs="Times New Roman"/>
          <w:sz w:val="20"/>
          <w:szCs w:val="20"/>
        </w:rPr>
        <w:lastRenderedPageBreak/>
        <w:t>funkcjonowania samej instytucji. Z MWW współpracowałem od 2011 roku, a w latach 2016–2022 byłem stałym członkiem zespołu, aktywnie współtworząc program instytucji oraz rozwój jej zbiorów. W okresie od początku 2020 roku do stycznia 2021 roku pełniłem obowiązki dyrektora Muzeum, konsolidując zespół w trudnym czasie pandemii, wdrażając procesy restrukturyzacji organizacyjno-programowej oraz inicjując opracowanie programu naprawczego dotyczącego ewidencji zbiorów. Formułując niniejszą wizję oraz wyznaczając cele strategiczne, opieram się na zdobytych doświadczeniach i wiedzy, co pozwala mi zaproponować spójny oraz ambitny kierunek rozwoju, przy jednoczesnym uwzględnieniu realiów codziennego funkcjonowania MWW.</w:t>
      </w:r>
    </w:p>
    <w:p w14:paraId="0000002F" w14:textId="74DBC158"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Cele długoterminowe</w:t>
      </w:r>
    </w:p>
    <w:p w14:paraId="00000030"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Programowe:</w:t>
      </w:r>
    </w:p>
    <w:p w14:paraId="00000031" w14:textId="77777777" w:rsidR="00625CC8" w:rsidRPr="00411E37" w:rsidRDefault="00D8522D" w:rsidP="00411E37">
      <w:pPr>
        <w:pStyle w:val="Akapitzlist"/>
        <w:numPr>
          <w:ilvl w:val="0"/>
          <w:numId w:val="6"/>
        </w:numPr>
        <w:rPr>
          <w:rFonts w:ascii="Verdana" w:eastAsia="Times New Roman" w:hAnsi="Verdana" w:cs="Times New Roman"/>
          <w:sz w:val="20"/>
          <w:szCs w:val="20"/>
        </w:rPr>
      </w:pPr>
      <w:r w:rsidRPr="00411E37">
        <w:rPr>
          <w:rFonts w:ascii="Verdana" w:eastAsia="Times New Roman" w:hAnsi="Verdana" w:cs="Times New Roman"/>
          <w:sz w:val="20"/>
          <w:szCs w:val="20"/>
        </w:rPr>
        <w:t>rozwój MWW jako „muzeum otwartego”</w:t>
      </w:r>
    </w:p>
    <w:p w14:paraId="00000032" w14:textId="77777777" w:rsidR="00625CC8" w:rsidRPr="00411E37" w:rsidRDefault="00D8522D" w:rsidP="00411E37">
      <w:pPr>
        <w:pStyle w:val="Akapitzlist"/>
        <w:numPr>
          <w:ilvl w:val="0"/>
          <w:numId w:val="6"/>
        </w:numPr>
        <w:rPr>
          <w:rFonts w:ascii="Verdana" w:eastAsia="Times New Roman" w:hAnsi="Verdana" w:cs="Times New Roman"/>
          <w:sz w:val="20"/>
          <w:szCs w:val="20"/>
        </w:rPr>
      </w:pPr>
      <w:r w:rsidRPr="00411E37">
        <w:rPr>
          <w:rFonts w:ascii="Verdana" w:eastAsia="Times New Roman" w:hAnsi="Verdana" w:cs="Times New Roman"/>
          <w:sz w:val="20"/>
          <w:szCs w:val="20"/>
        </w:rPr>
        <w:t>ukształtowanie pozycji MWW jako silnego ośrodka specjalizującego się w badaniu praktyk neoawangardowych i ich definiowaniu w kontekście sztuki aktualnej</w:t>
      </w:r>
    </w:p>
    <w:p w14:paraId="00000033" w14:textId="77777777" w:rsidR="00625CC8" w:rsidRPr="00411E37" w:rsidRDefault="00D8522D" w:rsidP="00411E37">
      <w:pPr>
        <w:pStyle w:val="Akapitzlist"/>
        <w:numPr>
          <w:ilvl w:val="0"/>
          <w:numId w:val="6"/>
        </w:numPr>
        <w:rPr>
          <w:rFonts w:ascii="Verdana" w:eastAsia="Times New Roman" w:hAnsi="Verdana" w:cs="Times New Roman"/>
          <w:sz w:val="20"/>
          <w:szCs w:val="20"/>
        </w:rPr>
      </w:pPr>
      <w:r w:rsidRPr="00411E37">
        <w:rPr>
          <w:rFonts w:ascii="Verdana" w:eastAsia="Times New Roman" w:hAnsi="Verdana" w:cs="Times New Roman"/>
          <w:sz w:val="20"/>
          <w:szCs w:val="20"/>
        </w:rPr>
        <w:t>realizacja projektów badawczych poświęconych wrocławskiej scenie artystycznej od lat 50. do 90. XX wieku</w:t>
      </w:r>
    </w:p>
    <w:p w14:paraId="00000034" w14:textId="77777777" w:rsidR="00625CC8" w:rsidRPr="00411E37" w:rsidRDefault="00D8522D" w:rsidP="00411E37">
      <w:pPr>
        <w:pStyle w:val="Akapitzlist"/>
        <w:numPr>
          <w:ilvl w:val="0"/>
          <w:numId w:val="6"/>
        </w:numPr>
        <w:rPr>
          <w:rFonts w:ascii="Verdana" w:eastAsia="Times New Roman" w:hAnsi="Verdana" w:cs="Times New Roman"/>
          <w:sz w:val="20"/>
          <w:szCs w:val="20"/>
        </w:rPr>
      </w:pPr>
      <w:r w:rsidRPr="00411E37">
        <w:rPr>
          <w:rFonts w:ascii="Verdana" w:eastAsia="Times New Roman" w:hAnsi="Verdana" w:cs="Times New Roman"/>
          <w:sz w:val="20"/>
          <w:szCs w:val="20"/>
        </w:rPr>
        <w:t>opracowanie i wydanie publikacji poświęconej kolekcji</w:t>
      </w:r>
    </w:p>
    <w:p w14:paraId="00000035" w14:textId="77777777" w:rsidR="00625CC8" w:rsidRPr="00411E37" w:rsidRDefault="00D8522D" w:rsidP="00411E37">
      <w:pPr>
        <w:pStyle w:val="Akapitzlist"/>
        <w:numPr>
          <w:ilvl w:val="0"/>
          <w:numId w:val="6"/>
        </w:numPr>
        <w:rPr>
          <w:rFonts w:ascii="Verdana" w:eastAsia="Times New Roman" w:hAnsi="Verdana" w:cs="Times New Roman"/>
          <w:sz w:val="20"/>
          <w:szCs w:val="20"/>
        </w:rPr>
      </w:pPr>
      <w:r w:rsidRPr="00411E37">
        <w:rPr>
          <w:rFonts w:ascii="Verdana" w:eastAsia="Times New Roman" w:hAnsi="Verdana" w:cs="Times New Roman"/>
          <w:sz w:val="20"/>
          <w:szCs w:val="20"/>
        </w:rPr>
        <w:t>rozbudowa zbiorów w tym pozyskanie archiwów kluczowych dla dziedzictwa sztuki Wrocławia</w:t>
      </w:r>
    </w:p>
    <w:p w14:paraId="00000036" w14:textId="77777777" w:rsidR="00625CC8" w:rsidRPr="00411E37" w:rsidRDefault="00D8522D" w:rsidP="00411E37">
      <w:pPr>
        <w:pStyle w:val="Akapitzlist"/>
        <w:numPr>
          <w:ilvl w:val="0"/>
          <w:numId w:val="6"/>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powołanie Archiwum Jerzego Ludwińskiego jako centrum badawczego MWW oraz czytelni</w:t>
      </w:r>
    </w:p>
    <w:p w14:paraId="38A844EE" w14:textId="77777777" w:rsidR="00233D20"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Organizacyjne i instytucjonalne: </w:t>
      </w:r>
    </w:p>
    <w:p w14:paraId="71341A5B" w14:textId="77777777" w:rsidR="00233D20" w:rsidRPr="00411E37" w:rsidRDefault="00D8522D" w:rsidP="00411E37">
      <w:pPr>
        <w:pStyle w:val="Akapitzlist"/>
        <w:numPr>
          <w:ilvl w:val="0"/>
          <w:numId w:val="7"/>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stworzenie stabilnego i doświadczonego zespołu specjalistów</w:t>
      </w:r>
    </w:p>
    <w:p w14:paraId="00000039" w14:textId="206581DF" w:rsidR="00625CC8" w:rsidRPr="00411E37" w:rsidRDefault="00D8522D" w:rsidP="00411E37">
      <w:pPr>
        <w:pStyle w:val="Akapitzlist"/>
        <w:numPr>
          <w:ilvl w:val="0"/>
          <w:numId w:val="7"/>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starania o uzyskanie statusu jednostki naukowo-badawczej afiliowanej przy Ministerstwie Nauki i Szkolnictwa Wyższego</w:t>
      </w:r>
    </w:p>
    <w:p w14:paraId="0000003A" w14:textId="77777777" w:rsidR="00625CC8" w:rsidRPr="00411E37" w:rsidRDefault="00D8522D" w:rsidP="00411E37">
      <w:pPr>
        <w:pStyle w:val="Akapitzlist"/>
        <w:numPr>
          <w:ilvl w:val="0"/>
          <w:numId w:val="7"/>
        </w:numPr>
        <w:rPr>
          <w:rFonts w:ascii="Verdana" w:eastAsia="Times New Roman" w:hAnsi="Verdana" w:cs="Times New Roman"/>
          <w:sz w:val="20"/>
          <w:szCs w:val="20"/>
        </w:rPr>
      </w:pPr>
      <w:r w:rsidRPr="00411E37">
        <w:rPr>
          <w:rFonts w:ascii="Verdana" w:eastAsia="Times New Roman" w:hAnsi="Verdana" w:cs="Times New Roman"/>
          <w:sz w:val="20"/>
          <w:szCs w:val="20"/>
        </w:rPr>
        <w:t>zmiana statusu Muzeum w organizacji i wpis do rejestru muzeów</w:t>
      </w:r>
    </w:p>
    <w:p w14:paraId="0000003B" w14:textId="77777777" w:rsidR="00625CC8" w:rsidRPr="00411E37" w:rsidRDefault="00D8522D" w:rsidP="00411E37">
      <w:pPr>
        <w:pStyle w:val="Akapitzlist"/>
        <w:numPr>
          <w:ilvl w:val="0"/>
          <w:numId w:val="7"/>
        </w:numPr>
        <w:rPr>
          <w:rFonts w:ascii="Verdana" w:eastAsia="Times New Roman" w:hAnsi="Verdana" w:cs="Times New Roman"/>
          <w:sz w:val="20"/>
          <w:szCs w:val="20"/>
        </w:rPr>
      </w:pPr>
      <w:r w:rsidRPr="00411E37">
        <w:rPr>
          <w:rFonts w:ascii="Verdana" w:eastAsia="Times New Roman" w:hAnsi="Verdana" w:cs="Times New Roman"/>
          <w:sz w:val="20"/>
          <w:szCs w:val="20"/>
        </w:rPr>
        <w:t xml:space="preserve">systematyzacja i standaryzacja wynagrodzeń dla osób artystycznych (z uwzględnieniem rekomendacji Obywatelskiego Forum Sztuki Współczesnej)  </w:t>
      </w:r>
      <w:r w:rsidRPr="00411E37">
        <w:rPr>
          <w:rFonts w:ascii="Verdana" w:eastAsia="Times New Roman" w:hAnsi="Verdana" w:cs="Times New Roman"/>
          <w:sz w:val="20"/>
          <w:szCs w:val="20"/>
        </w:rPr>
        <w:tab/>
      </w:r>
    </w:p>
    <w:p w14:paraId="0000003C" w14:textId="77777777" w:rsidR="00625CC8" w:rsidRPr="00411E37" w:rsidRDefault="00D8522D" w:rsidP="00411E37">
      <w:pPr>
        <w:rPr>
          <w:rFonts w:ascii="Verdana" w:eastAsia="Times New Roman" w:hAnsi="Verdana" w:cs="Times New Roman"/>
          <w:i/>
          <w:iCs/>
          <w:sz w:val="20"/>
          <w:szCs w:val="20"/>
        </w:rPr>
      </w:pPr>
      <w:r w:rsidRPr="00411E37">
        <w:rPr>
          <w:rFonts w:ascii="Verdana" w:eastAsia="Times New Roman" w:hAnsi="Verdana" w:cs="Times New Roman"/>
          <w:sz w:val="20"/>
          <w:szCs w:val="20"/>
        </w:rPr>
        <w:t>Społeczno-edukacyjne:</w:t>
      </w:r>
    </w:p>
    <w:p w14:paraId="0000003D" w14:textId="77777777" w:rsidR="00625CC8" w:rsidRPr="00411E37" w:rsidRDefault="00D8522D" w:rsidP="00411E37">
      <w:pPr>
        <w:pStyle w:val="Akapitzlist"/>
        <w:numPr>
          <w:ilvl w:val="0"/>
          <w:numId w:val="8"/>
        </w:numPr>
        <w:rPr>
          <w:rFonts w:ascii="Verdana" w:eastAsia="Times New Roman" w:hAnsi="Verdana" w:cs="Times New Roman"/>
          <w:sz w:val="20"/>
          <w:szCs w:val="20"/>
        </w:rPr>
      </w:pPr>
      <w:r w:rsidRPr="00411E37">
        <w:rPr>
          <w:rFonts w:ascii="Verdana" w:eastAsia="Times New Roman" w:hAnsi="Verdana" w:cs="Times New Roman"/>
          <w:sz w:val="20"/>
          <w:szCs w:val="20"/>
        </w:rPr>
        <w:t xml:space="preserve">stworzenie spójnego programu edukacyjnego dla różnych grup odbiorców opartego na kolekcji i programie MWW  </w:t>
      </w:r>
    </w:p>
    <w:p w14:paraId="0000003E" w14:textId="77777777" w:rsidR="00625CC8" w:rsidRPr="00411E37" w:rsidRDefault="00D8522D" w:rsidP="00411E37">
      <w:pPr>
        <w:pStyle w:val="Akapitzlist"/>
        <w:numPr>
          <w:ilvl w:val="0"/>
          <w:numId w:val="8"/>
        </w:numPr>
        <w:rPr>
          <w:rFonts w:ascii="Verdana" w:eastAsia="Times New Roman" w:hAnsi="Verdana" w:cs="Times New Roman"/>
          <w:sz w:val="20"/>
          <w:szCs w:val="20"/>
        </w:rPr>
      </w:pPr>
      <w:r w:rsidRPr="00411E37">
        <w:rPr>
          <w:rFonts w:ascii="Verdana" w:eastAsia="Times New Roman" w:hAnsi="Verdana" w:cs="Times New Roman"/>
          <w:sz w:val="20"/>
          <w:szCs w:val="20"/>
        </w:rPr>
        <w:t xml:space="preserve">opracowanie i wdrożenie strategii udostępniania muzeum publiczności ze szczególnymi potrzebami i niepełnosprawnościami </w:t>
      </w:r>
    </w:p>
    <w:p w14:paraId="0000003F" w14:textId="77777777" w:rsidR="00625CC8" w:rsidRPr="00411E37" w:rsidRDefault="00D8522D" w:rsidP="00411E37">
      <w:pPr>
        <w:pStyle w:val="Akapitzlist"/>
        <w:numPr>
          <w:ilvl w:val="0"/>
          <w:numId w:val="8"/>
        </w:numPr>
        <w:rPr>
          <w:rFonts w:ascii="Verdana" w:eastAsia="Times New Roman" w:hAnsi="Verdana" w:cs="Times New Roman"/>
          <w:sz w:val="20"/>
          <w:szCs w:val="20"/>
        </w:rPr>
      </w:pPr>
      <w:r w:rsidRPr="00411E37">
        <w:rPr>
          <w:rFonts w:ascii="Verdana" w:eastAsia="Times New Roman" w:hAnsi="Verdana" w:cs="Times New Roman"/>
          <w:sz w:val="20"/>
          <w:szCs w:val="20"/>
        </w:rPr>
        <w:t xml:space="preserve">modernizacja przestrzeni społeczno-edukacyjnej (tzn. </w:t>
      </w:r>
      <w:proofErr w:type="spellStart"/>
      <w:r w:rsidRPr="00411E37">
        <w:rPr>
          <w:rFonts w:ascii="Verdana" w:eastAsia="Times New Roman" w:hAnsi="Verdana" w:cs="Times New Roman"/>
          <w:sz w:val="20"/>
          <w:szCs w:val="20"/>
        </w:rPr>
        <w:t>Beautiful</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Tube</w:t>
      </w:r>
      <w:proofErr w:type="spellEnd"/>
      <w:r w:rsidRPr="00411E37">
        <w:rPr>
          <w:rFonts w:ascii="Verdana" w:eastAsia="Times New Roman" w:hAnsi="Verdana" w:cs="Times New Roman"/>
          <w:sz w:val="20"/>
          <w:szCs w:val="20"/>
        </w:rPr>
        <w:t xml:space="preserve"> – wyłączony z użytkowania w 2021 roku) </w:t>
      </w:r>
    </w:p>
    <w:p w14:paraId="00000040" w14:textId="77777777" w:rsidR="00625CC8" w:rsidRPr="00411E37" w:rsidRDefault="00D8522D" w:rsidP="00411E37">
      <w:pPr>
        <w:rPr>
          <w:rFonts w:ascii="Verdana" w:eastAsia="Times New Roman" w:hAnsi="Verdana" w:cs="Times New Roman"/>
          <w:sz w:val="20"/>
          <w:szCs w:val="20"/>
        </w:rPr>
      </w:pPr>
      <w:r w:rsidRPr="00411E37">
        <w:rPr>
          <w:rFonts w:ascii="Verdana" w:eastAsia="Times New Roman" w:hAnsi="Verdana" w:cs="Times New Roman"/>
          <w:sz w:val="20"/>
          <w:szCs w:val="20"/>
        </w:rPr>
        <w:t>Wizerunkowe:</w:t>
      </w:r>
    </w:p>
    <w:p w14:paraId="00000041" w14:textId="77777777" w:rsidR="00625CC8" w:rsidRPr="00411E37" w:rsidRDefault="00D8522D" w:rsidP="00411E37">
      <w:pPr>
        <w:pStyle w:val="Akapitzlist"/>
        <w:numPr>
          <w:ilvl w:val="0"/>
          <w:numId w:val="9"/>
        </w:numPr>
        <w:rPr>
          <w:rFonts w:ascii="Verdana" w:eastAsia="Times New Roman" w:hAnsi="Verdana" w:cs="Times New Roman"/>
          <w:sz w:val="20"/>
          <w:szCs w:val="20"/>
        </w:rPr>
      </w:pPr>
      <w:r w:rsidRPr="00411E37">
        <w:rPr>
          <w:rFonts w:ascii="Verdana" w:eastAsia="Times New Roman" w:hAnsi="Verdana" w:cs="Times New Roman"/>
          <w:sz w:val="20"/>
          <w:szCs w:val="20"/>
        </w:rPr>
        <w:t>zbudowanie stabilnych relacji z partnerami lokalnymi, krajowymi i międzynarodowymi</w:t>
      </w:r>
    </w:p>
    <w:p w14:paraId="00000042" w14:textId="2BEA8187" w:rsidR="00625CC8" w:rsidRPr="00411E37" w:rsidRDefault="00D8522D" w:rsidP="00411E37">
      <w:pPr>
        <w:pStyle w:val="Akapitzlist"/>
        <w:numPr>
          <w:ilvl w:val="0"/>
          <w:numId w:val="9"/>
        </w:numPr>
        <w:rPr>
          <w:rFonts w:ascii="Verdana" w:eastAsia="Times New Roman" w:hAnsi="Verdana" w:cs="Times New Roman"/>
          <w:sz w:val="20"/>
          <w:szCs w:val="20"/>
        </w:rPr>
      </w:pPr>
      <w:r w:rsidRPr="00411E37">
        <w:rPr>
          <w:rFonts w:ascii="Verdana" w:eastAsia="Times New Roman" w:hAnsi="Verdana" w:cs="Times New Roman"/>
          <w:sz w:val="20"/>
          <w:szCs w:val="20"/>
        </w:rPr>
        <w:t>budowa wizerunku MWW jako instytucji eksperckiej i otwartej</w:t>
      </w:r>
    </w:p>
    <w:p w14:paraId="00000043" w14:textId="77777777" w:rsidR="00625CC8" w:rsidRPr="00411E37" w:rsidRDefault="00D8522D" w:rsidP="00411E37">
      <w:pPr>
        <w:spacing w:after="160"/>
        <w:rPr>
          <w:rFonts w:ascii="Verdana" w:eastAsia="Times New Roman" w:hAnsi="Verdana" w:cs="Times New Roman"/>
          <w:sz w:val="20"/>
          <w:szCs w:val="20"/>
          <w:highlight w:val="red"/>
        </w:rPr>
      </w:pPr>
      <w:r w:rsidRPr="00411E37">
        <w:rPr>
          <w:rFonts w:ascii="Verdana" w:eastAsia="Times New Roman" w:hAnsi="Verdana" w:cs="Times New Roman"/>
          <w:b/>
          <w:bCs/>
          <w:sz w:val="20"/>
          <w:szCs w:val="20"/>
        </w:rPr>
        <w:t xml:space="preserve">Cele krótkoterminowe:  </w:t>
      </w:r>
    </w:p>
    <w:p w14:paraId="00000044" w14:textId="77777777" w:rsidR="00625CC8" w:rsidRPr="00411E37" w:rsidRDefault="00D8522D" w:rsidP="00411E37">
      <w:pPr>
        <w:pStyle w:val="Akapitzlist"/>
        <w:numPr>
          <w:ilvl w:val="0"/>
          <w:numId w:val="10"/>
        </w:numPr>
        <w:rPr>
          <w:rFonts w:ascii="Verdana" w:eastAsia="Times New Roman" w:hAnsi="Verdana" w:cs="Times New Roman"/>
          <w:sz w:val="20"/>
          <w:szCs w:val="20"/>
        </w:rPr>
      </w:pPr>
      <w:r w:rsidRPr="00411E37">
        <w:rPr>
          <w:rFonts w:ascii="Verdana" w:eastAsia="Times New Roman" w:hAnsi="Verdana" w:cs="Times New Roman"/>
          <w:sz w:val="20"/>
          <w:szCs w:val="20"/>
        </w:rPr>
        <w:t>optymalizacja pracy zespołu / uzupełnienie braków kadrowych</w:t>
      </w:r>
    </w:p>
    <w:p w14:paraId="00000045" w14:textId="77777777" w:rsidR="00625CC8" w:rsidRPr="00411E37" w:rsidRDefault="00D8522D" w:rsidP="00411E37">
      <w:pPr>
        <w:pStyle w:val="Akapitzlist"/>
        <w:numPr>
          <w:ilvl w:val="0"/>
          <w:numId w:val="10"/>
        </w:numPr>
        <w:rPr>
          <w:rFonts w:ascii="Verdana" w:eastAsia="Times New Roman" w:hAnsi="Verdana" w:cs="Times New Roman"/>
          <w:sz w:val="20"/>
          <w:szCs w:val="20"/>
        </w:rPr>
      </w:pPr>
      <w:r w:rsidRPr="00411E37">
        <w:rPr>
          <w:rFonts w:ascii="Verdana" w:eastAsia="Times New Roman" w:hAnsi="Verdana" w:cs="Times New Roman"/>
          <w:sz w:val="20"/>
          <w:szCs w:val="20"/>
        </w:rPr>
        <w:t>uporządkowanie komunikacji i archiwum strony internetowej</w:t>
      </w:r>
    </w:p>
    <w:p w14:paraId="00000046" w14:textId="77777777" w:rsidR="00625CC8" w:rsidRPr="00411E37" w:rsidRDefault="00D8522D" w:rsidP="00411E37">
      <w:pPr>
        <w:pStyle w:val="Akapitzlist"/>
        <w:numPr>
          <w:ilvl w:val="0"/>
          <w:numId w:val="10"/>
        </w:numPr>
        <w:rPr>
          <w:rFonts w:ascii="Verdana" w:eastAsia="Times New Roman" w:hAnsi="Verdana" w:cs="Times New Roman"/>
          <w:sz w:val="20"/>
          <w:szCs w:val="20"/>
        </w:rPr>
      </w:pPr>
      <w:r w:rsidRPr="00411E37">
        <w:rPr>
          <w:rFonts w:ascii="Verdana" w:eastAsia="Times New Roman" w:hAnsi="Verdana" w:cs="Times New Roman"/>
          <w:sz w:val="20"/>
          <w:szCs w:val="20"/>
        </w:rPr>
        <w:t>zbudowanie jakościowego programu działań, w tym rozpoczęcie pracy nad nową odsłoną wystawy kolekcji</w:t>
      </w:r>
    </w:p>
    <w:p w14:paraId="00000047" w14:textId="77777777" w:rsidR="00625CC8" w:rsidRPr="00411E37" w:rsidRDefault="00D8522D" w:rsidP="00411E37">
      <w:pPr>
        <w:pStyle w:val="Akapitzlist"/>
        <w:numPr>
          <w:ilvl w:val="0"/>
          <w:numId w:val="10"/>
        </w:numPr>
        <w:rPr>
          <w:rFonts w:ascii="Verdana" w:eastAsia="Times New Roman" w:hAnsi="Verdana" w:cs="Times New Roman"/>
          <w:sz w:val="20"/>
          <w:szCs w:val="20"/>
        </w:rPr>
      </w:pPr>
      <w:r w:rsidRPr="00411E37">
        <w:rPr>
          <w:rFonts w:ascii="Verdana" w:eastAsia="Times New Roman" w:hAnsi="Verdana" w:cs="Times New Roman"/>
          <w:sz w:val="20"/>
          <w:szCs w:val="20"/>
        </w:rPr>
        <w:t>zwiększenie frekwencji i widoczności MWW na arenie krajowej i międzynarodowej</w:t>
      </w:r>
    </w:p>
    <w:p w14:paraId="00000048" w14:textId="77777777" w:rsidR="00625CC8" w:rsidRPr="00411E37" w:rsidRDefault="00D8522D" w:rsidP="00411E37">
      <w:pPr>
        <w:pStyle w:val="Akapitzlist"/>
        <w:numPr>
          <w:ilvl w:val="0"/>
          <w:numId w:val="10"/>
        </w:numPr>
        <w:rPr>
          <w:rFonts w:ascii="Verdana" w:eastAsia="Times New Roman" w:hAnsi="Verdana" w:cs="Times New Roman"/>
          <w:sz w:val="20"/>
          <w:szCs w:val="20"/>
        </w:rPr>
      </w:pPr>
      <w:r w:rsidRPr="00411E37">
        <w:rPr>
          <w:rFonts w:ascii="Verdana" w:eastAsia="Times New Roman" w:hAnsi="Verdana" w:cs="Times New Roman"/>
          <w:sz w:val="20"/>
          <w:szCs w:val="20"/>
        </w:rPr>
        <w:lastRenderedPageBreak/>
        <w:t>nawiązanie współpracy badawczej z Uniwersytetem Wrocławskim i Akademią Sztuk Pięknych im E. Gepperta</w:t>
      </w:r>
    </w:p>
    <w:p w14:paraId="00000049" w14:textId="77777777" w:rsidR="00625CC8" w:rsidRPr="00411E37" w:rsidRDefault="00D8522D" w:rsidP="00411E37">
      <w:pPr>
        <w:pStyle w:val="Akapitzlist"/>
        <w:numPr>
          <w:ilvl w:val="0"/>
          <w:numId w:val="10"/>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uruchomienie kawiarni poprzez pozyskanie ajenta, który wpisze się w misję instytucji i stanie się ważnym punktem spotkań dla publiczność oraz mieszkańców Wrocławia </w:t>
      </w:r>
    </w:p>
    <w:p w14:paraId="0000004B" w14:textId="23E6FB01"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Wskaźniki sukcesu</w:t>
      </w:r>
      <w:r w:rsidR="00544D88" w:rsidRPr="00411E37">
        <w:rPr>
          <w:rFonts w:ascii="Verdana" w:eastAsia="Times New Roman" w:hAnsi="Verdana" w:cs="Times New Roman"/>
          <w:sz w:val="20"/>
          <w:szCs w:val="20"/>
        </w:rPr>
        <w:t xml:space="preserve"> </w:t>
      </w:r>
      <w:r w:rsidRPr="00411E37">
        <w:rPr>
          <w:rFonts w:ascii="Verdana" w:eastAsia="Times New Roman" w:hAnsi="Verdana" w:cs="Times New Roman"/>
          <w:sz w:val="20"/>
          <w:szCs w:val="20"/>
        </w:rPr>
        <w:t xml:space="preserve">zostały szczegółowo przedstawione w poszczególnych punktach strategii, a ich realizacja będzie weryfikowana poprzez analitykę strony internetowej i statystyki mediów, badania ankietowych i monitoring frekwencji, wewnętrzne sprawozdania, ewaluacje eksperckie, analizy jakościowe i ilościowe, </w:t>
      </w:r>
      <w:proofErr w:type="spellStart"/>
      <w:r w:rsidRPr="00411E37">
        <w:rPr>
          <w:rFonts w:ascii="Verdana" w:eastAsia="Times New Roman" w:hAnsi="Verdana" w:cs="Times New Roman"/>
          <w:sz w:val="20"/>
          <w:szCs w:val="20"/>
        </w:rPr>
        <w:t>benchmarking</w:t>
      </w:r>
      <w:proofErr w:type="spellEnd"/>
      <w:r w:rsidRPr="00411E37">
        <w:rPr>
          <w:rFonts w:ascii="Verdana" w:eastAsia="Times New Roman" w:hAnsi="Verdana" w:cs="Times New Roman"/>
          <w:sz w:val="20"/>
          <w:szCs w:val="20"/>
        </w:rPr>
        <w:t xml:space="preserve">. </w:t>
      </w:r>
    </w:p>
    <w:p w14:paraId="0000004C"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2) Szczegółowy opis programu działalności Muzeum, w tym wskazanie kierunków działalności merytorycznej oraz kluczowych projektów z uwzględnieniem specyfiki Muzeum</w:t>
      </w:r>
    </w:p>
    <w:p w14:paraId="0000004D"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Program działalności MWW będzie opierał się na ścisłej korelacji programu wystawienniczego z działaniami edukacyjnymi i badawczymi. Kluczową rolę w jego projektowaniu odegra kolekcja Muzeum, stanowiąca punkt wyjścia dla dalszych interpretacji i rozwinięć programowych. Nową odsłonę kolekcji planuję otworzyć w 2027 roku, tak aby zapewnić wystawie pełne przygotowanie zarówno pod względem merytorycznym, jak i produkcyjnym. Pierwszy rok traktuję jako etap rozpoznawczy, poświęcony skompletowaniu zespołu kuratorskiego, edukacyjnego, realizacyjnego, uruchomieniu procesów koncepcyjnych i produkcyjnych, w tym pozyskiwaniu środków zewnętrznych, a także realizacji lub ewentualnej renegocjacji wcześniej zakontraktowanych wystaw. Program wystawienniczy obejmować będzie ekspozycje badawcze i historyczne, a także wystawy indywidualne, monograficzne oraz problemowe. Jego podstawę stanowić będą przede wszystkim własne produkcje inicjowane przez zespół kuratorski MWW oraz projekty realizowane we współpracy z zaproszonymi kuratorami zewnętrznymi. Uzupełnieniem programu będą wystawy przygotowywane we współpracy z innymi instytucjami i partnerami. Zakładam, że w ciągu roku realizowanych będzie średnio pięć wystaw, w tym dwie wystawy główne, a pozostałe – o mniejszej skali lub w formule pokazów indywidualnych</w:t>
      </w:r>
    </w:p>
    <w:p w14:paraId="0000004E"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Trzy kluczowe obszary, w ramach których w perspektywie najbliższych pięciu lat będzie rozwijał się program działalności instytucji:</w:t>
      </w:r>
    </w:p>
    <w:p w14:paraId="0000004F"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1. Tradycja artystyczna Wrocławia / „Zaczyna się we Wrocławiu”</w:t>
      </w:r>
    </w:p>
    <w:p w14:paraId="00000050"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u w:val="single"/>
        </w:rPr>
        <w:t>Klucze metodologiczne:</w:t>
      </w:r>
      <w:r w:rsidRPr="00411E37">
        <w:rPr>
          <w:rFonts w:ascii="Verdana" w:eastAsia="Times New Roman" w:hAnsi="Verdana" w:cs="Times New Roman"/>
          <w:sz w:val="20"/>
          <w:szCs w:val="20"/>
        </w:rPr>
        <w:t xml:space="preserve"> wrocławskie dziedzictwo, miasto, tożsamość, historia ratownicza (Ewa Domańska), lokalność, archiwum, </w:t>
      </w:r>
      <w:proofErr w:type="spellStart"/>
      <w:r w:rsidRPr="00411E37">
        <w:rPr>
          <w:rFonts w:ascii="Verdana" w:eastAsia="Times New Roman" w:hAnsi="Verdana" w:cs="Times New Roman"/>
          <w:sz w:val="20"/>
          <w:szCs w:val="20"/>
        </w:rPr>
        <w:t>neoawangarda</w:t>
      </w:r>
      <w:proofErr w:type="spellEnd"/>
      <w:r w:rsidRPr="00411E37">
        <w:rPr>
          <w:rFonts w:ascii="Verdana" w:eastAsia="Times New Roman" w:hAnsi="Verdana" w:cs="Times New Roman"/>
          <w:sz w:val="20"/>
          <w:szCs w:val="20"/>
        </w:rPr>
        <w:t xml:space="preserve">, reinterpretacja, Jerzy Ludwiński.  </w:t>
      </w:r>
    </w:p>
    <w:p w14:paraId="00000051"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Sztuka Wrocławia od lat 50. XX w. rozwija się intensywnie, ze szczególnym nasileniem w połowie lat 60., co zaowocowało wykształceniem się środowiska neoawangardowego dominującego w kolejnej dekadzie. Lata 80. przynoszą okres konceptualnego wyczerpania oraz pojawienie się zjawisk spod znaku nowych dzikich czy działań kontrkulturowych i partycypacyjnych, natomiast lata 90. otwierają czas transformacji, sprzyjający nowym formom ekspresji. Zbiór ten nie stanowi zamkniętego rozdziału historii, lecz pozostaje dynamicznym zasobem idei i strategii artystycznych, poddawanych współczesnej reinterpretacji. W tym kontekście Wrocław jawi się, jak w ikonicznej pracy Zbigniewa Gostomskiego </w:t>
      </w:r>
      <w:r w:rsidRPr="00411E37">
        <w:rPr>
          <w:rFonts w:ascii="Verdana" w:eastAsia="Times New Roman" w:hAnsi="Verdana" w:cs="Times New Roman"/>
          <w:i/>
          <w:iCs/>
          <w:sz w:val="20"/>
          <w:szCs w:val="20"/>
        </w:rPr>
        <w:t>Zaczyna się we Wrocławiu</w:t>
      </w:r>
      <w:r w:rsidRPr="00411E37">
        <w:rPr>
          <w:rFonts w:ascii="Verdana" w:eastAsia="Times New Roman" w:hAnsi="Verdana" w:cs="Times New Roman"/>
          <w:sz w:val="20"/>
          <w:szCs w:val="20"/>
        </w:rPr>
        <w:t xml:space="preserve">, jako punkt wyjścia procesu o potencjalnie nieskończonym charakterze. Koncepcja regularnie rozmieszczonych punktów, stopniowo anektujących kolejne przestrzenie miasta, staje się </w:t>
      </w:r>
      <w:r w:rsidRPr="00411E37">
        <w:rPr>
          <w:rFonts w:ascii="Verdana" w:eastAsia="Times New Roman" w:hAnsi="Verdana" w:cs="Times New Roman"/>
          <w:sz w:val="20"/>
          <w:szCs w:val="20"/>
        </w:rPr>
        <w:lastRenderedPageBreak/>
        <w:t>metaforą Wrocławia jako początku artystycznej przygody, otwierającej się na niemal nieograniczone możliwości.</w:t>
      </w:r>
    </w:p>
    <w:p w14:paraId="00000052"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2. </w:t>
      </w:r>
      <w:proofErr w:type="spellStart"/>
      <w:r w:rsidRPr="00411E37">
        <w:rPr>
          <w:rFonts w:ascii="Verdana" w:eastAsia="Times New Roman" w:hAnsi="Verdana" w:cs="Times New Roman"/>
          <w:b/>
          <w:bCs/>
          <w:sz w:val="20"/>
          <w:szCs w:val="20"/>
        </w:rPr>
        <w:t>Translokalność</w:t>
      </w:r>
      <w:proofErr w:type="spellEnd"/>
    </w:p>
    <w:p w14:paraId="00000053"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u w:val="single"/>
        </w:rPr>
        <w:t>Klucze metodologiczne:</w:t>
      </w:r>
      <w:r w:rsidRPr="00411E37">
        <w:rPr>
          <w:rFonts w:ascii="Verdana" w:eastAsia="Times New Roman" w:hAnsi="Verdana" w:cs="Times New Roman"/>
          <w:sz w:val="20"/>
          <w:szCs w:val="20"/>
        </w:rPr>
        <w:t xml:space="preserve"> horyzontalna historia sztuki, „trzecia droga”, kontestacja, kontrkultura, transformacja (ustrojowa, gospodarcza), </w:t>
      </w:r>
      <w:proofErr w:type="spellStart"/>
      <w:r w:rsidRPr="00411E37">
        <w:rPr>
          <w:rFonts w:ascii="Verdana" w:eastAsia="Times New Roman" w:hAnsi="Verdana" w:cs="Times New Roman"/>
          <w:sz w:val="20"/>
          <w:szCs w:val="20"/>
        </w:rPr>
        <w:t>neoawangarda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transawangarda</w:t>
      </w:r>
      <w:proofErr w:type="spellEnd"/>
      <w:r w:rsidRPr="00411E37">
        <w:rPr>
          <w:rFonts w:ascii="Verdana" w:eastAsia="Times New Roman" w:hAnsi="Verdana" w:cs="Times New Roman"/>
          <w:sz w:val="20"/>
          <w:szCs w:val="20"/>
        </w:rPr>
        <w:t xml:space="preserve">, Europa Środkowo-Wschodnia, geopolityka, ekosystem sztuki, hierarchia, peryferia. </w:t>
      </w:r>
    </w:p>
    <w:p w14:paraId="00000054"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Badania nad sztuką wrocławską będą systematycznie poszerzane o kontekst ogólnopolski i międzynarodowy. </w:t>
      </w:r>
      <w:proofErr w:type="spellStart"/>
      <w:r w:rsidRPr="00411E37">
        <w:rPr>
          <w:rFonts w:ascii="Verdana" w:eastAsia="Times New Roman" w:hAnsi="Verdana" w:cs="Times New Roman"/>
          <w:sz w:val="20"/>
          <w:szCs w:val="20"/>
        </w:rPr>
        <w:t>Translokalność</w:t>
      </w:r>
      <w:proofErr w:type="spellEnd"/>
      <w:r w:rsidRPr="00411E37">
        <w:rPr>
          <w:rFonts w:ascii="Verdana" w:eastAsia="Times New Roman" w:hAnsi="Verdana" w:cs="Times New Roman"/>
          <w:sz w:val="20"/>
          <w:szCs w:val="20"/>
        </w:rPr>
        <w:t xml:space="preserve"> rozumiana jest tu jako dialog pomiędzy lokalnym dziedzictwem a globalnymi procesami sztuki współczesnej, a także jako analiza przepływów, migracji i relacji kulturowych kształtujących współczesne doświadczenie artystyczne. W rozpatrywaniu tych aspektów kluczowe znaczenie ma koncepcja horyzontalnej historii sztuki (Piotr Piotrowski), która zakłada szerokie, niehierarchiczne spojrzenie na sztukę okresu komunizmu w Europie Środkowo-Wschodniej. Perspektywa ta z jednej strony uwzględnia specyfikę regionu, z drugiej zaś podkreśla jego wewnętrzne zróżnicowanie, pozostając krytyczna wobec uniwersalizujących narracji historyczno-artystycznych uprzywilejowujących centrum i jego systemu wartości.  </w:t>
      </w:r>
    </w:p>
    <w:p w14:paraId="00000055"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3. Odczyty współczesności / sejsmograf współczesności i katalizator przyszłości  </w:t>
      </w:r>
    </w:p>
    <w:p w14:paraId="00000056"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u w:val="single"/>
        </w:rPr>
        <w:t>Klucze metodologiczne:</w:t>
      </w:r>
      <w:r w:rsidRPr="00411E37">
        <w:rPr>
          <w:rFonts w:ascii="Verdana" w:eastAsia="Times New Roman" w:hAnsi="Verdana" w:cs="Times New Roman"/>
          <w:sz w:val="20"/>
          <w:szCs w:val="20"/>
        </w:rPr>
        <w:t xml:space="preserve"> transformacja rzeczywistości, geopolityka, </w:t>
      </w:r>
      <w:proofErr w:type="spellStart"/>
      <w:r w:rsidRPr="00411E37">
        <w:rPr>
          <w:rFonts w:ascii="Verdana" w:eastAsia="Times New Roman" w:hAnsi="Verdana" w:cs="Times New Roman"/>
          <w:sz w:val="20"/>
          <w:szCs w:val="20"/>
        </w:rPr>
        <w:t>neoawangarda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postsztuka</w:t>
      </w:r>
      <w:proofErr w:type="spellEnd"/>
      <w:r w:rsidRPr="00411E37">
        <w:rPr>
          <w:rFonts w:ascii="Verdana" w:eastAsia="Times New Roman" w:hAnsi="Verdana" w:cs="Times New Roman"/>
          <w:sz w:val="20"/>
          <w:szCs w:val="20"/>
        </w:rPr>
        <w:t xml:space="preserve">, spekulatywność, troska planetarna, utopia, krytyka, </w:t>
      </w:r>
      <w:proofErr w:type="spellStart"/>
      <w:r w:rsidRPr="00411E37">
        <w:rPr>
          <w:rFonts w:ascii="Verdana" w:eastAsia="Times New Roman" w:hAnsi="Verdana" w:cs="Times New Roman"/>
          <w:sz w:val="20"/>
          <w:szCs w:val="20"/>
        </w:rPr>
        <w:t>świato</w:t>
      </w:r>
      <w:proofErr w:type="spellEnd"/>
      <w:r w:rsidRPr="00411E37">
        <w:rPr>
          <w:rFonts w:ascii="Verdana" w:eastAsia="Times New Roman" w:hAnsi="Verdana" w:cs="Times New Roman"/>
          <w:sz w:val="20"/>
          <w:szCs w:val="20"/>
        </w:rPr>
        <w:t xml:space="preserve">-twórcza rola sztuki (tworzenie „światów”), sztuka jako laboratorium   </w:t>
      </w:r>
    </w:p>
    <w:p w14:paraId="00000057" w14:textId="46785281"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Kluczowym założeniem programu jest budowanie instytucji, która nie tylko chroni i interpretuje przeszłość, lecz także aktywnie współtworzy sztukę współczesną, reaguje na wyzwania dynamicznie zmieniającego się świata, uczestniczy w debacie publicznej i inicjuje dyskusje wokół fundamentalnych problemów współczesności. W nawiązaniu do pionierskich koncepcji Ludwińskiego MWW jest w mojej wizji „sejsmografem” współczesności i „katalizatorem” przyszłości. W tym kontekście postrzegam sztukę jako narzędzie diagnozy rzeczywistości, umożliwiające analizę złożonych procesów kulturowych, politycznych i ekonomicznych oraz testowanie nowych modeli relacji społecznych i instytucjonalnych. W tym obszarze program koncentruje się na badaniu praktyk neoawangardowych i współczesnych strategii spekulatywnych, które podejmują próbę zmiany społecznej, orientują się na przyszłość, reaktywują myślenie utopijne i proponują alternatywne modele rzeczywistości. Szczególna uwaga poświęcona będzie działaniom artystycznym, które projektują możliwe światy i przeciwstawiają się fatalistycznym wizjom przyszłości zakorzenionym w dyskursach „marazmu </w:t>
      </w:r>
      <w:proofErr w:type="spellStart"/>
      <w:r w:rsidRPr="00411E37">
        <w:rPr>
          <w:rFonts w:ascii="Verdana" w:eastAsia="Times New Roman" w:hAnsi="Verdana" w:cs="Times New Roman"/>
          <w:sz w:val="20"/>
          <w:szCs w:val="20"/>
        </w:rPr>
        <w:t>antropocenu</w:t>
      </w:r>
      <w:proofErr w:type="spellEnd"/>
      <w:r w:rsidRPr="00411E37">
        <w:rPr>
          <w:rFonts w:ascii="Verdana" w:eastAsia="Times New Roman" w:hAnsi="Verdana" w:cs="Times New Roman"/>
          <w:sz w:val="20"/>
          <w:szCs w:val="20"/>
        </w:rPr>
        <w:t xml:space="preserve">”, „kapitalistycznego realizmu” czy narracjach o „końcu historii”, proponując w ich miejsce krytyczne, analityczne bądź </w:t>
      </w:r>
      <w:r w:rsidR="00233D20" w:rsidRPr="00411E37">
        <w:rPr>
          <w:rFonts w:ascii="Verdana" w:eastAsia="Times New Roman" w:hAnsi="Verdana" w:cs="Times New Roman"/>
          <w:sz w:val="20"/>
          <w:szCs w:val="20"/>
        </w:rPr>
        <w:t>optymistyczne wizje</w:t>
      </w:r>
      <w:r w:rsidRPr="00411E37">
        <w:rPr>
          <w:rFonts w:ascii="Verdana" w:eastAsia="Times New Roman" w:hAnsi="Verdana" w:cs="Times New Roman"/>
          <w:sz w:val="20"/>
          <w:szCs w:val="20"/>
        </w:rPr>
        <w:t xml:space="preserve"> przyszłości.  </w:t>
      </w:r>
    </w:p>
    <w:p w14:paraId="00000058"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Edukacja </w:t>
      </w:r>
    </w:p>
    <w:p w14:paraId="00000059" w14:textId="77777777" w:rsidR="00625CC8" w:rsidRPr="00411E37" w:rsidRDefault="00D8522D" w:rsidP="00411E37">
      <w:pPr>
        <w:spacing w:after="160"/>
        <w:rPr>
          <w:rFonts w:ascii="Verdana" w:eastAsia="Times New Roman" w:hAnsi="Verdana" w:cs="Times New Roman"/>
          <w:i/>
          <w:iCs/>
          <w:sz w:val="20"/>
          <w:szCs w:val="20"/>
        </w:rPr>
      </w:pPr>
      <w:r w:rsidRPr="00411E37">
        <w:rPr>
          <w:rFonts w:ascii="Verdana" w:eastAsia="Times New Roman" w:hAnsi="Verdana" w:cs="Times New Roman"/>
          <w:sz w:val="20"/>
          <w:szCs w:val="20"/>
        </w:rPr>
        <w:t xml:space="preserve">Program edukacyjny pozostaje ściśle powiązany z programem wystawienniczym i adresowany jest do zróżnicowanych grup odbiorców, w tym osób ze szczególnymi potrzebami oraz z niepełnosprawnościami. Jego działania realizowane będą w oparciu o model łączący projekty edukacyjne z działaniami społecznymi, co umożliwi kształtowanie programu wyrastającego z praktyki artystycznej i jednocześnie osadzonego w realiach społecznych. Obok działań towarzyszących poszczególnym wystawom, Muzeum rozwijać będzie stałą ofertę edukacyjną obejmującą cykliczne zajęcia, warsztaty i spotkania </w:t>
      </w:r>
      <w:r w:rsidRPr="00411E37">
        <w:rPr>
          <w:rFonts w:ascii="Verdana" w:eastAsia="Times New Roman" w:hAnsi="Verdana" w:cs="Times New Roman"/>
          <w:sz w:val="20"/>
          <w:szCs w:val="20"/>
        </w:rPr>
        <w:lastRenderedPageBreak/>
        <w:t>skierowane do szkół, rodzin, seniorów oraz osób z niepełnosprawnościami. Program ten ma wspierać odbiorców w poznawaniu i rozumieniu sztuki współczesnej, a także zachęcać do regularnego uczestnictwa w życiu Muzeum.</w:t>
      </w:r>
    </w:p>
    <w:p w14:paraId="0000005A"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Program badawczy </w:t>
      </w:r>
    </w:p>
    <w:p w14:paraId="0000005B"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Program badawczy zakłada wzmocnienie działań poświęconych sztuce Wrocławia oraz dziedzictwu </w:t>
      </w:r>
      <w:proofErr w:type="spellStart"/>
      <w:r w:rsidRPr="00411E37">
        <w:rPr>
          <w:rFonts w:ascii="Verdana" w:eastAsia="Times New Roman" w:hAnsi="Verdana" w:cs="Times New Roman"/>
          <w:sz w:val="20"/>
          <w:szCs w:val="20"/>
        </w:rPr>
        <w:t>neoawangardy</w:t>
      </w:r>
      <w:proofErr w:type="spellEnd"/>
      <w:r w:rsidRPr="00411E37">
        <w:rPr>
          <w:rFonts w:ascii="Verdana" w:eastAsia="Times New Roman" w:hAnsi="Verdana" w:cs="Times New Roman"/>
          <w:sz w:val="20"/>
          <w:szCs w:val="20"/>
        </w:rPr>
        <w:t>, ujmowanych w perspektywie ogólnopolskiej i międzynarodowej. MWW będzie inicjować i współtworzyć projekty badawcze, seminaria oraz konferencje naukowe, a także rozwijać program wydawniczy obejmujący katalogi wystaw, monografie, antologie oraz serie tematyczne. W dalszej perspektywie planowane jest powołanie centrum badawczego koordynującego działalność naukową Muzeum, którego rdzeniem stałoby się Archiwum Jerzego Ludwińskiego. Jego misją byłoby upowszechnianie spuścizny intelektualnej Ludwińskiego, badanie wrocławskiej i polskiej sceny artystycznej drugiej połowy XX w. oraz refleksja nad praktykami muzealnymi, kuratorskimi i wystawienniczymi. Archiwum funkcjonowałoby jako aktywna przestrzeń badań i debat, realizacji długofalowych projektów naukowych i wydawniczych, uzupełniona o ogólnodostępną czytelnię dla badaczy i studentów. Do pierwszych zadań programu badawczego należeć będzie przygotowanie konferencji poświęconej Ludwińskiemu oraz opracowanie publikacji dedykowanej krytykowi, obejmującej wybór jego dotąd niepublikowanych tekstów. Konferencja planowana jest we współpracy z Sekcją Polską AICA. Drugim istotnym przedsięwzięciem będzie opracowanie pierwszej publikacji poświęconej kolekcji MWW. Obie publikacje będą wydane w dwóch osobnych wersjach językowych (PL / ANG).</w:t>
      </w:r>
    </w:p>
    <w:p w14:paraId="0000005C"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Archiwa </w:t>
      </w:r>
    </w:p>
    <w:p w14:paraId="0000005D"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Archiwa artystów stanowią fundament mojej wizji Muzeum. Nie są jedynie elementem strategii rozbudowy zbiorów, lecz przede wszystkim źródłem poznania tożsamości artystycznego dziedzictwa Wrocławia i jego miejsca w ogólnopolskiej historii sztuki. Odgrywają kluczową rolę w koncepcji muzeum jako przestrzeni badania, odkrywania i dokumentowania wielowarstwowego dziedzictwa kulturowego miasta. Archiwa te to nie tylko zasób dokumentacyjny, lecz przede wszystkim aktywne pole interpretacji historii lokalnej sceny artystycznej, umożliwiające rewizję utrwalonych narracji oraz przywracanie pamięci o zjawiskach, postaciach i praktykach dotąd marginalizowanych lub niedostatecznie poznanych. Planuję kontynuowanie procesu opracowywania i </w:t>
      </w:r>
      <w:proofErr w:type="spellStart"/>
      <w:r w:rsidRPr="00411E37">
        <w:rPr>
          <w:rFonts w:ascii="Verdana" w:eastAsia="Times New Roman" w:hAnsi="Verdana" w:cs="Times New Roman"/>
          <w:sz w:val="20"/>
          <w:szCs w:val="20"/>
        </w:rPr>
        <w:t>digitalizowania</w:t>
      </w:r>
      <w:proofErr w:type="spellEnd"/>
      <w:r w:rsidRPr="00411E37">
        <w:rPr>
          <w:rFonts w:ascii="Verdana" w:eastAsia="Times New Roman" w:hAnsi="Verdana" w:cs="Times New Roman"/>
          <w:sz w:val="20"/>
          <w:szCs w:val="20"/>
        </w:rPr>
        <w:t xml:space="preserve"> pozyskanych już przez MWW zasobów a także systematyczne pozyskiwanie kolejnych. W pierwszej kolejności będą to archiwa: Lecha Mrożka, Galerii Sztuki Najnowszej oraz Michała Bieganowskiego (dokumentacja działań Zakładu nad Fosą i Ośrodka Działań Plastycznych, wrocławska poezja konkretna). Podejmę też rozmowy odnośnie archiwum Zbigniewa Makarewicza (wraz z archiwum Galerii Babel) oraz archiwum Andrzeja </w:t>
      </w:r>
      <w:proofErr w:type="spellStart"/>
      <w:r w:rsidRPr="00411E37">
        <w:rPr>
          <w:rFonts w:ascii="Verdana" w:eastAsia="Times New Roman" w:hAnsi="Verdana" w:cs="Times New Roman"/>
          <w:sz w:val="20"/>
          <w:szCs w:val="20"/>
        </w:rPr>
        <w:t>Dudka-Dürera</w:t>
      </w:r>
      <w:proofErr w:type="spellEnd"/>
      <w:r w:rsidRPr="00411E37">
        <w:rPr>
          <w:rFonts w:ascii="Verdana" w:eastAsia="Times New Roman" w:hAnsi="Verdana" w:cs="Times New Roman"/>
          <w:sz w:val="20"/>
          <w:szCs w:val="20"/>
        </w:rPr>
        <w:t xml:space="preserve">. </w:t>
      </w:r>
    </w:p>
    <w:p w14:paraId="0000005E" w14:textId="77777777" w:rsidR="00625CC8" w:rsidRPr="00411E37" w:rsidRDefault="00D8522D" w:rsidP="00411E37">
      <w:pPr>
        <w:spacing w:before="240" w:after="24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Wystawy </w:t>
      </w:r>
    </w:p>
    <w:p w14:paraId="0000005F" w14:textId="625872AD"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Wystawa stała – przygotowanie nowej ekspozycji stałej będzie zadaniem priorytetowym i jednym z głównych celi krótkoterminowych. W proces pracy nad finalną koncepcją wystawy chcę zaangażować zespół kuratorski. Ekspozycja będzie miała charakter </w:t>
      </w:r>
      <w:r w:rsidR="00233D20" w:rsidRPr="00411E37">
        <w:rPr>
          <w:rFonts w:ascii="Verdana" w:eastAsia="Times New Roman" w:hAnsi="Verdana" w:cs="Times New Roman"/>
          <w:sz w:val="20"/>
          <w:szCs w:val="20"/>
        </w:rPr>
        <w:t>międzynarodowy,</w:t>
      </w:r>
      <w:r w:rsidRPr="00411E37">
        <w:rPr>
          <w:rFonts w:ascii="Verdana" w:eastAsia="Times New Roman" w:hAnsi="Verdana" w:cs="Times New Roman"/>
          <w:sz w:val="20"/>
          <w:szCs w:val="20"/>
        </w:rPr>
        <w:t xml:space="preserve"> ale jej trzonem będzie historia </w:t>
      </w:r>
      <w:proofErr w:type="spellStart"/>
      <w:r w:rsidRPr="00411E37">
        <w:rPr>
          <w:rFonts w:ascii="Verdana" w:eastAsia="Times New Roman" w:hAnsi="Verdana" w:cs="Times New Roman"/>
          <w:sz w:val="20"/>
          <w:szCs w:val="20"/>
        </w:rPr>
        <w:t>eksperymentalnejsztuki</w:t>
      </w:r>
      <w:proofErr w:type="spellEnd"/>
      <w:r w:rsidRPr="00411E37">
        <w:rPr>
          <w:rFonts w:ascii="Verdana" w:eastAsia="Times New Roman" w:hAnsi="Verdana" w:cs="Times New Roman"/>
          <w:sz w:val="20"/>
          <w:szCs w:val="20"/>
        </w:rPr>
        <w:t xml:space="preserve"> Wrocławia. W swoim założeniu koncentruje się na współczesnym odczytaniu praktyk neoawangardowych i ich zredefiniowaniu w kontekście sztuki aktualnej. To właśnie </w:t>
      </w:r>
      <w:r w:rsidRPr="00411E37">
        <w:rPr>
          <w:rFonts w:ascii="Verdana" w:eastAsia="Times New Roman" w:hAnsi="Verdana" w:cs="Times New Roman"/>
          <w:sz w:val="20"/>
          <w:szCs w:val="20"/>
        </w:rPr>
        <w:lastRenderedPageBreak/>
        <w:t xml:space="preserve">pewna ciągłość poszukiwań i postaw, a także weryfikacja i reinterpretacja działań artystycznych wyznaczają główne cele wystawy </w:t>
      </w:r>
    </w:p>
    <w:p w14:paraId="00000060"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a) Kluczowe wystawy problemowe (propozycje):</w:t>
      </w:r>
    </w:p>
    <w:p w14:paraId="00000061"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 Propozycja wystawy zbiorowej poświęconej historii Wrocławia i Dolnego Śląska, podejmującej kwestie pamięci, tożsamości, umowności granic, uprzemysłowienia, transformacji i wielokulturowości. Projekt analizuje sposoby konstruowania tożsamości indywidualnej i zbiorowej w kontekście przemian społecznych i historycznych. Punktem wyjścia jest tu </w:t>
      </w:r>
      <w:proofErr w:type="spellStart"/>
      <w:r w:rsidRPr="00411E37">
        <w:rPr>
          <w:rFonts w:ascii="Verdana" w:eastAsia="Times New Roman" w:hAnsi="Verdana" w:cs="Times New Roman"/>
          <w:sz w:val="20"/>
          <w:szCs w:val="20"/>
        </w:rPr>
        <w:t>performans</w:t>
      </w:r>
      <w:proofErr w:type="spellEnd"/>
      <w:r w:rsidRPr="00411E37">
        <w:rPr>
          <w:rFonts w:ascii="Verdana" w:eastAsia="Times New Roman" w:hAnsi="Verdana" w:cs="Times New Roman"/>
          <w:sz w:val="20"/>
          <w:szCs w:val="20"/>
        </w:rPr>
        <w:t xml:space="preserve"> Jerzego Truszkowskiego i Jacka Rydeckiego z 1988 roku, który - osadzony w lokalnej historii przemysłowej Wałbrzycha - ukazuje splatanie się osobistych narracji z szerszymi procesami społecznymi. [wystawa w partnerstwie CSW w Toruniu, gdzie będzie jej pierwsza odsłona w październiku 2026 roku].</w:t>
      </w:r>
    </w:p>
    <w:p w14:paraId="00000062"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 </w:t>
      </w:r>
      <w:r w:rsidRPr="00411E37">
        <w:rPr>
          <w:rFonts w:ascii="Verdana" w:eastAsia="Times New Roman" w:hAnsi="Verdana" w:cs="Times New Roman"/>
          <w:i/>
          <w:iCs/>
          <w:sz w:val="20"/>
          <w:szCs w:val="20"/>
        </w:rPr>
        <w:t xml:space="preserve">Wrocławski </w:t>
      </w:r>
      <w:proofErr w:type="spellStart"/>
      <w:r w:rsidRPr="00411E37">
        <w:rPr>
          <w:rFonts w:ascii="Verdana" w:eastAsia="Times New Roman" w:hAnsi="Verdana" w:cs="Times New Roman"/>
          <w:i/>
          <w:iCs/>
          <w:sz w:val="20"/>
          <w:szCs w:val="20"/>
        </w:rPr>
        <w:t>kontekstualizm</w:t>
      </w:r>
      <w:proofErr w:type="spellEnd"/>
      <w:r w:rsidRPr="00411E37">
        <w:rPr>
          <w:rFonts w:ascii="Verdana" w:eastAsia="Times New Roman" w:hAnsi="Verdana" w:cs="Times New Roman"/>
          <w:sz w:val="20"/>
          <w:szCs w:val="20"/>
        </w:rPr>
        <w:t xml:space="preserve"> (tytuł roboczy) wystawa badawcza oparta na archiwach MWW, koncentrująca się na roku 1975 jako przełomowym momencie tranzycji między konceptualizmem a </w:t>
      </w:r>
      <w:proofErr w:type="spellStart"/>
      <w:r w:rsidRPr="00411E37">
        <w:rPr>
          <w:rFonts w:ascii="Verdana" w:eastAsia="Times New Roman" w:hAnsi="Verdana" w:cs="Times New Roman"/>
          <w:sz w:val="20"/>
          <w:szCs w:val="20"/>
        </w:rPr>
        <w:t>kontekstualizmem</w:t>
      </w:r>
      <w:proofErr w:type="spellEnd"/>
      <w:r w:rsidRPr="00411E37">
        <w:rPr>
          <w:rFonts w:ascii="Verdana" w:eastAsia="Times New Roman" w:hAnsi="Verdana" w:cs="Times New Roman"/>
          <w:sz w:val="20"/>
          <w:szCs w:val="20"/>
        </w:rPr>
        <w:t xml:space="preserve"> w polskiej sztuce. Projekt proponuje </w:t>
      </w:r>
      <w:proofErr w:type="spellStart"/>
      <w:r w:rsidRPr="00411E37">
        <w:rPr>
          <w:rFonts w:ascii="Verdana" w:eastAsia="Times New Roman" w:hAnsi="Verdana" w:cs="Times New Roman"/>
          <w:sz w:val="20"/>
          <w:szCs w:val="20"/>
        </w:rPr>
        <w:t>zniuansowane</w:t>
      </w:r>
      <w:proofErr w:type="spellEnd"/>
      <w:r w:rsidRPr="00411E37">
        <w:rPr>
          <w:rFonts w:ascii="Verdana" w:eastAsia="Times New Roman" w:hAnsi="Verdana" w:cs="Times New Roman"/>
          <w:sz w:val="20"/>
          <w:szCs w:val="20"/>
        </w:rPr>
        <w:t xml:space="preserve"> odczytanie </w:t>
      </w:r>
      <w:proofErr w:type="spellStart"/>
      <w:r w:rsidRPr="00411E37">
        <w:rPr>
          <w:rFonts w:ascii="Verdana" w:eastAsia="Times New Roman" w:hAnsi="Verdana" w:cs="Times New Roman"/>
          <w:sz w:val="20"/>
          <w:szCs w:val="20"/>
        </w:rPr>
        <w:t>neoawangardy</w:t>
      </w:r>
      <w:proofErr w:type="spellEnd"/>
      <w:r w:rsidRPr="00411E37">
        <w:rPr>
          <w:rFonts w:ascii="Verdana" w:eastAsia="Times New Roman" w:hAnsi="Verdana" w:cs="Times New Roman"/>
          <w:sz w:val="20"/>
          <w:szCs w:val="20"/>
        </w:rPr>
        <w:t xml:space="preserve"> lat 70., ujmując ją w perspektywie przemian społecznych w Polsce oraz różnorodnych sposobów konstruowania wspólnotowości przez artystów tego okresu (inicjatywa kuratorska: dr Małgorzata </w:t>
      </w:r>
      <w:proofErr w:type="spellStart"/>
      <w:r w:rsidRPr="00411E37">
        <w:rPr>
          <w:rFonts w:ascii="Verdana" w:eastAsia="Times New Roman" w:hAnsi="Verdana" w:cs="Times New Roman"/>
          <w:sz w:val="20"/>
          <w:szCs w:val="20"/>
        </w:rPr>
        <w:t>Miśniakiewicz</w:t>
      </w:r>
      <w:proofErr w:type="spellEnd"/>
      <w:r w:rsidRPr="00411E37">
        <w:rPr>
          <w:rFonts w:ascii="Verdana" w:eastAsia="Times New Roman" w:hAnsi="Verdana" w:cs="Times New Roman"/>
          <w:sz w:val="20"/>
          <w:szCs w:val="20"/>
        </w:rPr>
        <w:t>).</w:t>
      </w:r>
    </w:p>
    <w:p w14:paraId="00000063" w14:textId="448CA100"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 </w:t>
      </w:r>
      <w:r w:rsidRPr="00411E37">
        <w:rPr>
          <w:rFonts w:ascii="Verdana" w:eastAsia="Times New Roman" w:hAnsi="Verdana" w:cs="Times New Roman"/>
          <w:i/>
          <w:iCs/>
          <w:sz w:val="20"/>
          <w:szCs w:val="20"/>
        </w:rPr>
        <w:t>Podróż do przyszłości</w:t>
      </w:r>
      <w:r w:rsidRPr="00411E37">
        <w:rPr>
          <w:rFonts w:ascii="Verdana" w:eastAsia="Times New Roman" w:hAnsi="Verdana" w:cs="Times New Roman"/>
          <w:sz w:val="20"/>
          <w:szCs w:val="20"/>
        </w:rPr>
        <w:t xml:space="preserve"> (tytuł roboczy) – międzynarodowa wystawa podejmująca temat postępu, utopii i projektowania przyszłości w sztuce od lat 60. po aktualną w Europie Środkowo-Wschodniej. Narracja będzie zbudowana wokół sprzeczności, prześlepień i możliwości tkwiących w tradycji myśli utopijnej. Wystawa podejmie takie wątki jak </w:t>
      </w:r>
      <w:proofErr w:type="spellStart"/>
      <w:r w:rsidRPr="00411E37">
        <w:rPr>
          <w:rFonts w:ascii="Verdana" w:eastAsia="Times New Roman" w:hAnsi="Verdana" w:cs="Times New Roman"/>
          <w:sz w:val="20"/>
          <w:szCs w:val="20"/>
        </w:rPr>
        <w:t>kosmizm</w:t>
      </w:r>
      <w:proofErr w:type="spellEnd"/>
      <w:r w:rsidRPr="00411E37">
        <w:rPr>
          <w:rFonts w:ascii="Verdana" w:eastAsia="Times New Roman" w:hAnsi="Verdana" w:cs="Times New Roman"/>
          <w:sz w:val="20"/>
          <w:szCs w:val="20"/>
        </w:rPr>
        <w:t xml:space="preserve">, związki sztuki z </w:t>
      </w:r>
      <w:proofErr w:type="spellStart"/>
      <w:r w:rsidRPr="00411E37">
        <w:rPr>
          <w:rFonts w:ascii="Verdana" w:eastAsia="Times New Roman" w:hAnsi="Verdana" w:cs="Times New Roman"/>
          <w:sz w:val="20"/>
          <w:szCs w:val="20"/>
        </w:rPr>
        <w:t>technonauką</w:t>
      </w:r>
      <w:proofErr w:type="spellEnd"/>
      <w:r w:rsidRPr="00411E37">
        <w:rPr>
          <w:rFonts w:ascii="Verdana" w:eastAsia="Times New Roman" w:hAnsi="Verdana" w:cs="Times New Roman"/>
          <w:sz w:val="20"/>
          <w:szCs w:val="20"/>
        </w:rPr>
        <w:t>, mitologie prometejskie, dylematy modernizacji w realnym socjalizmie, transformacja postkomunistyczna a „koniec historii”, utopia i przyszłość wobec katastrofy planetarnej</w:t>
      </w:r>
      <w:r w:rsidR="00A51BC9" w:rsidRPr="00411E37">
        <w:rPr>
          <w:rFonts w:ascii="Verdana" w:eastAsia="Times New Roman" w:hAnsi="Verdana" w:cs="Times New Roman"/>
          <w:sz w:val="20"/>
          <w:szCs w:val="20"/>
        </w:rPr>
        <w:t xml:space="preserve"> </w:t>
      </w:r>
      <w:r w:rsidRPr="00411E37">
        <w:rPr>
          <w:rFonts w:ascii="Verdana" w:eastAsia="Times New Roman" w:hAnsi="Verdana" w:cs="Times New Roman"/>
          <w:sz w:val="20"/>
          <w:szCs w:val="20"/>
        </w:rPr>
        <w:t>(inicjatywa kuratorska: Joanna Sokołowska).</w:t>
      </w:r>
    </w:p>
    <w:p w14:paraId="00000064"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 </w:t>
      </w:r>
      <w:r w:rsidRPr="00411E37">
        <w:rPr>
          <w:rFonts w:ascii="Verdana" w:eastAsia="Times New Roman" w:hAnsi="Verdana" w:cs="Times New Roman"/>
          <w:i/>
          <w:iCs/>
          <w:sz w:val="20"/>
          <w:szCs w:val="20"/>
        </w:rPr>
        <w:t xml:space="preserve">Pole gry. Od sztuki niemożliwej do </w:t>
      </w:r>
      <w:proofErr w:type="spellStart"/>
      <w:r w:rsidRPr="00411E37">
        <w:rPr>
          <w:rFonts w:ascii="Verdana" w:eastAsia="Times New Roman" w:hAnsi="Verdana" w:cs="Times New Roman"/>
          <w:i/>
          <w:iCs/>
          <w:sz w:val="20"/>
          <w:szCs w:val="20"/>
        </w:rPr>
        <w:t>postsztuki</w:t>
      </w:r>
      <w:proofErr w:type="spellEnd"/>
      <w:r w:rsidRPr="00411E37">
        <w:rPr>
          <w:rFonts w:ascii="Verdana" w:eastAsia="Times New Roman" w:hAnsi="Verdana" w:cs="Times New Roman"/>
          <w:sz w:val="20"/>
          <w:szCs w:val="20"/>
        </w:rPr>
        <w:t xml:space="preserve"> (tytuł roboczy) to wystawa badawcza inspirowana koncepcją „pola gry” sformułowaną w 1972 roku przez Ludwińskiego w ramach Dolnośląskich Plenerów Rzeźbiarskich w Bolesławcu. Inicjatywa ta proponowała radykalne odejście od tradycyjnych hierarchii i kategorii sztuki na rzecz procesualności, efemeryczności i wspólnotowego działania, zapowiadając rozwój praktyk </w:t>
      </w:r>
      <w:proofErr w:type="spellStart"/>
      <w:r w:rsidRPr="00411E37">
        <w:rPr>
          <w:rFonts w:ascii="Verdana" w:eastAsia="Times New Roman" w:hAnsi="Verdana" w:cs="Times New Roman"/>
          <w:sz w:val="20"/>
          <w:szCs w:val="20"/>
        </w:rPr>
        <w:t>performatywnych</w:t>
      </w:r>
      <w:proofErr w:type="spellEnd"/>
      <w:r w:rsidRPr="00411E37">
        <w:rPr>
          <w:rFonts w:ascii="Verdana" w:eastAsia="Times New Roman" w:hAnsi="Verdana" w:cs="Times New Roman"/>
          <w:sz w:val="20"/>
          <w:szCs w:val="20"/>
        </w:rPr>
        <w:t xml:space="preserve"> i </w:t>
      </w:r>
      <w:proofErr w:type="spellStart"/>
      <w:r w:rsidRPr="00411E37">
        <w:rPr>
          <w:rFonts w:ascii="Verdana" w:eastAsia="Times New Roman" w:hAnsi="Verdana" w:cs="Times New Roman"/>
          <w:sz w:val="20"/>
          <w:szCs w:val="20"/>
        </w:rPr>
        <w:t>postartystycznych</w:t>
      </w:r>
      <w:proofErr w:type="spellEnd"/>
      <w:r w:rsidRPr="00411E37">
        <w:rPr>
          <w:rFonts w:ascii="Verdana" w:eastAsia="Times New Roman" w:hAnsi="Verdana" w:cs="Times New Roman"/>
          <w:sz w:val="20"/>
          <w:szCs w:val="20"/>
        </w:rPr>
        <w:t>. Projekt zestawia zjawiska neoawangardowe z aktualnymi praktykami artystycznymi, budując narrację między „sztuką niemożliwą” lat 70. a współczesnym przenikaniem się sztuki i rzeczywistości.</w:t>
      </w:r>
    </w:p>
    <w:p w14:paraId="00000065"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 Międzynarodowa wystawa kolektywów artystycznych przełomu lat 80. i 90. w krajach byłego Bloku Wschodniego, pokazująca grupowe działanie kontrkulturowe w obliczu kryzysu systemu. Wystawa ma na celu pokazanie trans-regionalnego wymiaru kolektywnego tworzenia związanego z ideami punku, solidarności, </w:t>
      </w:r>
      <w:proofErr w:type="spellStart"/>
      <w:r w:rsidRPr="00411E37">
        <w:rPr>
          <w:rFonts w:ascii="Verdana" w:eastAsia="Times New Roman" w:hAnsi="Verdana" w:cs="Times New Roman"/>
          <w:sz w:val="20"/>
          <w:szCs w:val="20"/>
        </w:rPr>
        <w:t>performatywności</w:t>
      </w:r>
      <w:proofErr w:type="spellEnd"/>
      <w:r w:rsidRPr="00411E37">
        <w:rPr>
          <w:rFonts w:ascii="Verdana" w:eastAsia="Times New Roman" w:hAnsi="Verdana" w:cs="Times New Roman"/>
          <w:sz w:val="20"/>
          <w:szCs w:val="20"/>
        </w:rPr>
        <w:t xml:space="preserve"> i żartu. Wśród wrocławskich grup można wymienić m.in. </w:t>
      </w:r>
      <w:proofErr w:type="spellStart"/>
      <w:r w:rsidRPr="00411E37">
        <w:rPr>
          <w:rFonts w:ascii="Verdana" w:eastAsia="Times New Roman" w:hAnsi="Verdana" w:cs="Times New Roman"/>
          <w:sz w:val="20"/>
          <w:szCs w:val="20"/>
        </w:rPr>
        <w:t>Luxus</w:t>
      </w:r>
      <w:proofErr w:type="spellEnd"/>
      <w:r w:rsidRPr="00411E37">
        <w:rPr>
          <w:rFonts w:ascii="Verdana" w:eastAsia="Times New Roman" w:hAnsi="Verdana" w:cs="Times New Roman"/>
          <w:sz w:val="20"/>
          <w:szCs w:val="20"/>
        </w:rPr>
        <w:t xml:space="preserve">, Połykacze Pereł z Odry, Gabinet Operacji Plastycznych, Karuzela </w:t>
      </w:r>
      <w:proofErr w:type="spellStart"/>
      <w:r w:rsidRPr="00411E37">
        <w:rPr>
          <w:rFonts w:ascii="Verdana" w:eastAsia="Times New Roman" w:hAnsi="Verdana" w:cs="Times New Roman"/>
          <w:sz w:val="20"/>
          <w:szCs w:val="20"/>
        </w:rPr>
        <w:t>Braders</w:t>
      </w:r>
      <w:proofErr w:type="spellEnd"/>
      <w:r w:rsidRPr="00411E37">
        <w:rPr>
          <w:rFonts w:ascii="Verdana" w:eastAsia="Times New Roman" w:hAnsi="Verdana" w:cs="Times New Roman"/>
          <w:sz w:val="20"/>
          <w:szCs w:val="20"/>
        </w:rPr>
        <w:t>, czy grupy z innych państw jak np. IRWIN, NSRD, Auto-</w:t>
      </w:r>
      <w:proofErr w:type="spellStart"/>
      <w:r w:rsidRPr="00411E37">
        <w:rPr>
          <w:rFonts w:ascii="Verdana" w:eastAsia="Times New Roman" w:hAnsi="Verdana" w:cs="Times New Roman"/>
          <w:sz w:val="20"/>
          <w:szCs w:val="20"/>
        </w:rPr>
        <w:t>Perforations</w:t>
      </w:r>
      <w:proofErr w:type="spellEnd"/>
      <w:r w:rsidRPr="00411E37">
        <w:rPr>
          <w:rFonts w:ascii="Verdana" w:eastAsia="Times New Roman" w:hAnsi="Verdana" w:cs="Times New Roman"/>
          <w:sz w:val="20"/>
          <w:szCs w:val="20"/>
        </w:rPr>
        <w:t>-</w:t>
      </w:r>
      <w:proofErr w:type="spellStart"/>
      <w:r w:rsidRPr="00411E37">
        <w:rPr>
          <w:rFonts w:ascii="Verdana" w:eastAsia="Times New Roman" w:hAnsi="Verdana" w:cs="Times New Roman"/>
          <w:sz w:val="20"/>
          <w:szCs w:val="20"/>
        </w:rPr>
        <w:t>Artistik</w:t>
      </w:r>
      <w:proofErr w:type="spellEnd"/>
      <w:r w:rsidRPr="00411E37">
        <w:rPr>
          <w:rFonts w:ascii="Verdana" w:eastAsia="Times New Roman" w:hAnsi="Verdana" w:cs="Times New Roman"/>
          <w:sz w:val="20"/>
          <w:szCs w:val="20"/>
        </w:rPr>
        <w:t xml:space="preserve"> (inicjatywa kuratorska: dr Małgorzata </w:t>
      </w:r>
      <w:proofErr w:type="spellStart"/>
      <w:r w:rsidRPr="00411E37">
        <w:rPr>
          <w:rFonts w:ascii="Verdana" w:eastAsia="Times New Roman" w:hAnsi="Verdana" w:cs="Times New Roman"/>
          <w:sz w:val="20"/>
          <w:szCs w:val="20"/>
        </w:rPr>
        <w:t>Miśniakiewicz</w:t>
      </w:r>
      <w:proofErr w:type="spellEnd"/>
      <w:r w:rsidRPr="00411E37">
        <w:rPr>
          <w:rFonts w:ascii="Verdana" w:eastAsia="Times New Roman" w:hAnsi="Verdana" w:cs="Times New Roman"/>
          <w:sz w:val="20"/>
          <w:szCs w:val="20"/>
        </w:rPr>
        <w:t>).</w:t>
      </w:r>
    </w:p>
    <w:p w14:paraId="00000066"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 Międzynarodowa wystawa prezentująca artystów z krajów byłego Bloku Wschodniego, którzy wykorzystują techniki rzemieślnicze w sztuce współczesnej. Projekt podejmuje m.in. konceptualne aspekty rzemiosła, jego rolę w redefiniowaniu tożsamości narodowych po 1991 roku, a także współczesne interpretacje rzemiosła jako praktyki antykapitalistycznej, ekologicznej i </w:t>
      </w:r>
      <w:proofErr w:type="spellStart"/>
      <w:r w:rsidRPr="00411E37">
        <w:rPr>
          <w:rFonts w:ascii="Verdana" w:eastAsia="Times New Roman" w:hAnsi="Verdana" w:cs="Times New Roman"/>
          <w:sz w:val="20"/>
          <w:szCs w:val="20"/>
        </w:rPr>
        <w:t>wspólnototwórczej</w:t>
      </w:r>
      <w:proofErr w:type="spellEnd"/>
      <w:r w:rsidRPr="00411E37">
        <w:rPr>
          <w:rFonts w:ascii="Verdana" w:eastAsia="Times New Roman" w:hAnsi="Verdana" w:cs="Times New Roman"/>
          <w:sz w:val="20"/>
          <w:szCs w:val="20"/>
        </w:rPr>
        <w:t xml:space="preserve">. Istotnym wątkiem jest również krytyczna reinterpretacja sowieckiego dziedzictwa oraz idei internacjonalistycznego </w:t>
      </w:r>
      <w:r w:rsidRPr="00411E37">
        <w:rPr>
          <w:rFonts w:ascii="Verdana" w:eastAsia="Times New Roman" w:hAnsi="Verdana" w:cs="Times New Roman"/>
          <w:sz w:val="20"/>
          <w:szCs w:val="20"/>
        </w:rPr>
        <w:lastRenderedPageBreak/>
        <w:t xml:space="preserve">projektowania. Wystawa obejmuje prace artystów z Gruzji, Ukrainy, Łotwy, Polski, Uzbekistanu, Białorusi, Rumunii, Kazachstanu, Litwy i Armenii (inicjatywa kuratorska: dr Małgorzata </w:t>
      </w:r>
      <w:proofErr w:type="spellStart"/>
      <w:r w:rsidRPr="00411E37">
        <w:rPr>
          <w:rFonts w:ascii="Verdana" w:eastAsia="Times New Roman" w:hAnsi="Verdana" w:cs="Times New Roman"/>
          <w:sz w:val="20"/>
          <w:szCs w:val="20"/>
        </w:rPr>
        <w:t>Miśniakiewicz</w:t>
      </w:r>
      <w:proofErr w:type="spellEnd"/>
      <w:r w:rsidRPr="00411E37">
        <w:rPr>
          <w:rFonts w:ascii="Verdana" w:eastAsia="Times New Roman" w:hAnsi="Verdana" w:cs="Times New Roman"/>
          <w:sz w:val="20"/>
          <w:szCs w:val="20"/>
        </w:rPr>
        <w:t>).</w:t>
      </w:r>
    </w:p>
    <w:p w14:paraId="00000067" w14:textId="55198D4C" w:rsidR="00625CC8" w:rsidRPr="00411E37" w:rsidRDefault="00D8522D" w:rsidP="00411E37">
      <w:pPr>
        <w:spacing w:after="160"/>
        <w:rPr>
          <w:rFonts w:ascii="Verdana" w:eastAsia="Times New Roman" w:hAnsi="Verdana" w:cs="Times New Roman"/>
          <w:color w:val="156082"/>
          <w:sz w:val="20"/>
          <w:szCs w:val="20"/>
          <w:highlight w:val="white"/>
        </w:rPr>
      </w:pPr>
      <w:r w:rsidRPr="00411E37">
        <w:rPr>
          <w:rFonts w:ascii="Verdana" w:eastAsia="Times New Roman" w:hAnsi="Verdana" w:cs="Times New Roman"/>
          <w:sz w:val="20"/>
          <w:szCs w:val="20"/>
        </w:rPr>
        <w:t xml:space="preserve">* </w:t>
      </w:r>
      <w:r w:rsidRPr="00411E37">
        <w:rPr>
          <w:rFonts w:ascii="Verdana" w:eastAsia="Times New Roman" w:hAnsi="Verdana" w:cs="Times New Roman"/>
          <w:i/>
          <w:iCs/>
          <w:sz w:val="20"/>
          <w:szCs w:val="20"/>
        </w:rPr>
        <w:t xml:space="preserve">Socjalistyczny </w:t>
      </w:r>
      <w:proofErr w:type="spellStart"/>
      <w:r w:rsidRPr="00411E37">
        <w:rPr>
          <w:rFonts w:ascii="Verdana" w:eastAsia="Times New Roman" w:hAnsi="Verdana" w:cs="Times New Roman"/>
          <w:i/>
          <w:iCs/>
          <w:sz w:val="20"/>
          <w:szCs w:val="20"/>
        </w:rPr>
        <w:t>antropocen</w:t>
      </w:r>
      <w:proofErr w:type="spellEnd"/>
      <w:r w:rsidRPr="00411E37">
        <w:rPr>
          <w:rFonts w:ascii="Verdana" w:eastAsia="Times New Roman" w:hAnsi="Verdana" w:cs="Times New Roman"/>
          <w:sz w:val="20"/>
          <w:szCs w:val="20"/>
        </w:rPr>
        <w:t xml:space="preserve"> (tytuł roboczy)</w:t>
      </w:r>
      <w:r w:rsidR="00A51BC9"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międzynarodowa wystawa poświęcona historii relacji socjalizmu i przekształceń środowiska przyrodniczego. Zgromadzone dzieła sztuki pochodzące z czasów i miejsc, w których realizowane były programy socjalistycznej modernizacji (Europy Wschodniej, wybranych krajów azjatyckich i afrykańskich, tzw. krajów niezrzeszonych) zostaną zestawione ze współczesnymi praktykami artystycznymi dokonującymi rewizji ustalonych narracji (</w:t>
      </w:r>
      <w:proofErr w:type="spellStart"/>
      <w:r w:rsidRPr="00411E37">
        <w:rPr>
          <w:rFonts w:ascii="Verdana" w:eastAsia="Times New Roman" w:hAnsi="Verdana" w:cs="Times New Roman"/>
          <w:sz w:val="20"/>
          <w:szCs w:val="20"/>
        </w:rPr>
        <w:t>geo</w:t>
      </w:r>
      <w:proofErr w:type="spellEnd"/>
      <w:r w:rsidRPr="00411E37">
        <w:rPr>
          <w:rFonts w:ascii="Verdana" w:eastAsia="Times New Roman" w:hAnsi="Verdana" w:cs="Times New Roman"/>
          <w:sz w:val="20"/>
          <w:szCs w:val="20"/>
        </w:rPr>
        <w:t>)</w:t>
      </w:r>
      <w:proofErr w:type="spellStart"/>
      <w:r w:rsidRPr="00411E37">
        <w:rPr>
          <w:rFonts w:ascii="Verdana" w:eastAsia="Times New Roman" w:hAnsi="Verdana" w:cs="Times New Roman"/>
          <w:sz w:val="20"/>
          <w:szCs w:val="20"/>
        </w:rPr>
        <w:t>historycznych.Wystawa</w:t>
      </w:r>
      <w:proofErr w:type="spellEnd"/>
      <w:r w:rsidRPr="00411E37">
        <w:rPr>
          <w:rFonts w:ascii="Verdana" w:eastAsia="Times New Roman" w:hAnsi="Verdana" w:cs="Times New Roman"/>
          <w:sz w:val="20"/>
          <w:szCs w:val="20"/>
        </w:rPr>
        <w:t xml:space="preserve"> podejmie takie kwestie jak socjalistyczna </w:t>
      </w:r>
      <w:proofErr w:type="spellStart"/>
      <w:r w:rsidRPr="00411E37">
        <w:rPr>
          <w:rFonts w:ascii="Verdana" w:eastAsia="Times New Roman" w:hAnsi="Verdana" w:cs="Times New Roman"/>
          <w:sz w:val="20"/>
          <w:szCs w:val="20"/>
        </w:rPr>
        <w:t>geoinżynieria</w:t>
      </w:r>
      <w:proofErr w:type="spellEnd"/>
      <w:r w:rsidRPr="00411E37">
        <w:rPr>
          <w:rFonts w:ascii="Verdana" w:eastAsia="Times New Roman" w:hAnsi="Verdana" w:cs="Times New Roman"/>
          <w:sz w:val="20"/>
          <w:szCs w:val="20"/>
        </w:rPr>
        <w:t xml:space="preserve">, środowiskowe koszty produktywizmu, paliwa kopalne i energia atomowa, relacje artystek i artystów z ruchami ekologicznymi, </w:t>
      </w:r>
      <w:proofErr w:type="spellStart"/>
      <w:r w:rsidRPr="00411E37">
        <w:rPr>
          <w:rFonts w:ascii="Verdana" w:eastAsia="Times New Roman" w:hAnsi="Verdana" w:cs="Times New Roman"/>
          <w:sz w:val="20"/>
          <w:szCs w:val="20"/>
        </w:rPr>
        <w:t>ekokrytyka</w:t>
      </w:r>
      <w:proofErr w:type="spellEnd"/>
      <w:r w:rsidRPr="00411E37">
        <w:rPr>
          <w:rFonts w:ascii="Verdana" w:eastAsia="Times New Roman" w:hAnsi="Verdana" w:cs="Times New Roman"/>
          <w:sz w:val="20"/>
          <w:szCs w:val="20"/>
        </w:rPr>
        <w:t xml:space="preserve">, historyczne i współczesne </w:t>
      </w:r>
      <w:proofErr w:type="spellStart"/>
      <w:r w:rsidRPr="00411E37">
        <w:rPr>
          <w:rFonts w:ascii="Verdana" w:eastAsia="Times New Roman" w:hAnsi="Verdana" w:cs="Times New Roman"/>
          <w:sz w:val="20"/>
          <w:szCs w:val="20"/>
        </w:rPr>
        <w:t>ekosocjalistyczne</w:t>
      </w:r>
      <w:proofErr w:type="spellEnd"/>
      <w:r w:rsidRPr="00411E37">
        <w:rPr>
          <w:rFonts w:ascii="Verdana" w:eastAsia="Times New Roman" w:hAnsi="Verdana" w:cs="Times New Roman"/>
          <w:sz w:val="20"/>
          <w:szCs w:val="20"/>
        </w:rPr>
        <w:t xml:space="preserve"> utopie. Wystawa ukaże w horyzontalnym kontekście </w:t>
      </w:r>
      <w:proofErr w:type="spellStart"/>
      <w:r w:rsidRPr="00411E37">
        <w:rPr>
          <w:rFonts w:ascii="Verdana" w:eastAsia="Times New Roman" w:hAnsi="Verdana" w:cs="Times New Roman"/>
          <w:sz w:val="20"/>
          <w:szCs w:val="20"/>
        </w:rPr>
        <w:t>translokalnym</w:t>
      </w:r>
      <w:proofErr w:type="spellEnd"/>
      <w:r w:rsidRPr="00411E37">
        <w:rPr>
          <w:rFonts w:ascii="Verdana" w:eastAsia="Times New Roman" w:hAnsi="Verdana" w:cs="Times New Roman"/>
          <w:sz w:val="20"/>
          <w:szCs w:val="20"/>
        </w:rPr>
        <w:t xml:space="preserve"> liczną reprezentację zjawisk związanych z polskimi, a w szczególności wrocławskimi środowiskami artystycznymi (m.in. plenery: Ziemia Zgorzelecka 71 i Opolno Zdrój 2071) (inicjatywa kuratorska: Joanna Sokołowska, planowane nawiązanie współpracy z zespołem badawczym SAVA, </w:t>
      </w:r>
      <w:proofErr w:type="spellStart"/>
      <w:r w:rsidRPr="00411E37">
        <w:rPr>
          <w:rFonts w:ascii="Verdana" w:eastAsia="Times New Roman" w:hAnsi="Verdana" w:cs="Times New Roman"/>
          <w:sz w:val="20"/>
          <w:szCs w:val="20"/>
        </w:rPr>
        <w:t>Socialist</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Anthropocene</w:t>
      </w:r>
      <w:proofErr w:type="spellEnd"/>
      <w:r w:rsidRPr="00411E37">
        <w:rPr>
          <w:rFonts w:ascii="Verdana" w:eastAsia="Times New Roman" w:hAnsi="Verdana" w:cs="Times New Roman"/>
          <w:sz w:val="20"/>
          <w:szCs w:val="20"/>
        </w:rPr>
        <w:t xml:space="preserve"> in Visual </w:t>
      </w:r>
      <w:proofErr w:type="spellStart"/>
      <w:r w:rsidRPr="00411E37">
        <w:rPr>
          <w:rFonts w:ascii="Verdana" w:eastAsia="Times New Roman" w:hAnsi="Verdana" w:cs="Times New Roman"/>
          <w:sz w:val="20"/>
          <w:szCs w:val="20"/>
        </w:rPr>
        <w:t>Arts</w:t>
      </w:r>
      <w:proofErr w:type="spellEnd"/>
      <w:r w:rsidRPr="00411E37">
        <w:rPr>
          <w:rFonts w:ascii="Verdana" w:eastAsia="Times New Roman" w:hAnsi="Verdana" w:cs="Times New Roman"/>
          <w:sz w:val="20"/>
          <w:szCs w:val="20"/>
        </w:rPr>
        <w:t>).</w:t>
      </w:r>
    </w:p>
    <w:p w14:paraId="75E4806F" w14:textId="77777777" w:rsidR="00233D20" w:rsidRPr="00411E37" w:rsidRDefault="00D8522D" w:rsidP="00411E37">
      <w:pPr>
        <w:rPr>
          <w:rFonts w:ascii="Verdana" w:eastAsia="Times New Roman" w:hAnsi="Verdana" w:cs="Times New Roman"/>
          <w:sz w:val="20"/>
          <w:szCs w:val="20"/>
        </w:rPr>
      </w:pPr>
      <w:r w:rsidRPr="00411E37">
        <w:rPr>
          <w:rFonts w:ascii="Verdana" w:eastAsia="Times New Roman" w:hAnsi="Verdana" w:cs="Times New Roman"/>
          <w:sz w:val="20"/>
          <w:szCs w:val="20"/>
        </w:rPr>
        <w:t xml:space="preserve">Wśród projektów badawczych eksplorujących sztukę wrocławską planuję podjąć analizę m.in. takich zjawisk jak Studio Kompozycji Emocjonalnej (1970–1984), Galeria Babel (1968–1982) czy Galeria Entropia (od 1988). W tym ostatnim przypadku mamy do czynienia z miejscem, które stanowi ważny punkt odniesienia do badań okresu transformacji i sztuki dekady lat 90. Entropia to także unikatowe archiwum obejmujące liczne działania z obszaru nowych mediów, performance, czy też akcji ulicznych jakie rozgrywały się we Wrocławiu. </w:t>
      </w:r>
    </w:p>
    <w:p w14:paraId="00000069" w14:textId="4BB83C0C" w:rsidR="00625CC8" w:rsidRPr="00411E37" w:rsidRDefault="00D8522D" w:rsidP="00411E37">
      <w:pPr>
        <w:rPr>
          <w:rFonts w:ascii="Verdana" w:eastAsia="Times New Roman" w:hAnsi="Verdana" w:cs="Times New Roman"/>
          <w:sz w:val="20"/>
          <w:szCs w:val="20"/>
        </w:rPr>
      </w:pPr>
      <w:r w:rsidRPr="00411E37">
        <w:rPr>
          <w:rFonts w:ascii="Verdana" w:eastAsia="Times New Roman" w:hAnsi="Verdana" w:cs="Times New Roman"/>
          <w:sz w:val="20"/>
          <w:szCs w:val="20"/>
        </w:rPr>
        <w:t>Będę też chciał przyjrzeć się wrocławskim działaniom malarskim z obszaru nowej ekspresji lat 80. i 90. XX wieku. W obszarze zainteresowania Muzeum niezmiennie pozostają również wrocławscy klasycy sztuki współczesnej, którzy do tej pory nie pojawili się szerzej w działaniach instytucji. Wśród tej grupy są m.in. Leon Podsiadły, Andrzej Dudek-Dürer, Witold Liszkowski, Marianna Bocian, Zbigniew Makarewicz, Józef Hałas, Konrad Jarodzki, Wanda Gołkowska.</w:t>
      </w:r>
    </w:p>
    <w:p w14:paraId="0000006A" w14:textId="77777777" w:rsidR="00625CC8" w:rsidRPr="00411E37" w:rsidRDefault="00625CC8" w:rsidP="00411E37">
      <w:pPr>
        <w:rPr>
          <w:rFonts w:ascii="Verdana" w:eastAsia="Times New Roman" w:hAnsi="Verdana" w:cs="Times New Roman"/>
          <w:sz w:val="20"/>
          <w:szCs w:val="20"/>
        </w:rPr>
      </w:pPr>
    </w:p>
    <w:p w14:paraId="0000006D" w14:textId="2743C438" w:rsidR="00625CC8" w:rsidRPr="00411E37" w:rsidRDefault="00D8522D" w:rsidP="00411E37">
      <w:pPr>
        <w:rPr>
          <w:rFonts w:ascii="Verdana" w:eastAsia="Times New Roman" w:hAnsi="Verdana" w:cs="Times New Roman"/>
          <w:sz w:val="20"/>
          <w:szCs w:val="20"/>
        </w:rPr>
      </w:pPr>
      <w:r w:rsidRPr="00411E37">
        <w:rPr>
          <w:rFonts w:ascii="Verdana" w:eastAsia="Times New Roman" w:hAnsi="Verdana" w:cs="Times New Roman"/>
          <w:sz w:val="20"/>
          <w:szCs w:val="20"/>
        </w:rPr>
        <w:t xml:space="preserve">Wystawy indywidualne realizowane w ramach programu będą projektami o zróżnicowanej skali, koncentrującymi się na artystkach i artystach reprezentujących różne pokolenia, posiadających ugruntowaną pozycję twórczą. Program obejmie zarówno wystawy monograficzne, jak i premierowe realizacje, w tym projekty </w:t>
      </w:r>
      <w:proofErr w:type="spellStart"/>
      <w:r w:rsidRPr="00411E37">
        <w:rPr>
          <w:rFonts w:ascii="Verdana" w:eastAsia="Times New Roman" w:hAnsi="Verdana" w:cs="Times New Roman"/>
          <w:sz w:val="20"/>
          <w:szCs w:val="20"/>
        </w:rPr>
        <w:t>site-specific</w:t>
      </w:r>
      <w:proofErr w:type="spellEnd"/>
      <w:r w:rsidRPr="00411E37">
        <w:rPr>
          <w:rFonts w:ascii="Verdana" w:eastAsia="Times New Roman" w:hAnsi="Verdana" w:cs="Times New Roman"/>
          <w:sz w:val="20"/>
          <w:szCs w:val="20"/>
        </w:rPr>
        <w:t xml:space="preserve">, projektowane z myślą o specyfice architektonicznej i funkcjonalnej przestrzeni MWW. Koncepcja programowa, oparta na wskazanych wcześniej kluczowych obszarach, zakłada szczególne uwzględnienie twórczości artystek i artystów z regionu Europy Środkowo-Wschodniej, których praktyki artystyczne podejmują krytyczną refleksję nad współczesnością oraz aktualnymi kontekstami kulturowymi, społecznymi i politycznymi. W grupie potencjalnych wystaw indywidualnych są </w:t>
      </w:r>
      <w:proofErr w:type="spellStart"/>
      <w:r w:rsidRPr="00411E37">
        <w:rPr>
          <w:rFonts w:ascii="Verdana" w:eastAsia="Times New Roman" w:hAnsi="Verdana" w:cs="Times New Roman"/>
          <w:sz w:val="20"/>
          <w:szCs w:val="20"/>
        </w:rPr>
        <w:t>Eva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Kotátkova</w:t>
      </w:r>
      <w:proofErr w:type="spellEnd"/>
      <w:r w:rsidRPr="00411E37">
        <w:rPr>
          <w:rFonts w:ascii="Verdana" w:eastAsia="Times New Roman" w:hAnsi="Verdana" w:cs="Times New Roman"/>
          <w:sz w:val="20"/>
          <w:szCs w:val="20"/>
        </w:rPr>
        <w:t xml:space="preserve"> (CZ), Anna </w:t>
      </w:r>
      <w:proofErr w:type="spellStart"/>
      <w:r w:rsidRPr="00411E37">
        <w:rPr>
          <w:rFonts w:ascii="Verdana" w:eastAsia="Times New Roman" w:hAnsi="Verdana" w:cs="Times New Roman"/>
          <w:sz w:val="20"/>
          <w:szCs w:val="20"/>
        </w:rPr>
        <w:t>Hulačová</w:t>
      </w:r>
      <w:proofErr w:type="spellEnd"/>
      <w:r w:rsidRPr="00411E37">
        <w:rPr>
          <w:rFonts w:ascii="Verdana" w:eastAsia="Times New Roman" w:hAnsi="Verdana" w:cs="Times New Roman"/>
          <w:sz w:val="20"/>
          <w:szCs w:val="20"/>
        </w:rPr>
        <w:t xml:space="preserve"> (CZ), </w:t>
      </w:r>
      <w:proofErr w:type="spellStart"/>
      <w:r w:rsidRPr="00411E37">
        <w:rPr>
          <w:rFonts w:ascii="Verdana" w:eastAsia="Times New Roman" w:hAnsi="Verdana" w:cs="Times New Roman"/>
          <w:sz w:val="20"/>
          <w:szCs w:val="20"/>
        </w:rPr>
        <w:t>Klára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Hosnedlová</w:t>
      </w:r>
      <w:proofErr w:type="spellEnd"/>
      <w:r w:rsidRPr="00411E37">
        <w:rPr>
          <w:rFonts w:ascii="Verdana" w:eastAsia="Times New Roman" w:hAnsi="Verdana" w:cs="Times New Roman"/>
          <w:sz w:val="20"/>
          <w:szCs w:val="20"/>
        </w:rPr>
        <w:t xml:space="preserve"> (CZ), </w:t>
      </w:r>
      <w:proofErr w:type="spellStart"/>
      <w:r w:rsidRPr="00411E37">
        <w:rPr>
          <w:rFonts w:ascii="Verdana" w:eastAsia="Times New Roman" w:hAnsi="Verdana" w:cs="Times New Roman"/>
          <w:sz w:val="20"/>
          <w:szCs w:val="20"/>
        </w:rPr>
        <w:t>Matei</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Bejenaru</w:t>
      </w:r>
      <w:proofErr w:type="spellEnd"/>
      <w:r w:rsidRPr="00411E37">
        <w:rPr>
          <w:rFonts w:ascii="Verdana" w:eastAsia="Times New Roman" w:hAnsi="Verdana" w:cs="Times New Roman"/>
          <w:sz w:val="20"/>
          <w:szCs w:val="20"/>
        </w:rPr>
        <w:t xml:space="preserve"> (RO), </w:t>
      </w:r>
      <w:proofErr w:type="spellStart"/>
      <w:r w:rsidRPr="00411E37">
        <w:rPr>
          <w:rFonts w:ascii="Verdana" w:eastAsia="Times New Roman" w:hAnsi="Verdana" w:cs="Times New Roman"/>
          <w:sz w:val="20"/>
          <w:szCs w:val="20"/>
        </w:rPr>
        <w:t>Zhanna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Kadyrova</w:t>
      </w:r>
      <w:proofErr w:type="spellEnd"/>
      <w:r w:rsidRPr="00411E37">
        <w:rPr>
          <w:rFonts w:ascii="Verdana" w:eastAsia="Times New Roman" w:hAnsi="Verdana" w:cs="Times New Roman"/>
          <w:sz w:val="20"/>
          <w:szCs w:val="20"/>
        </w:rPr>
        <w:t xml:space="preserve"> (UA), Oksana </w:t>
      </w:r>
      <w:proofErr w:type="spellStart"/>
      <w:r w:rsidRPr="00411E37">
        <w:rPr>
          <w:rFonts w:ascii="Verdana" w:eastAsia="Times New Roman" w:hAnsi="Verdana" w:cs="Times New Roman"/>
          <w:sz w:val="20"/>
          <w:szCs w:val="20"/>
        </w:rPr>
        <w:t>Briukhovetska</w:t>
      </w:r>
      <w:proofErr w:type="spellEnd"/>
      <w:r w:rsidRPr="00411E37">
        <w:rPr>
          <w:rFonts w:ascii="Verdana" w:eastAsia="Times New Roman" w:hAnsi="Verdana" w:cs="Times New Roman"/>
          <w:sz w:val="20"/>
          <w:szCs w:val="20"/>
        </w:rPr>
        <w:t xml:space="preserve"> (UA), Lesia </w:t>
      </w:r>
      <w:proofErr w:type="spellStart"/>
      <w:r w:rsidRPr="00411E37">
        <w:rPr>
          <w:rFonts w:ascii="Verdana" w:eastAsia="Times New Roman" w:hAnsi="Verdana" w:cs="Times New Roman"/>
          <w:sz w:val="20"/>
          <w:szCs w:val="20"/>
        </w:rPr>
        <w:t>Vasylchenko</w:t>
      </w:r>
      <w:proofErr w:type="spellEnd"/>
      <w:r w:rsidRPr="00411E37">
        <w:rPr>
          <w:rFonts w:ascii="Verdana" w:eastAsia="Times New Roman" w:hAnsi="Verdana" w:cs="Times New Roman"/>
          <w:sz w:val="20"/>
          <w:szCs w:val="20"/>
        </w:rPr>
        <w:t xml:space="preserve"> (UA), </w:t>
      </w:r>
      <w:proofErr w:type="spellStart"/>
      <w:r w:rsidRPr="00411E37">
        <w:rPr>
          <w:rFonts w:ascii="Verdana" w:eastAsia="Times New Roman" w:hAnsi="Verdana" w:cs="Times New Roman"/>
          <w:sz w:val="20"/>
          <w:szCs w:val="20"/>
        </w:rPr>
        <w:t>Deimantas</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Narkevičius</w:t>
      </w:r>
      <w:proofErr w:type="spellEnd"/>
      <w:r w:rsidRPr="00411E37">
        <w:rPr>
          <w:rFonts w:ascii="Verdana" w:eastAsia="Times New Roman" w:hAnsi="Verdana" w:cs="Times New Roman"/>
          <w:sz w:val="20"/>
          <w:szCs w:val="20"/>
        </w:rPr>
        <w:t xml:space="preserve"> (LT), </w:t>
      </w:r>
      <w:proofErr w:type="spellStart"/>
      <w:r w:rsidRPr="00411E37">
        <w:rPr>
          <w:rFonts w:ascii="Verdana" w:eastAsia="Times New Roman" w:hAnsi="Verdana" w:cs="Times New Roman"/>
          <w:sz w:val="20"/>
          <w:szCs w:val="20"/>
        </w:rPr>
        <w:t>Katja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Novitskova</w:t>
      </w:r>
      <w:proofErr w:type="spellEnd"/>
      <w:r w:rsidRPr="00411E37">
        <w:rPr>
          <w:rFonts w:ascii="Verdana" w:eastAsia="Times New Roman" w:hAnsi="Verdana" w:cs="Times New Roman"/>
          <w:sz w:val="20"/>
          <w:szCs w:val="20"/>
        </w:rPr>
        <w:t xml:space="preserve"> (ES), </w:t>
      </w:r>
      <w:proofErr w:type="spellStart"/>
      <w:r w:rsidRPr="00411E37">
        <w:rPr>
          <w:rFonts w:ascii="Verdana" w:eastAsia="Times New Roman" w:hAnsi="Verdana" w:cs="Times New Roman"/>
          <w:sz w:val="20"/>
          <w:szCs w:val="20"/>
        </w:rPr>
        <w:t>Tamás</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Kaszás</w:t>
      </w:r>
      <w:proofErr w:type="spellEnd"/>
      <w:r w:rsidRPr="00411E37">
        <w:rPr>
          <w:rFonts w:ascii="Verdana" w:eastAsia="Times New Roman" w:hAnsi="Verdana" w:cs="Times New Roman"/>
          <w:sz w:val="20"/>
          <w:szCs w:val="20"/>
        </w:rPr>
        <w:t xml:space="preserve"> (H), Miklós </w:t>
      </w:r>
      <w:proofErr w:type="spellStart"/>
      <w:r w:rsidRPr="00411E37">
        <w:rPr>
          <w:rFonts w:ascii="Verdana" w:eastAsia="Times New Roman" w:hAnsi="Verdana" w:cs="Times New Roman"/>
          <w:sz w:val="20"/>
          <w:szCs w:val="20"/>
        </w:rPr>
        <w:t>Erdély</w:t>
      </w:r>
      <w:proofErr w:type="spellEnd"/>
      <w:r w:rsidRPr="00411E37">
        <w:rPr>
          <w:rFonts w:ascii="Verdana" w:eastAsia="Times New Roman" w:hAnsi="Verdana" w:cs="Times New Roman"/>
          <w:sz w:val="20"/>
          <w:szCs w:val="20"/>
        </w:rPr>
        <w:t xml:space="preserve"> (H), Lech Twardowski (PL), Karolina </w:t>
      </w:r>
      <w:proofErr w:type="spellStart"/>
      <w:r w:rsidRPr="00411E37">
        <w:rPr>
          <w:rFonts w:ascii="Verdana" w:eastAsia="Times New Roman" w:hAnsi="Verdana" w:cs="Times New Roman"/>
          <w:sz w:val="20"/>
          <w:szCs w:val="20"/>
        </w:rPr>
        <w:t>Freino</w:t>
      </w:r>
      <w:proofErr w:type="spellEnd"/>
      <w:r w:rsidRPr="00411E37">
        <w:rPr>
          <w:rFonts w:ascii="Verdana" w:eastAsia="Times New Roman" w:hAnsi="Verdana" w:cs="Times New Roman"/>
          <w:sz w:val="20"/>
          <w:szCs w:val="20"/>
        </w:rPr>
        <w:t xml:space="preserve"> (PL), </w:t>
      </w:r>
      <w:proofErr w:type="spellStart"/>
      <w:r w:rsidRPr="00411E37">
        <w:rPr>
          <w:rFonts w:ascii="Verdana" w:eastAsia="Times New Roman" w:hAnsi="Verdana" w:cs="Times New Roman"/>
          <w:sz w:val="20"/>
          <w:szCs w:val="20"/>
        </w:rPr>
        <w:t>Zorka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Wollny</w:t>
      </w:r>
      <w:proofErr w:type="spellEnd"/>
      <w:r w:rsidRPr="00411E37">
        <w:rPr>
          <w:rFonts w:ascii="Verdana" w:eastAsia="Times New Roman" w:hAnsi="Verdana" w:cs="Times New Roman"/>
          <w:sz w:val="20"/>
          <w:szCs w:val="20"/>
        </w:rPr>
        <w:t xml:space="preserve"> (PL), </w:t>
      </w:r>
      <w:proofErr w:type="spellStart"/>
      <w:r w:rsidRPr="00411E37">
        <w:rPr>
          <w:rFonts w:ascii="Verdana" w:eastAsia="Times New Roman" w:hAnsi="Verdana" w:cs="Times New Roman"/>
          <w:sz w:val="20"/>
          <w:szCs w:val="20"/>
        </w:rPr>
        <w:t>Goshka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Macuga</w:t>
      </w:r>
      <w:proofErr w:type="spellEnd"/>
      <w:r w:rsidRPr="00411E37">
        <w:rPr>
          <w:rFonts w:ascii="Verdana" w:eastAsia="Times New Roman" w:hAnsi="Verdana" w:cs="Times New Roman"/>
          <w:sz w:val="20"/>
          <w:szCs w:val="20"/>
        </w:rPr>
        <w:t xml:space="preserve"> (PL), Igor </w:t>
      </w:r>
      <w:proofErr w:type="spellStart"/>
      <w:r w:rsidRPr="00411E37">
        <w:rPr>
          <w:rFonts w:ascii="Verdana" w:eastAsia="Times New Roman" w:hAnsi="Verdana" w:cs="Times New Roman"/>
          <w:sz w:val="20"/>
          <w:szCs w:val="20"/>
        </w:rPr>
        <w:t>Grubić</w:t>
      </w:r>
      <w:proofErr w:type="spellEnd"/>
      <w:r w:rsidRPr="00411E37">
        <w:rPr>
          <w:rFonts w:ascii="Verdana" w:eastAsia="Times New Roman" w:hAnsi="Verdana" w:cs="Times New Roman"/>
          <w:sz w:val="20"/>
          <w:szCs w:val="20"/>
        </w:rPr>
        <w:t xml:space="preserve"> (HR).</w:t>
      </w:r>
      <w:r w:rsidR="002F6573" w:rsidRPr="00411E37">
        <w:rPr>
          <w:rFonts w:ascii="Verdana" w:eastAsia="Times New Roman" w:hAnsi="Verdana" w:cs="Times New Roman"/>
          <w:sz w:val="20"/>
          <w:szCs w:val="20"/>
        </w:rPr>
        <w:t xml:space="preserve"> </w:t>
      </w:r>
      <w:r w:rsidRPr="00411E37">
        <w:rPr>
          <w:rFonts w:ascii="Verdana" w:eastAsia="Times New Roman" w:hAnsi="Verdana" w:cs="Times New Roman"/>
          <w:sz w:val="20"/>
          <w:szCs w:val="20"/>
        </w:rPr>
        <w:t xml:space="preserve">W tym obszarze geograficznym mieszczą się także projekty analizujące międzynarodową </w:t>
      </w:r>
      <w:proofErr w:type="spellStart"/>
      <w:r w:rsidRPr="00411E37">
        <w:rPr>
          <w:rFonts w:ascii="Verdana" w:eastAsia="Times New Roman" w:hAnsi="Verdana" w:cs="Times New Roman"/>
          <w:sz w:val="20"/>
          <w:szCs w:val="20"/>
        </w:rPr>
        <w:t>neoawangardę</w:t>
      </w:r>
      <w:proofErr w:type="spellEnd"/>
      <w:r w:rsidRPr="00411E37">
        <w:rPr>
          <w:rFonts w:ascii="Verdana" w:eastAsia="Times New Roman" w:hAnsi="Verdana" w:cs="Times New Roman"/>
          <w:sz w:val="20"/>
          <w:szCs w:val="20"/>
        </w:rPr>
        <w:t xml:space="preserve">. Warto tutaj przywołać artystów, którymi MWW szczególnie będzie zainteresowane </w:t>
      </w:r>
      <w:proofErr w:type="spellStart"/>
      <w:r w:rsidRPr="00411E37">
        <w:rPr>
          <w:rFonts w:ascii="Verdana" w:eastAsia="Times New Roman" w:hAnsi="Verdana" w:cs="Times New Roman"/>
          <w:sz w:val="20"/>
          <w:szCs w:val="20"/>
        </w:rPr>
        <w:t>Dóra</w:t>
      </w:r>
      <w:proofErr w:type="spellEnd"/>
      <w:r w:rsidRPr="00411E37">
        <w:rPr>
          <w:rFonts w:ascii="Verdana" w:eastAsia="Times New Roman" w:hAnsi="Verdana" w:cs="Times New Roman"/>
          <w:sz w:val="20"/>
          <w:szCs w:val="20"/>
        </w:rPr>
        <w:t xml:space="preserve"> </w:t>
      </w:r>
      <w:r w:rsidRPr="00411E37">
        <w:rPr>
          <w:rFonts w:ascii="Verdana" w:eastAsia="Times New Roman" w:hAnsi="Verdana" w:cs="Times New Roman"/>
          <w:sz w:val="20"/>
          <w:szCs w:val="20"/>
        </w:rPr>
        <w:lastRenderedPageBreak/>
        <w:t xml:space="preserve">Maurer (H), </w:t>
      </w:r>
      <w:proofErr w:type="spellStart"/>
      <w:r w:rsidRPr="00411E37">
        <w:rPr>
          <w:rFonts w:ascii="Verdana" w:eastAsia="Times New Roman" w:hAnsi="Verdana" w:cs="Times New Roman"/>
          <w:sz w:val="20"/>
          <w:szCs w:val="20"/>
        </w:rPr>
        <w:t>Sándor</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Pinczehelyi</w:t>
      </w:r>
      <w:proofErr w:type="spellEnd"/>
      <w:r w:rsidRPr="00411E37">
        <w:rPr>
          <w:rFonts w:ascii="Verdana" w:eastAsia="Times New Roman" w:hAnsi="Verdana" w:cs="Times New Roman"/>
          <w:sz w:val="20"/>
          <w:szCs w:val="20"/>
        </w:rPr>
        <w:t xml:space="preserve"> (H), </w:t>
      </w:r>
      <w:proofErr w:type="spellStart"/>
      <w:r w:rsidRPr="00411E37">
        <w:rPr>
          <w:rFonts w:ascii="Verdana" w:eastAsia="Times New Roman" w:hAnsi="Verdana" w:cs="Times New Roman"/>
          <w:sz w:val="20"/>
          <w:szCs w:val="20"/>
        </w:rPr>
        <w:t>Tomislav</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Gotovac</w:t>
      </w:r>
      <w:proofErr w:type="spellEnd"/>
      <w:r w:rsidRPr="00411E37">
        <w:rPr>
          <w:rFonts w:ascii="Verdana" w:eastAsia="Times New Roman" w:hAnsi="Verdana" w:cs="Times New Roman"/>
          <w:sz w:val="20"/>
          <w:szCs w:val="20"/>
        </w:rPr>
        <w:t xml:space="preserve"> (HR), </w:t>
      </w:r>
      <w:proofErr w:type="spellStart"/>
      <w:r w:rsidRPr="00411E37">
        <w:rPr>
          <w:rFonts w:ascii="Verdana" w:eastAsia="Times New Roman" w:hAnsi="Verdana" w:cs="Times New Roman"/>
          <w:sz w:val="20"/>
          <w:szCs w:val="20"/>
        </w:rPr>
        <w:t>Ana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Lupaş</w:t>
      </w:r>
      <w:proofErr w:type="spellEnd"/>
      <w:r w:rsidRPr="00411E37">
        <w:rPr>
          <w:rFonts w:ascii="Verdana" w:eastAsia="Times New Roman" w:hAnsi="Verdana" w:cs="Times New Roman"/>
          <w:sz w:val="20"/>
          <w:szCs w:val="20"/>
        </w:rPr>
        <w:t xml:space="preserve"> (RO), </w:t>
      </w:r>
      <w:proofErr w:type="spellStart"/>
      <w:r w:rsidRPr="00411E37">
        <w:rPr>
          <w:rFonts w:ascii="Verdana" w:eastAsia="Times New Roman" w:hAnsi="Verdana" w:cs="Times New Roman"/>
          <w:sz w:val="20"/>
          <w:szCs w:val="20"/>
        </w:rPr>
        <w:t>Sanja</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Iveković</w:t>
      </w:r>
      <w:proofErr w:type="spellEnd"/>
      <w:r w:rsidRPr="00411E37">
        <w:rPr>
          <w:rFonts w:ascii="Verdana" w:eastAsia="Times New Roman" w:hAnsi="Verdana" w:cs="Times New Roman"/>
          <w:sz w:val="20"/>
          <w:szCs w:val="20"/>
        </w:rPr>
        <w:t xml:space="preserve"> (HR), </w:t>
      </w:r>
      <w:proofErr w:type="spellStart"/>
      <w:r w:rsidRPr="00411E37">
        <w:rPr>
          <w:rFonts w:ascii="Verdana" w:eastAsia="Times New Roman" w:hAnsi="Verdana" w:cs="Times New Roman"/>
          <w:sz w:val="20"/>
          <w:szCs w:val="20"/>
        </w:rPr>
        <w:t>Mladen</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Stilinović</w:t>
      </w:r>
      <w:proofErr w:type="spellEnd"/>
      <w:r w:rsidRPr="00411E37">
        <w:rPr>
          <w:rFonts w:ascii="Verdana" w:eastAsia="Times New Roman" w:hAnsi="Verdana" w:cs="Times New Roman"/>
          <w:sz w:val="20"/>
          <w:szCs w:val="20"/>
        </w:rPr>
        <w:t xml:space="preserve"> (HR).</w:t>
      </w:r>
    </w:p>
    <w:p w14:paraId="0000006E" w14:textId="77777777" w:rsidR="00625CC8" w:rsidRPr="00411E37" w:rsidRDefault="00625CC8" w:rsidP="00411E37">
      <w:pPr>
        <w:rPr>
          <w:rFonts w:ascii="Verdana" w:eastAsia="Times New Roman" w:hAnsi="Verdana" w:cs="Times New Roman"/>
          <w:sz w:val="20"/>
          <w:szCs w:val="20"/>
        </w:rPr>
      </w:pPr>
    </w:p>
    <w:p w14:paraId="0000006F" w14:textId="77777777" w:rsidR="00625CC8" w:rsidRPr="00411E37" w:rsidRDefault="00D8522D" w:rsidP="00411E37">
      <w:pPr>
        <w:rPr>
          <w:rFonts w:ascii="Verdana" w:eastAsia="Times New Roman" w:hAnsi="Verdana" w:cs="Times New Roman"/>
          <w:sz w:val="20"/>
          <w:szCs w:val="20"/>
          <w:highlight w:val="white"/>
        </w:rPr>
      </w:pPr>
      <w:r w:rsidRPr="00411E37">
        <w:rPr>
          <w:rFonts w:ascii="Verdana" w:eastAsia="Times New Roman" w:hAnsi="Verdana" w:cs="Times New Roman"/>
          <w:sz w:val="20"/>
          <w:szCs w:val="20"/>
        </w:rPr>
        <w:t xml:space="preserve">Ostatnią propozycją jest cykl wystaw </w:t>
      </w:r>
      <w:r w:rsidRPr="00411E37">
        <w:rPr>
          <w:rFonts w:ascii="Verdana" w:eastAsia="Times New Roman" w:hAnsi="Verdana" w:cs="Times New Roman"/>
          <w:sz w:val="20"/>
          <w:szCs w:val="20"/>
          <w:highlight w:val="white"/>
        </w:rPr>
        <w:t xml:space="preserve">zestawiających międzynarodowe prace wideo z pracami z kolekcji MWW. Rotująca prezentacja międzynarodowej sztuki wideo – prace pożyczane bezpośrednio od artystów oraz z międzynarodowych kolekcji – obok dzieł z kolekcji MWW buduje lokalne i globalne dialogi artystyczne. Cykl ma na celu pokazanie najciekawszych zagadnień sztuki współczesnej z całego świata i usytuowanie jej w polskim kontekście. Projekt może stać się podstawą dla systematycznego programu edukacyjnego poświęconego najważniejszym zagadnieniom najnowszej sztuki. Jest także zaproszeniem do uważnego patrzenia na ruchomy obraz i refleksją na temat ekonomii uwagi. </w:t>
      </w:r>
    </w:p>
    <w:p w14:paraId="00000070" w14:textId="77777777" w:rsidR="00625CC8" w:rsidRPr="00411E37" w:rsidRDefault="00625CC8" w:rsidP="00411E37">
      <w:pPr>
        <w:spacing w:after="160"/>
        <w:rPr>
          <w:rFonts w:ascii="Verdana" w:eastAsia="Times New Roman" w:hAnsi="Verdana" w:cs="Times New Roman"/>
          <w:sz w:val="20"/>
          <w:szCs w:val="20"/>
        </w:rPr>
      </w:pPr>
    </w:p>
    <w:p w14:paraId="00000071"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3) Plan organizacyjno-finansowy dla instytucji, w tym projekt struktury organizacyjnej, polityki finansowej, modelu zarządzania </w:t>
      </w:r>
    </w:p>
    <w:p w14:paraId="00000072"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Plan organizacyjno-finansowy został opracowany w oparciu o analizę danych działalności instytucji z lat 2021-2025 i mapuje obszary wymagające optymalizacji, które stanowią dla mnie punkty wyjścia do procesu zarządzania zmianą. Propozycja stanowi tym samym narzędzie nie tylko planistyczne, lecz także transformacyjne, ukierunkowane na poprawę efektywności funkcjonowania Muzeum.</w:t>
      </w:r>
    </w:p>
    <w:p w14:paraId="00000073"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Struktura organizacyjna – kierunki zmian</w:t>
      </w:r>
    </w:p>
    <w:p w14:paraId="00000074"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Struktura MWW oparta będzie na trzech zasadach: decentralizacji, uproszczeniu i innowacji.</w:t>
      </w:r>
    </w:p>
    <w:p w14:paraId="00000075"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Decentralizacja zakłada jasne określenie zakresów obowiązków i delegowanie odpowiedzialności. Uproszczenie obejmie redukcję szczebli hierarchicznych oraz scalenie mikro-działów w większe jednostki operacyjne i programowe. Innowacja oznacza wzmocnienie kompetencji w obszarach kluczowych dla współczesnego muzeum: digitalizacji, badań, projektów międzynarodowych oraz pozyskiwania środków zewnętrznych.</w:t>
      </w:r>
    </w:p>
    <w:p w14:paraId="00000076"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Model zarządzania</w:t>
      </w:r>
    </w:p>
    <w:p w14:paraId="00000077" w14:textId="19D17525"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Muzeum funkcjonować będzie w modelu hybrydowym (procesowo-macierzowym), łączącym odpowiedzialność hierarchiczną z elastyczną pracą zespołów projektowych. Dyrektor pełni rolę strategicznego koordynatora, natomiast jego zastępcy i kierownicy działów odpowiadają za realizację celów w swoich obszarach. Praca instytucji opiera się na regularnych spotkaniach koordynacyjnych. Przewiduje możliwość powołania funkcji zastępcy dyrektora do spraw </w:t>
      </w:r>
      <w:r w:rsidR="00233D20" w:rsidRPr="00411E37">
        <w:rPr>
          <w:rFonts w:ascii="Verdana" w:eastAsia="Times New Roman" w:hAnsi="Verdana" w:cs="Times New Roman"/>
          <w:sz w:val="20"/>
          <w:szCs w:val="20"/>
        </w:rPr>
        <w:t>programowych</w:t>
      </w:r>
      <w:r w:rsidRPr="00411E37">
        <w:rPr>
          <w:rFonts w:ascii="Verdana" w:eastAsia="Times New Roman" w:hAnsi="Verdana" w:cs="Times New Roman"/>
          <w:sz w:val="20"/>
          <w:szCs w:val="20"/>
        </w:rPr>
        <w:t xml:space="preserve"> oraz administracyjnych </w:t>
      </w:r>
    </w:p>
    <w:p w14:paraId="00000078" w14:textId="77777777" w:rsidR="00625CC8" w:rsidRPr="00411E37" w:rsidRDefault="00D8522D" w:rsidP="00411E37">
      <w:pPr>
        <w:spacing w:after="160"/>
        <w:rPr>
          <w:rFonts w:ascii="Verdana" w:eastAsia="Times New Roman" w:hAnsi="Verdana" w:cs="Times New Roman"/>
          <w:sz w:val="20"/>
          <w:szCs w:val="20"/>
          <w:u w:val="single"/>
        </w:rPr>
      </w:pPr>
      <w:r w:rsidRPr="00411E37">
        <w:rPr>
          <w:rFonts w:ascii="Verdana" w:eastAsia="Times New Roman" w:hAnsi="Verdana" w:cs="Times New Roman"/>
          <w:sz w:val="20"/>
          <w:szCs w:val="20"/>
          <w:u w:val="single"/>
        </w:rPr>
        <w:t>Kluczowe działy i kompetencje</w:t>
      </w:r>
    </w:p>
    <w:p w14:paraId="00000079" w14:textId="5C5BA2E6" w:rsidR="00625CC8" w:rsidRPr="00411E37" w:rsidRDefault="00D8522D" w:rsidP="00411E37">
      <w:pPr>
        <w:spacing w:before="240" w:after="160"/>
        <w:rPr>
          <w:rFonts w:ascii="Verdana" w:eastAsia="Times New Roman" w:hAnsi="Verdana" w:cs="Times New Roman"/>
          <w:sz w:val="20"/>
          <w:szCs w:val="20"/>
        </w:rPr>
      </w:pPr>
      <w:r w:rsidRPr="00411E37">
        <w:rPr>
          <w:rFonts w:ascii="Verdana" w:eastAsia="Times New Roman" w:hAnsi="Verdana" w:cs="Times New Roman"/>
          <w:b/>
          <w:bCs/>
          <w:sz w:val="20"/>
          <w:szCs w:val="20"/>
        </w:rPr>
        <w:t>Dyrektor Muzeum</w:t>
      </w:r>
      <w:r w:rsidR="00233D20" w:rsidRPr="00411E37">
        <w:rPr>
          <w:rFonts w:ascii="Verdana" w:eastAsia="Times New Roman" w:hAnsi="Verdana" w:cs="Times New Roman"/>
          <w:b/>
          <w:bCs/>
          <w:sz w:val="20"/>
          <w:szCs w:val="20"/>
        </w:rPr>
        <w:t xml:space="preserve"> – </w:t>
      </w:r>
      <w:r w:rsidRPr="00411E37">
        <w:rPr>
          <w:rFonts w:ascii="Verdana" w:eastAsia="Times New Roman" w:hAnsi="Verdana" w:cs="Times New Roman"/>
          <w:sz w:val="20"/>
          <w:szCs w:val="20"/>
        </w:rPr>
        <w:t>zarządzanie strategiczne, reprezentacja instytucji, nadzór nad realizacją misji, delegowanie</w:t>
      </w:r>
      <w:r w:rsidRPr="00411E37">
        <w:rPr>
          <w:rFonts w:ascii="Verdana" w:eastAsia="Times New Roman" w:hAnsi="Verdana" w:cs="Times New Roman"/>
          <w:i/>
          <w:iCs/>
          <w:sz w:val="20"/>
          <w:szCs w:val="20"/>
        </w:rPr>
        <w:t xml:space="preserve"> </w:t>
      </w:r>
      <w:r w:rsidRPr="00411E37">
        <w:rPr>
          <w:rFonts w:ascii="Verdana" w:eastAsia="Times New Roman" w:hAnsi="Verdana" w:cs="Times New Roman"/>
          <w:sz w:val="20"/>
          <w:szCs w:val="20"/>
        </w:rPr>
        <w:t>odpowiedzialności do zastępców i kierowników działów (decentralizacja), ograniczenie liczby szczebli decyzyjnych. Działam tutaj jako koordynator strategiczny (uproszczenia), inicjuję procesy transformacje i pozyskiwania partnerów międzynarodowych (innowacja).</w:t>
      </w:r>
    </w:p>
    <w:p w14:paraId="0000007A" w14:textId="77777777" w:rsidR="00625CC8" w:rsidRPr="00411E37" w:rsidRDefault="00D8522D" w:rsidP="00411E37">
      <w:pPr>
        <w:spacing w:before="240" w:after="160"/>
        <w:rPr>
          <w:rFonts w:ascii="Verdana" w:eastAsia="Times New Roman" w:hAnsi="Verdana" w:cs="Times New Roman"/>
          <w:sz w:val="20"/>
          <w:szCs w:val="20"/>
        </w:rPr>
      </w:pPr>
      <w:r w:rsidRPr="00411E37">
        <w:rPr>
          <w:rFonts w:ascii="Verdana" w:eastAsia="Times New Roman" w:hAnsi="Verdana" w:cs="Times New Roman"/>
          <w:b/>
          <w:bCs/>
          <w:sz w:val="20"/>
          <w:szCs w:val="20"/>
        </w:rPr>
        <w:lastRenderedPageBreak/>
        <w:t xml:space="preserve">Dział Programowy – </w:t>
      </w:r>
      <w:r w:rsidRPr="00411E37">
        <w:rPr>
          <w:rFonts w:ascii="Verdana" w:eastAsia="Times New Roman" w:hAnsi="Verdana" w:cs="Times New Roman"/>
          <w:sz w:val="20"/>
          <w:szCs w:val="20"/>
        </w:rPr>
        <w:t>obejmuje:</w:t>
      </w:r>
      <w:r w:rsidRPr="00411E37">
        <w:rPr>
          <w:rFonts w:ascii="Verdana" w:eastAsia="Times New Roman" w:hAnsi="Verdana" w:cs="Times New Roman"/>
          <w:b/>
          <w:bCs/>
          <w:sz w:val="20"/>
          <w:szCs w:val="20"/>
        </w:rPr>
        <w:t xml:space="preserve"> </w:t>
      </w:r>
      <w:r w:rsidRPr="00411E37">
        <w:rPr>
          <w:rFonts w:ascii="Verdana" w:eastAsia="Times New Roman" w:hAnsi="Verdana" w:cs="Times New Roman"/>
          <w:sz w:val="20"/>
          <w:szCs w:val="20"/>
        </w:rPr>
        <w:t>koordynację wystaw, edukacji, projektów społecznych i badań</w:t>
      </w:r>
      <w:r w:rsidRPr="00411E37">
        <w:rPr>
          <w:rFonts w:ascii="Verdana" w:eastAsia="Times New Roman" w:hAnsi="Verdana" w:cs="Times New Roman"/>
          <w:b/>
          <w:bCs/>
          <w:sz w:val="20"/>
          <w:szCs w:val="20"/>
        </w:rPr>
        <w:t xml:space="preserve">. </w:t>
      </w:r>
      <w:r w:rsidRPr="00411E37">
        <w:rPr>
          <w:rFonts w:ascii="Verdana" w:eastAsia="Times New Roman" w:hAnsi="Verdana" w:cs="Times New Roman"/>
          <w:sz w:val="20"/>
          <w:szCs w:val="20"/>
        </w:rPr>
        <w:t>Osoba kierująca</w:t>
      </w:r>
      <w:r w:rsidRPr="00411E37">
        <w:rPr>
          <w:rFonts w:ascii="Verdana" w:eastAsia="Times New Roman" w:hAnsi="Verdana" w:cs="Times New Roman"/>
          <w:b/>
          <w:bCs/>
          <w:sz w:val="20"/>
          <w:szCs w:val="20"/>
        </w:rPr>
        <w:t xml:space="preserve"> </w:t>
      </w:r>
      <w:r w:rsidRPr="00411E37">
        <w:rPr>
          <w:rFonts w:ascii="Verdana" w:eastAsia="Times New Roman" w:hAnsi="Verdana" w:cs="Times New Roman"/>
          <w:sz w:val="20"/>
          <w:szCs w:val="20"/>
        </w:rPr>
        <w:t>ma autonomię w podejmowaniu decyzji programowych (decentralizacja)</w:t>
      </w:r>
      <w:r w:rsidRPr="00411E37">
        <w:rPr>
          <w:rFonts w:ascii="Verdana" w:eastAsia="Times New Roman" w:hAnsi="Verdana" w:cs="Times New Roman"/>
          <w:b/>
          <w:bCs/>
          <w:sz w:val="20"/>
          <w:szCs w:val="20"/>
        </w:rPr>
        <w:t xml:space="preserve"> </w:t>
      </w:r>
      <w:r w:rsidRPr="00411E37">
        <w:rPr>
          <w:rFonts w:ascii="Verdana" w:eastAsia="Times New Roman" w:hAnsi="Verdana" w:cs="Times New Roman"/>
          <w:sz w:val="20"/>
          <w:szCs w:val="20"/>
        </w:rPr>
        <w:t>scala mikro-działy w większe jednostki (uproszczenie)</w:t>
      </w:r>
      <w:r w:rsidRPr="00411E37">
        <w:rPr>
          <w:rFonts w:ascii="Verdana" w:eastAsia="Times New Roman" w:hAnsi="Verdana" w:cs="Times New Roman"/>
          <w:b/>
          <w:bCs/>
          <w:sz w:val="20"/>
          <w:szCs w:val="20"/>
        </w:rPr>
        <w:t xml:space="preserve">, </w:t>
      </w:r>
      <w:r w:rsidRPr="00411E37">
        <w:rPr>
          <w:rFonts w:ascii="Verdana" w:eastAsia="Times New Roman" w:hAnsi="Verdana" w:cs="Times New Roman"/>
          <w:sz w:val="20"/>
          <w:szCs w:val="20"/>
        </w:rPr>
        <w:t>odpowiada za wdrażanie nowych form działalności merytorycznej (innowacja). Zarządza działem, w skład którego wchodzą kompetencje w zakresie projektowania i realizacji działań społecznych, edukacyjnych i kuratorskich, organizacji wystaw i obsługi publiczności, pozyskiwania funduszy, współpracy z artystami i instytucjami, współpracy międzynarodowej, wdrażania innowacyjnych metod pracy z odbiorcami oraz rozwijania strategii uczestnictwa i komunikacji.</w:t>
      </w:r>
    </w:p>
    <w:p w14:paraId="0000007B" w14:textId="19D375B4" w:rsidR="00625CC8" w:rsidRPr="00411E37" w:rsidRDefault="00D8522D" w:rsidP="00411E37">
      <w:pPr>
        <w:spacing w:before="240" w:after="160"/>
        <w:rPr>
          <w:rFonts w:ascii="Verdana" w:eastAsia="Times New Roman" w:hAnsi="Verdana" w:cs="Times New Roman"/>
          <w:sz w:val="20"/>
          <w:szCs w:val="20"/>
        </w:rPr>
      </w:pPr>
      <w:r w:rsidRPr="00411E37">
        <w:rPr>
          <w:rFonts w:ascii="Verdana" w:eastAsia="Times New Roman" w:hAnsi="Verdana" w:cs="Times New Roman"/>
          <w:b/>
          <w:bCs/>
          <w:sz w:val="20"/>
          <w:szCs w:val="20"/>
        </w:rPr>
        <w:t xml:space="preserve">Dział </w:t>
      </w:r>
      <w:r w:rsidR="00EE2FEF" w:rsidRPr="00411E37">
        <w:rPr>
          <w:rFonts w:ascii="Verdana" w:eastAsia="Times New Roman" w:hAnsi="Verdana" w:cs="Times New Roman"/>
          <w:b/>
          <w:bCs/>
          <w:sz w:val="20"/>
          <w:szCs w:val="20"/>
        </w:rPr>
        <w:t>K</w:t>
      </w:r>
      <w:r w:rsidRPr="00411E37">
        <w:rPr>
          <w:rFonts w:ascii="Verdana" w:eastAsia="Times New Roman" w:hAnsi="Verdana" w:cs="Times New Roman"/>
          <w:b/>
          <w:bCs/>
          <w:sz w:val="20"/>
          <w:szCs w:val="20"/>
        </w:rPr>
        <w:t xml:space="preserve">sięgowy – </w:t>
      </w:r>
      <w:r w:rsidRPr="00411E37">
        <w:rPr>
          <w:rFonts w:ascii="Verdana" w:eastAsia="Times New Roman" w:hAnsi="Verdana" w:cs="Times New Roman"/>
          <w:sz w:val="20"/>
          <w:szCs w:val="20"/>
        </w:rPr>
        <w:t>odpowiada za prawidłowe funkcjonowanie finansów instytucji, decentralizację odpowiedzialności poprzez jasne przypisanie kompetencji w zespole oraz za innowację poprzez wdrażanie narzędzi automatyzujących i cyfrowych rozwiązań, które stają się jego priorytetem i fundamentem zwiększania efektywności oraz transparentności działania muzeum. Dział obejmie osoby odpowiedzialne za księgowość i płace.</w:t>
      </w:r>
    </w:p>
    <w:p w14:paraId="0000007C" w14:textId="0C6D64FA" w:rsidR="00625CC8" w:rsidRPr="00411E37" w:rsidRDefault="00D8522D" w:rsidP="00411E37">
      <w:pPr>
        <w:spacing w:before="240" w:after="160"/>
        <w:rPr>
          <w:rFonts w:ascii="Verdana" w:eastAsia="Times New Roman" w:hAnsi="Verdana" w:cs="Times New Roman"/>
          <w:sz w:val="20"/>
          <w:szCs w:val="20"/>
        </w:rPr>
      </w:pPr>
      <w:r w:rsidRPr="00411E37">
        <w:rPr>
          <w:rFonts w:ascii="Verdana" w:eastAsia="Times New Roman" w:hAnsi="Verdana" w:cs="Times New Roman"/>
          <w:b/>
          <w:bCs/>
          <w:sz w:val="20"/>
          <w:szCs w:val="20"/>
        </w:rPr>
        <w:t xml:space="preserve">Dział </w:t>
      </w:r>
      <w:r w:rsidR="00EE2FEF" w:rsidRPr="00411E37">
        <w:rPr>
          <w:rFonts w:ascii="Verdana" w:eastAsia="Times New Roman" w:hAnsi="Verdana" w:cs="Times New Roman"/>
          <w:b/>
          <w:bCs/>
          <w:sz w:val="20"/>
          <w:szCs w:val="20"/>
        </w:rPr>
        <w:t>A</w:t>
      </w:r>
      <w:r w:rsidRPr="00411E37">
        <w:rPr>
          <w:rFonts w:ascii="Verdana" w:eastAsia="Times New Roman" w:hAnsi="Verdana" w:cs="Times New Roman"/>
          <w:b/>
          <w:bCs/>
          <w:sz w:val="20"/>
          <w:szCs w:val="20"/>
        </w:rPr>
        <w:t xml:space="preserve">dministracji – </w:t>
      </w:r>
      <w:r w:rsidRPr="00411E37">
        <w:rPr>
          <w:rFonts w:ascii="Verdana" w:eastAsia="Times New Roman" w:hAnsi="Verdana" w:cs="Times New Roman"/>
          <w:sz w:val="20"/>
          <w:szCs w:val="20"/>
        </w:rPr>
        <w:t xml:space="preserve">osoba kierująca tym działem w hybrydowym modelu zarządzania muzeum pełni kluczową rolę w zapewnieniu sprawnego funkcjonowania zaplecza instytucji, ale przede wszystkim odpowiada za jej operacyjny rozwój – zarówno poprzez aktywne zarządzanie potencjałem lokalowym, jak i poprzez systemowe wspieranie rozwoju pracowników, w tym identyfikowanie i zbieranie </w:t>
      </w:r>
      <w:proofErr w:type="spellStart"/>
      <w:r w:rsidRPr="00411E37">
        <w:rPr>
          <w:rFonts w:ascii="Verdana" w:eastAsia="Times New Roman" w:hAnsi="Verdana" w:cs="Times New Roman"/>
          <w:sz w:val="20"/>
          <w:szCs w:val="20"/>
        </w:rPr>
        <w:t>zapotrzebowań</w:t>
      </w:r>
      <w:proofErr w:type="spellEnd"/>
      <w:r w:rsidRPr="00411E37">
        <w:rPr>
          <w:rFonts w:ascii="Verdana" w:eastAsia="Times New Roman" w:hAnsi="Verdana" w:cs="Times New Roman"/>
          <w:sz w:val="20"/>
          <w:szCs w:val="20"/>
        </w:rPr>
        <w:t xml:space="preserve"> szkoleniowych oraz wdrażanie mechanizmów podnoszenia kompetencji zespołu. Dział obejmuje następujące kompetencje: zarządzanie infrastrukturą i zasobami, bezpieczeństwo i ochrona, obsługa prawna i kadrowa, zaopatrzenie i logistyka, wsparcie organizacyjne i komunikacyjne.</w:t>
      </w:r>
    </w:p>
    <w:p w14:paraId="0000007D" w14:textId="77777777" w:rsidR="00625CC8" w:rsidRPr="00411E37" w:rsidRDefault="00D8522D" w:rsidP="00411E37">
      <w:pPr>
        <w:spacing w:before="240" w:after="160"/>
        <w:rPr>
          <w:rFonts w:ascii="Verdana" w:eastAsia="Times New Roman" w:hAnsi="Verdana" w:cs="Times New Roman"/>
          <w:sz w:val="20"/>
          <w:szCs w:val="20"/>
        </w:rPr>
      </w:pPr>
      <w:r w:rsidRPr="00411E37">
        <w:rPr>
          <w:rFonts w:ascii="Verdana" w:eastAsia="Times New Roman" w:hAnsi="Verdana" w:cs="Times New Roman"/>
          <w:b/>
          <w:bCs/>
          <w:sz w:val="20"/>
          <w:szCs w:val="20"/>
        </w:rPr>
        <w:t>Dział Kolekcji i Inwentarza</w:t>
      </w:r>
      <w:r w:rsidRPr="00411E37">
        <w:rPr>
          <w:rFonts w:ascii="Verdana" w:eastAsia="Times New Roman" w:hAnsi="Verdana" w:cs="Times New Roman"/>
          <w:sz w:val="20"/>
          <w:szCs w:val="20"/>
        </w:rPr>
        <w:t xml:space="preserve"> - osoba kierująca pełni funkcję lidera merytorycznego, który odpowiada za strategiczne zarządzanie zasobami muzealnymi – zarówno w wymiarze dokumentacyjnym, konserwatorskim, jak i badawczym. Dział zintegruje rozproszone funkcje inwentaryzacyjne, archiwistyczne i konserwatorskie w jeden spójny proces zarządzania zasobami. Kompetencje zespołu obejmują: dokumentację i zarządzanie kolekcją, inwentaryzację i archiwizację, konserwację dzieł sztuki, rozwój zasobów cyfrowych, prowadzenie badań nad zbiorami oraz współpracę z zespołami kuratorskimi i programowymi w zakresie udostępniania kolekcji w formach wystawienniczych, edukacyjnych i cyfrowych.</w:t>
      </w:r>
    </w:p>
    <w:p w14:paraId="0000007E" w14:textId="77777777" w:rsidR="00625CC8" w:rsidRPr="00411E37" w:rsidRDefault="00D8522D" w:rsidP="00411E37">
      <w:pPr>
        <w:spacing w:before="240" w:after="160"/>
        <w:rPr>
          <w:rFonts w:ascii="Verdana" w:eastAsia="Times New Roman" w:hAnsi="Verdana" w:cs="Times New Roman"/>
          <w:sz w:val="20"/>
          <w:szCs w:val="20"/>
        </w:rPr>
      </w:pPr>
      <w:r w:rsidRPr="00411E37">
        <w:rPr>
          <w:rFonts w:ascii="Verdana" w:eastAsia="Times New Roman" w:hAnsi="Verdana" w:cs="Times New Roman"/>
          <w:b/>
          <w:bCs/>
          <w:sz w:val="20"/>
          <w:szCs w:val="20"/>
        </w:rPr>
        <w:t>Dział Promocji i Komunikacji</w:t>
      </w:r>
      <w:r w:rsidRPr="00411E37">
        <w:rPr>
          <w:rFonts w:ascii="Verdana" w:eastAsia="Times New Roman" w:hAnsi="Verdana" w:cs="Times New Roman"/>
          <w:sz w:val="20"/>
          <w:szCs w:val="20"/>
        </w:rPr>
        <w:t xml:space="preserve"> – osoba kierująca działem zintegruje działania promocyjne, medialne i społecznościowe w jeden spójny proces komunikacyjny. Jego zadaniem jest również wdrażanie innowacyjnych form komunikacji i uczestnictwa kulturowego, w tym rozwój strategii obecności w mediach tradycyjnych i społecznościowych</w:t>
      </w:r>
    </w:p>
    <w:p w14:paraId="0000007F" w14:textId="77777777" w:rsidR="00625CC8" w:rsidRPr="00411E37" w:rsidRDefault="00D8522D" w:rsidP="00411E37">
      <w:pPr>
        <w:spacing w:before="240" w:after="160"/>
        <w:rPr>
          <w:rFonts w:ascii="Verdana" w:eastAsia="Times New Roman" w:hAnsi="Verdana" w:cs="Times New Roman"/>
          <w:sz w:val="20"/>
          <w:szCs w:val="20"/>
        </w:rPr>
      </w:pPr>
      <w:r w:rsidRPr="00411E37">
        <w:rPr>
          <w:rFonts w:ascii="Verdana" w:eastAsia="Times New Roman" w:hAnsi="Verdana" w:cs="Times New Roman"/>
          <w:b/>
          <w:bCs/>
          <w:sz w:val="20"/>
          <w:szCs w:val="20"/>
        </w:rPr>
        <w:t>Dział Produkcji i Realizacji Wystaw</w:t>
      </w:r>
      <w:r w:rsidRPr="00411E37">
        <w:rPr>
          <w:rFonts w:ascii="Verdana" w:eastAsia="Times New Roman" w:hAnsi="Verdana" w:cs="Times New Roman"/>
          <w:sz w:val="20"/>
          <w:szCs w:val="20"/>
        </w:rPr>
        <w:t xml:space="preserve"> – odpowiada za kompleksową organizację i realizację wystaw, a także koordynację działań technicznych i przestrzennych.</w:t>
      </w:r>
    </w:p>
    <w:p w14:paraId="1179C89D" w14:textId="77777777" w:rsidR="00233D20"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Wskaźniki realizacji</w:t>
      </w:r>
    </w:p>
    <w:p w14:paraId="355C77A2" w14:textId="27560E81" w:rsidR="00233D20" w:rsidRPr="00411E37" w:rsidRDefault="00D8522D" w:rsidP="00411E37">
      <w:pPr>
        <w:pStyle w:val="Akapitzlist"/>
        <w:numPr>
          <w:ilvl w:val="0"/>
          <w:numId w:val="11"/>
        </w:numPr>
        <w:spacing w:after="160"/>
        <w:rPr>
          <w:rFonts w:ascii="Verdana" w:eastAsia="Times New Roman" w:hAnsi="Verdana" w:cs="Times New Roman"/>
          <w:b/>
          <w:bCs/>
          <w:sz w:val="20"/>
          <w:szCs w:val="20"/>
        </w:rPr>
      </w:pPr>
      <w:r w:rsidRPr="00411E37">
        <w:rPr>
          <w:rFonts w:ascii="Verdana" w:eastAsia="Times New Roman" w:hAnsi="Verdana" w:cs="Times New Roman"/>
          <w:sz w:val="20"/>
          <w:szCs w:val="20"/>
        </w:rPr>
        <w:t>Decentralizacja</w:t>
      </w:r>
      <w:r w:rsidR="00233D20"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 xml:space="preserve">stanowiska z jasno określonym zakresem obowiązków </w:t>
      </w:r>
    </w:p>
    <w:p w14:paraId="274DE635" w14:textId="7168C3B3" w:rsidR="00233D20" w:rsidRPr="00411E37" w:rsidRDefault="00D8522D" w:rsidP="00411E37">
      <w:pPr>
        <w:pStyle w:val="Akapitzlist"/>
        <w:numPr>
          <w:ilvl w:val="0"/>
          <w:numId w:val="11"/>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Uproszczenie struktury</w:t>
      </w:r>
      <w:r w:rsidR="00233D20"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redukcja liczby mikro-działów,</w:t>
      </w:r>
    </w:p>
    <w:p w14:paraId="00000083" w14:textId="1659815D" w:rsidR="00625CC8" w:rsidRPr="00411E37" w:rsidRDefault="00D8522D" w:rsidP="00411E37">
      <w:pPr>
        <w:pStyle w:val="Akapitzlist"/>
        <w:numPr>
          <w:ilvl w:val="0"/>
          <w:numId w:val="11"/>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Innowacja</w:t>
      </w:r>
      <w:r w:rsidR="00233D20"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 xml:space="preserve">uruchomienie systemu digitalizacji i wzrost </w:t>
      </w:r>
      <w:proofErr w:type="spellStart"/>
      <w:r w:rsidRPr="00411E37">
        <w:rPr>
          <w:rFonts w:ascii="Verdana" w:eastAsia="Times New Roman" w:hAnsi="Verdana" w:cs="Times New Roman"/>
          <w:sz w:val="20"/>
          <w:szCs w:val="20"/>
        </w:rPr>
        <w:t>zdigitalizowanych</w:t>
      </w:r>
      <w:proofErr w:type="spellEnd"/>
      <w:r w:rsidRPr="00411E37">
        <w:rPr>
          <w:rFonts w:ascii="Verdana" w:eastAsia="Times New Roman" w:hAnsi="Verdana" w:cs="Times New Roman"/>
          <w:sz w:val="20"/>
          <w:szCs w:val="20"/>
        </w:rPr>
        <w:t xml:space="preserve"> zbiorów </w:t>
      </w:r>
    </w:p>
    <w:p w14:paraId="00000084"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lastRenderedPageBreak/>
        <w:t>Kluczowe założenia polityki finansowej (opracowane jw. na podstawie udostępnionych danych za lata 2021-2025)</w:t>
      </w:r>
    </w:p>
    <w:p w14:paraId="00000085"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Polityka finansowa MWW powinna równoważyć realizację misji z efektywnością organizacyjną i ekonomiczną. Jej nadrzędnym celem jest zapewnienie stabilności instytucji przy jednoczesnym tworzeniu warunków do rozwoju programowego, edukacyjnego i organizacyjnego.</w:t>
      </w:r>
    </w:p>
    <w:p w14:paraId="00000086"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Zrównoważenie misji i efektywności</w:t>
      </w:r>
    </w:p>
    <w:p w14:paraId="00000087"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Planowanie finansowe powinno być ściśle powiązane z celami programowymi Muzeum. Wydatki operacyjne muszą wspierać realizację misji MWW, a nie jedynie zabezpieczać bieżące funkcjonowanie. Budżetowanie projektowe będzie oparte na jasno zdefiniowanych celach, mierzalnych rezultatach oraz realnej ocenie kosztów i efektów.</w:t>
      </w:r>
    </w:p>
    <w:p w14:paraId="00000088"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Dywersyfikacja źródeł finansowania</w:t>
      </w:r>
    </w:p>
    <w:p w14:paraId="00000089"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Dotacje publiczne pozostają kluczowym źródłem finansowania, jednak nie mogą być jedyną podstawą działalności Muzeum. Zakładam aktywne pozyskiwanie środków z programów krajowych i międzynarodowych, co wymaga wzmocnienia kompetencji zespołu w zakresie grantów i </w:t>
      </w:r>
      <w:proofErr w:type="spellStart"/>
      <w:r w:rsidRPr="00411E37">
        <w:rPr>
          <w:rFonts w:ascii="Verdana" w:eastAsia="Times New Roman" w:hAnsi="Verdana" w:cs="Times New Roman"/>
          <w:sz w:val="20"/>
          <w:szCs w:val="20"/>
        </w:rPr>
        <w:t>fundraisingu</w:t>
      </w:r>
      <w:proofErr w:type="spellEnd"/>
      <w:r w:rsidRPr="00411E37">
        <w:rPr>
          <w:rFonts w:ascii="Verdana" w:eastAsia="Times New Roman" w:hAnsi="Verdana" w:cs="Times New Roman"/>
          <w:sz w:val="20"/>
          <w:szCs w:val="20"/>
        </w:rPr>
        <w:t xml:space="preserve">. Równolegle rozwijane będą przychody własne: wynajem przestrzeni (m.in. kawiarnia, sale warsztatowe), sprzedaż publikacji i wydawnictw, bilety, warsztaty edukacyjne. Istotnym kierunkiem rozwoju będą również partnerstwa i sponsoring, a także działania </w:t>
      </w:r>
      <w:proofErr w:type="spellStart"/>
      <w:r w:rsidRPr="00411E37">
        <w:rPr>
          <w:rFonts w:ascii="Verdana" w:eastAsia="Times New Roman" w:hAnsi="Verdana" w:cs="Times New Roman"/>
          <w:sz w:val="20"/>
          <w:szCs w:val="20"/>
        </w:rPr>
        <w:t>fundraisingowe</w:t>
      </w:r>
      <w:proofErr w:type="spellEnd"/>
      <w:r w:rsidRPr="00411E37">
        <w:rPr>
          <w:rFonts w:ascii="Verdana" w:eastAsia="Times New Roman" w:hAnsi="Verdana" w:cs="Times New Roman"/>
          <w:sz w:val="20"/>
          <w:szCs w:val="20"/>
        </w:rPr>
        <w:t xml:space="preserve"> i pozyskiwanie darowizn.</w:t>
      </w:r>
    </w:p>
    <w:p w14:paraId="0000008A"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Inwestycje w innowacje i rozwój</w:t>
      </w:r>
    </w:p>
    <w:p w14:paraId="0000008B"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W porozumieniu z kierownikami poszczególnych działów wyodrębnione środki będą systematycznie przeznaczane na rozwój kompetencji pracowników, digitalizację zbiorów oraz wdrażanie nowych formatów uczestnictwa w kulturze. Wydatki kapitałowe (np. sprzęt, systemy IT) będą każdorazowo powiązane z długofalowymi celami rozwojowymi Muzeum, a nie wyłącznie z bieżącymi potrzebami operacyjnymi.</w:t>
      </w:r>
    </w:p>
    <w:p w14:paraId="0000008C"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Transparentność i automatyzacja procesów</w:t>
      </w:r>
    </w:p>
    <w:p w14:paraId="1C202AF9" w14:textId="191D5A9E" w:rsidR="00411E37"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Priorytetem będzie zwiększenie przejrzystości finansowej poprzez automatyzację procesów księgowych i administracyjnych (o ile nie zostały jeszcze wdrożone). Cyfryzacja procesów pozwoli na sprawniejsze zarządzanie budżetem, szybsze rozliczanie projektów oraz bardziej efektywne raportowanie.</w:t>
      </w:r>
    </w:p>
    <w:p w14:paraId="0000008E"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Zarządzanie ryzykiem i rezerwami</w:t>
      </w:r>
    </w:p>
    <w:p w14:paraId="0000008F"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Elementem odpowiedzialnej polityki finansowej jest tworzenie rezerw strategicznych na sytuacje nieprzewidziane (np. zmniejszenie dotacji, awarie techniczne). Planowanie finansowe będzie uwzględniać analizę </w:t>
      </w:r>
      <w:proofErr w:type="spellStart"/>
      <w:r w:rsidRPr="00411E37">
        <w:rPr>
          <w:rFonts w:ascii="Verdana" w:eastAsia="Times New Roman" w:hAnsi="Verdana" w:cs="Times New Roman"/>
          <w:sz w:val="20"/>
          <w:szCs w:val="20"/>
        </w:rPr>
        <w:t>ryzyk</w:t>
      </w:r>
      <w:proofErr w:type="spellEnd"/>
      <w:r w:rsidRPr="00411E37">
        <w:rPr>
          <w:rFonts w:ascii="Verdana" w:eastAsia="Times New Roman" w:hAnsi="Verdana" w:cs="Times New Roman"/>
          <w:sz w:val="20"/>
          <w:szCs w:val="20"/>
        </w:rPr>
        <w:t xml:space="preserve"> związanych z projektami i inwestycjami oraz jasno określoną odpowiedzialność za ich monitorowanie.</w:t>
      </w:r>
    </w:p>
    <w:p w14:paraId="00000090"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b/>
          <w:bCs/>
          <w:sz w:val="20"/>
          <w:szCs w:val="20"/>
        </w:rPr>
        <w:t>Wskaźniki sukcesu</w:t>
      </w:r>
      <w:r w:rsidRPr="00411E37">
        <w:rPr>
          <w:rFonts w:ascii="Verdana" w:eastAsia="Times New Roman" w:hAnsi="Verdana" w:cs="Times New Roman"/>
          <w:sz w:val="20"/>
          <w:szCs w:val="20"/>
        </w:rPr>
        <w:t xml:space="preserve"> </w:t>
      </w:r>
    </w:p>
    <w:p w14:paraId="00000091" w14:textId="77E7F704"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Automatyzacja finansów i kadr</w:t>
      </w:r>
      <w:r w:rsidR="002F6573"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wdrożenie lub optymalizacja systemów cyfrowych</w:t>
      </w:r>
    </w:p>
    <w:p w14:paraId="00000092" w14:textId="353B028E"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Rozwój kompetencji pracowników</w:t>
      </w:r>
      <w:r w:rsidR="002F6573"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 xml:space="preserve">systematyczne zbieranie </w:t>
      </w:r>
      <w:proofErr w:type="spellStart"/>
      <w:r w:rsidRPr="00411E37">
        <w:rPr>
          <w:rFonts w:ascii="Verdana" w:eastAsia="Times New Roman" w:hAnsi="Verdana" w:cs="Times New Roman"/>
          <w:sz w:val="20"/>
          <w:szCs w:val="20"/>
        </w:rPr>
        <w:t>zapotrzebowań</w:t>
      </w:r>
      <w:proofErr w:type="spellEnd"/>
      <w:r w:rsidRPr="00411E37">
        <w:rPr>
          <w:rFonts w:ascii="Verdana" w:eastAsia="Times New Roman" w:hAnsi="Verdana" w:cs="Times New Roman"/>
          <w:sz w:val="20"/>
          <w:szCs w:val="20"/>
        </w:rPr>
        <w:t xml:space="preserve"> szkoleniowych ze wszystkich działów; minimum 2 cykle szkoleń rocznie (m.in. szkolenia WIK, NCK, NIMOZ, udział w konferencjach CIMAM oraz wizyty studyjne i wyjazdy na wystawy w Polsce i za granicą w celu wymiany dobrych praktyk).</w:t>
      </w:r>
    </w:p>
    <w:p w14:paraId="00000093" w14:textId="44A12806"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lastRenderedPageBreak/>
        <w:t>Rozwój przestrzeni lokalowych</w:t>
      </w:r>
      <w:r w:rsidR="00233D20"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 xml:space="preserve">uruchomienie kawiarni poprzez konkurs na ajenta </w:t>
      </w:r>
    </w:p>
    <w:p w14:paraId="00000094" w14:textId="0999B035"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Dywersyfikacja finansowania</w:t>
      </w:r>
      <w:r w:rsidR="00233D20"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 xml:space="preserve">wzrost przychodów własnych </w:t>
      </w:r>
    </w:p>
    <w:p w14:paraId="00000095" w14:textId="210BB4C6"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Rozwój publiczności</w:t>
      </w:r>
      <w:r w:rsidR="00233D20"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wzrost liczby uczestników wystaw i działań edukacyjnych</w:t>
      </w:r>
    </w:p>
    <w:p w14:paraId="00000096"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4) Koncepcja finansowania działalności Muzeum umożliwiająca osiągnięcie celów strategicznych z uwzględnieniem dotychczasowego poziomu dotacji z propozycją pozyskiwania środków ze źródeł zewnętrznych </w:t>
      </w:r>
    </w:p>
    <w:p w14:paraId="00000097"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Działalność MWW finansowana jest z kilku komplementarnych źródeł. Podstawę stanowi dotacja Organizatora z budżetu Miasta Wrocławia, uzupełniana przez przychody własne oraz środki zewnętrzne. Nadrzędnym celem niniejszej koncepcji jest zapewnienie długofalowej stabilności finansowej MWW przy jednoczesnym umożliwieniu realizacji celów programowych i strategicznych poprzez świadomą dywersyfikację źródeł finansowania.</w:t>
      </w:r>
    </w:p>
    <w:p w14:paraId="00000098"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Dotację samorządową traktuję jako fundament funkcjonowania instytucji, gwarantujący ciągłość działalności oraz zabezpieczenie kosztów stałych. Jednocześnie za kluczowe uznaję systematyczne wzmacnianie pozabudżetowych źródeł finansowania, tak aby środki samorządowe nie były jedyną podstawą rozwoju Muzeum.</w:t>
      </w:r>
    </w:p>
    <w:p w14:paraId="00000099"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Przychody własne</w:t>
      </w:r>
    </w:p>
    <w:p w14:paraId="046ABE6F" w14:textId="77777777" w:rsidR="002F6573"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W pierwszym etapie planuję przeprowadzenie analizy potencjału przychodów własnych oraz opracowanie planu działań we współpracy z zespołem programowym, księgowym i administracyjnym. Działania ukierunkowane na ich zwiększenie obejmują w szczególności:</w:t>
      </w:r>
    </w:p>
    <w:p w14:paraId="7605768E" w14:textId="77777777" w:rsidR="002F6573" w:rsidRPr="00411E37" w:rsidRDefault="00D8522D" w:rsidP="00411E37">
      <w:pPr>
        <w:pStyle w:val="Akapitzlist"/>
        <w:numPr>
          <w:ilvl w:val="0"/>
          <w:numId w:val="12"/>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konsekwentne budowanie wizerunku Muzeum jako atrakcyjnej instytucji kultury funkcjonującej w unikatowej przestrzeni architektonicznej, co przełoży się na wzrost frekwencji,</w:t>
      </w:r>
    </w:p>
    <w:p w14:paraId="21A2C028" w14:textId="77777777" w:rsidR="002F6573" w:rsidRPr="00411E37" w:rsidRDefault="00D8522D" w:rsidP="00411E37">
      <w:pPr>
        <w:pStyle w:val="Akapitzlist"/>
        <w:numPr>
          <w:ilvl w:val="0"/>
          <w:numId w:val="12"/>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rozwój oferty edukacyjnej dla szkół oraz grup zorganizowanych,</w:t>
      </w:r>
    </w:p>
    <w:p w14:paraId="667EACCE" w14:textId="77777777" w:rsidR="002F6573" w:rsidRPr="00411E37" w:rsidRDefault="00D8522D" w:rsidP="00411E37">
      <w:pPr>
        <w:pStyle w:val="Akapitzlist"/>
        <w:numPr>
          <w:ilvl w:val="0"/>
          <w:numId w:val="12"/>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komercyjne zagospodarowanie przestrzeni (m.in. wynajem powierzchni pod kawiarnię),</w:t>
      </w:r>
    </w:p>
    <w:p w14:paraId="5965018D" w14:textId="77777777" w:rsidR="002F6573" w:rsidRPr="00411E37" w:rsidRDefault="00D8522D" w:rsidP="00411E37">
      <w:pPr>
        <w:pStyle w:val="Akapitzlist"/>
        <w:numPr>
          <w:ilvl w:val="0"/>
          <w:numId w:val="12"/>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rozwój księgarni i sklepiku muzealnego, w tym sprzedaży online,</w:t>
      </w:r>
    </w:p>
    <w:p w14:paraId="0000009F" w14:textId="4485BB08" w:rsidR="00625CC8" w:rsidRPr="00411E37" w:rsidRDefault="00D8522D" w:rsidP="00411E37">
      <w:pPr>
        <w:pStyle w:val="Akapitzlist"/>
        <w:numPr>
          <w:ilvl w:val="0"/>
          <w:numId w:val="12"/>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wynajem przestrzeni na cele komercyjne (np. sesje zdjęciowe, wydarzenia specjalne).</w:t>
      </w:r>
    </w:p>
    <w:p w14:paraId="000000A0"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Środki zewnętrzne</w:t>
      </w:r>
    </w:p>
    <w:p w14:paraId="000000A1"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Pozyskiwanie środków zewnętrznych opieram na trzech głównych filarach:</w:t>
      </w:r>
    </w:p>
    <w:p w14:paraId="000000A2"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1. Sponsoring i partnerstwo </w:t>
      </w:r>
    </w:p>
    <w:p w14:paraId="000000A3"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Sponsoring komercyjny pozostaje dotąd niewykorzystanym potencjałem MWW, mimo że w Polsce rośnie zainteresowanie firm długofalowym wspieraniem kultury. Doświadczenia rynku pokazują, że sektor bankowy oraz duże korporacje (m.in. z branży finansowej, energetycznej i przemysłowej) coraz częściej traktują mecenat kultury jako element swojej strategii wizerunkowej i społecznej odpowiedzialności biznesu.</w:t>
      </w:r>
    </w:p>
    <w:p w14:paraId="000000A4"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Pozyskiwanie sponsorów wymaga przygotowania przemyślanej oferty, wykraczającej poza standardowe pakiety promocyjne i opartej na budowaniu relacji. Muzeum powinno być przedstawiane jako instytucja ambitna, nowoczesna i wartościowa – miejsce prestiżowe, a jednocześnie otwarte na dialog i współpracę.</w:t>
      </w:r>
    </w:p>
    <w:p w14:paraId="000000A5"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lastRenderedPageBreak/>
        <w:t xml:space="preserve">Istotnym elementem tego obszaru jest także rozwijanie długofalowych relacji poprzez stworzenie systemu patronackiego, obejmującego roczne lub cykliczne wsparcie finansowe w zamian za udział w premierach wystaw, specjalnych </w:t>
      </w:r>
      <w:proofErr w:type="spellStart"/>
      <w:r w:rsidRPr="00411E37">
        <w:rPr>
          <w:rFonts w:ascii="Verdana" w:eastAsia="Times New Roman" w:hAnsi="Verdana" w:cs="Times New Roman"/>
          <w:sz w:val="20"/>
          <w:szCs w:val="20"/>
        </w:rPr>
        <w:t>oprowadzaniach</w:t>
      </w:r>
      <w:proofErr w:type="spellEnd"/>
      <w:r w:rsidRPr="00411E37">
        <w:rPr>
          <w:rFonts w:ascii="Verdana" w:eastAsia="Times New Roman" w:hAnsi="Verdana" w:cs="Times New Roman"/>
          <w:sz w:val="20"/>
          <w:szCs w:val="20"/>
        </w:rPr>
        <w:t xml:space="preserve"> czy spotkaniach zamkniętych. Docelowo działanie to może doprowadzić do powołania Towarzystwa Przyjaciół Muzeum, skupiającego filantropów, kolekcjonerów i przedstawicieli świata biznesu.</w:t>
      </w:r>
    </w:p>
    <w:p w14:paraId="000000A6"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2. Granty krajowe i międzynarodowe</w:t>
      </w:r>
    </w:p>
    <w:p w14:paraId="000000A7"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Granty pozostają jednym z kluczowych narzędzi finansowania projektów muzealnych. Oprócz programów ministerialnych szczególną uwagę należy poświęcić środkom międzynarodowym, których zakres tematyczny i geograficzny jest spójny z profilem MWW. W tym kontekście istotne są m.in. Międzynarodowy Fundusz Wyszehradzki, Fundusze Norweskie i EOG, program Kreatywna Europa oraz Fundacja Współpracy Polsko-Niemieckiej.</w:t>
      </w:r>
    </w:p>
    <w:p w14:paraId="000000A8"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Ważnym uzupełnieniem są granty oferowane przez fundacje prywatne (m.in. Fundacja PZU, Fundacja Tauron, Fundacja Lotto im. H. Konopackiej, KGHM, Fundacja Mondriana), a także programy wsparcia realizowane przez ambasady i instytuty kultury (np. USA, Wielkiej Brytanii, Francji). Dla działalności wydawniczej i badawczej istotną alternatywą pozostaje Narodowy Program Rozwoju Humanistyki.</w:t>
      </w:r>
    </w:p>
    <w:p w14:paraId="000000A9"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3. Współpraca projektowa</w:t>
      </w:r>
    </w:p>
    <w:p w14:paraId="000000AA"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Trzecim obszarem finansowania pozabudżetowego jest współpraca instytucjonalna. Wspólne projekty realizowane z innymi muzeami, instytucjami kultury, środowiskami akademickimi czy organizacjami pozarządowymi umożliwiają łączenie środków finansowych, kompetencji i zasobów, a jednocześnie zwiększają skalę oraz widoczność działań MWW.</w:t>
      </w:r>
    </w:p>
    <w:p w14:paraId="26CCF716" w14:textId="77777777" w:rsidR="002F6573"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b/>
          <w:bCs/>
          <w:sz w:val="20"/>
          <w:szCs w:val="20"/>
        </w:rPr>
        <w:t>Wskaźniki sukcesu i zarządzanie finansami</w:t>
      </w:r>
      <w:r w:rsidRPr="00411E37">
        <w:rPr>
          <w:rFonts w:ascii="Verdana" w:eastAsia="Times New Roman" w:hAnsi="Verdana" w:cs="Times New Roman"/>
          <w:sz w:val="20"/>
          <w:szCs w:val="20"/>
        </w:rPr>
        <w:t>:</w:t>
      </w:r>
    </w:p>
    <w:p w14:paraId="75DDF254" w14:textId="77777777" w:rsidR="002F6573" w:rsidRPr="00411E37" w:rsidRDefault="00D8522D" w:rsidP="00411E37">
      <w:pPr>
        <w:pStyle w:val="Akapitzlist"/>
        <w:numPr>
          <w:ilvl w:val="0"/>
          <w:numId w:val="13"/>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decentralizacja finansowa - zwiększenie autonomii kierowników działów w zakresie budżetów projektowych,</w:t>
      </w:r>
    </w:p>
    <w:p w14:paraId="0992B8ED" w14:textId="77777777" w:rsidR="002F6573" w:rsidRPr="00411E37" w:rsidRDefault="00D8522D" w:rsidP="00411E37">
      <w:pPr>
        <w:pStyle w:val="Akapitzlist"/>
        <w:numPr>
          <w:ilvl w:val="0"/>
          <w:numId w:val="13"/>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uproszczenie i usprawnienie procesów finansowo-kadrowych, w tym ewentualne wdrożenie lub optymalizacja systemów ERP do obsługi finansów i kadr (jeżeli jest taka potrzeba), co pozwoli na transparentne raportowanie i szybkie rozliczanie projektów</w:t>
      </w:r>
    </w:p>
    <w:p w14:paraId="000000AE" w14:textId="352C8FBB" w:rsidR="00625CC8" w:rsidRPr="00411E37" w:rsidRDefault="00D8522D" w:rsidP="00411E37">
      <w:pPr>
        <w:pStyle w:val="Akapitzlist"/>
        <w:numPr>
          <w:ilvl w:val="0"/>
          <w:numId w:val="13"/>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innowacja kierowanie środków zewnętrznych na strategiczne obszary rozwoju: digitalizację zbiorów, podnoszenie kompetencji zespołu oraz projekty międzynarodowe.</w:t>
      </w:r>
    </w:p>
    <w:p w14:paraId="000000AF"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Efektem realizacji przedstawionej koncepcji będzie stabilność finansowa MWW, wzrost przychodów własnych oraz realna dywersyfikacja źródeł finansowania. Wzmocni to pozycję Muzeum jako instytucji nowoczesnej, innowacyjnej i obecnej w międzynarodowym obiegu sztuki, a jednocześnie stworzy warunki do rozwoju zespołu i publiczności poprzez inwestycje w kompetencje, digitalizację i nowe formy uczestnictwa w kulturze. Długofalowo zasadne jest powołanie w strukturze Muzeum dedykowanego stanowiska lub zespołu odpowiedzialnego za </w:t>
      </w:r>
      <w:proofErr w:type="spellStart"/>
      <w:r w:rsidRPr="00411E37">
        <w:rPr>
          <w:rFonts w:ascii="Verdana" w:eastAsia="Times New Roman" w:hAnsi="Verdana" w:cs="Times New Roman"/>
          <w:sz w:val="20"/>
          <w:szCs w:val="20"/>
        </w:rPr>
        <w:t>fundraising</w:t>
      </w:r>
      <w:proofErr w:type="spellEnd"/>
      <w:r w:rsidRPr="00411E37">
        <w:rPr>
          <w:rFonts w:ascii="Verdana" w:eastAsia="Times New Roman" w:hAnsi="Verdana" w:cs="Times New Roman"/>
          <w:sz w:val="20"/>
          <w:szCs w:val="20"/>
        </w:rPr>
        <w:t>, granty i partnerstwa.</w:t>
      </w:r>
    </w:p>
    <w:p w14:paraId="000000B0"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5) Strategia komunikacji i rozwoju publiczności – wskazanie konkretnych działań z uwzględnieniem współczesnych trendów i narzędzi komunikacji</w:t>
      </w:r>
    </w:p>
    <w:p w14:paraId="000000B1"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lastRenderedPageBreak/>
        <w:t xml:space="preserve">Celem strategii jest budowanie trwałych relacji z odbiorcami MWW poprzez nowoczesną, wielokanałową komunikację, łączącą narzędzia cyfrowe z działaniami lokalnymi i międzynarodowymi. Najlepsze praktyki z </w:t>
      </w:r>
      <w:proofErr w:type="spellStart"/>
      <w:r w:rsidRPr="00411E37">
        <w:rPr>
          <w:rFonts w:ascii="Verdana" w:eastAsia="Times New Roman" w:hAnsi="Verdana" w:cs="Times New Roman"/>
          <w:sz w:val="20"/>
          <w:szCs w:val="20"/>
        </w:rPr>
        <w:t>Tate</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MoMA</w:t>
      </w:r>
      <w:proofErr w:type="spellEnd"/>
      <w:r w:rsidRPr="00411E37">
        <w:rPr>
          <w:rFonts w:ascii="Verdana" w:eastAsia="Times New Roman" w:hAnsi="Verdana" w:cs="Times New Roman"/>
          <w:sz w:val="20"/>
          <w:szCs w:val="20"/>
        </w:rPr>
        <w:t xml:space="preserve"> czy </w:t>
      </w:r>
      <w:proofErr w:type="spellStart"/>
      <w:r w:rsidRPr="00411E37">
        <w:rPr>
          <w:rFonts w:ascii="Verdana" w:eastAsia="Times New Roman" w:hAnsi="Verdana" w:cs="Times New Roman"/>
          <w:sz w:val="20"/>
          <w:szCs w:val="20"/>
        </w:rPr>
        <w:t>Louvre</w:t>
      </w:r>
      <w:proofErr w:type="spellEnd"/>
      <w:r w:rsidRPr="00411E37">
        <w:rPr>
          <w:rFonts w:ascii="Verdana" w:eastAsia="Times New Roman" w:hAnsi="Verdana" w:cs="Times New Roman"/>
          <w:sz w:val="20"/>
          <w:szCs w:val="20"/>
        </w:rPr>
        <w:t xml:space="preserve"> pokazują, że kluczem jest interaktywność, personalizacja i budowanie społeczności. MWW ma funkcjonować jako instytucja innowacyjna, otwarta i </w:t>
      </w:r>
      <w:proofErr w:type="spellStart"/>
      <w:r w:rsidRPr="00411E37">
        <w:rPr>
          <w:rFonts w:ascii="Verdana" w:eastAsia="Times New Roman" w:hAnsi="Verdana" w:cs="Times New Roman"/>
          <w:sz w:val="20"/>
          <w:szCs w:val="20"/>
        </w:rPr>
        <w:t>inkluzywna</w:t>
      </w:r>
      <w:proofErr w:type="spellEnd"/>
      <w:r w:rsidRPr="00411E37">
        <w:rPr>
          <w:rFonts w:ascii="Verdana" w:eastAsia="Times New Roman" w:hAnsi="Verdana" w:cs="Times New Roman"/>
          <w:sz w:val="20"/>
          <w:szCs w:val="20"/>
        </w:rPr>
        <w:t>, oparta na interaktywności, personalizacji i budowaniu społeczności.</w:t>
      </w:r>
    </w:p>
    <w:p w14:paraId="1FE61D80" w14:textId="77777777" w:rsidR="002F6573"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Kluczowe działania obejmują:</w:t>
      </w:r>
    </w:p>
    <w:p w14:paraId="48BDB313" w14:textId="77777777" w:rsidR="002F6573" w:rsidRPr="00411E37" w:rsidRDefault="00D8522D" w:rsidP="00411E37">
      <w:pPr>
        <w:pStyle w:val="Akapitzlist"/>
        <w:numPr>
          <w:ilvl w:val="0"/>
          <w:numId w:val="14"/>
        </w:numPr>
        <w:spacing w:after="160"/>
        <w:rPr>
          <w:rFonts w:ascii="Verdana" w:eastAsia="Times New Roman" w:hAnsi="Verdana" w:cs="Times New Roman"/>
          <w:b/>
          <w:bCs/>
          <w:sz w:val="20"/>
          <w:szCs w:val="20"/>
        </w:rPr>
      </w:pPr>
      <w:r w:rsidRPr="00411E37">
        <w:rPr>
          <w:rFonts w:ascii="Verdana" w:eastAsia="Times New Roman" w:hAnsi="Verdana" w:cs="Times New Roman"/>
          <w:sz w:val="20"/>
          <w:szCs w:val="20"/>
        </w:rPr>
        <w:t>Uporządkowanie strony internetowej (korekta treści, intuicyjność, archiwum działań, publikacje).</w:t>
      </w:r>
    </w:p>
    <w:p w14:paraId="0FF7E9B6" w14:textId="77777777" w:rsidR="002F6573" w:rsidRPr="00411E37" w:rsidRDefault="00D8522D" w:rsidP="00411E37">
      <w:pPr>
        <w:pStyle w:val="Akapitzlist"/>
        <w:numPr>
          <w:ilvl w:val="0"/>
          <w:numId w:val="14"/>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Założenie oficjalnego profilu na LinkedIn. Jest to skuteczne narzędzie do budowania nowoczesnego wizerunku instytucji, rozszerzania sieci kontaktów z partnerami biznesowymi i instytucjami kultury, wspierania procesów rekrutacyjnych i rozwoju zespołu.</w:t>
      </w:r>
    </w:p>
    <w:p w14:paraId="16FECD0B" w14:textId="77777777" w:rsidR="002F6573" w:rsidRPr="00411E37" w:rsidRDefault="00D8522D" w:rsidP="00411E37">
      <w:pPr>
        <w:pStyle w:val="Akapitzlist"/>
        <w:numPr>
          <w:ilvl w:val="0"/>
          <w:numId w:val="14"/>
        </w:numPr>
        <w:spacing w:after="160"/>
        <w:rPr>
          <w:rFonts w:ascii="Verdana" w:eastAsia="Times New Roman" w:hAnsi="Verdana" w:cs="Times New Roman"/>
          <w:b/>
          <w:bCs/>
          <w:sz w:val="20"/>
          <w:szCs w:val="20"/>
        </w:rPr>
      </w:pPr>
      <w:r w:rsidRPr="00411E37">
        <w:rPr>
          <w:rFonts w:ascii="Verdana" w:eastAsia="Times New Roman" w:hAnsi="Verdana" w:cs="Times New Roman"/>
          <w:sz w:val="20"/>
          <w:szCs w:val="20"/>
        </w:rPr>
        <w:t xml:space="preserve">Dotarcie do młodych grup odbiorców poprzez intensyfikację aktywności na mediach społecznościowych z użyciem nowych formatów jak </w:t>
      </w:r>
      <w:proofErr w:type="spellStart"/>
      <w:r w:rsidRPr="00411E37">
        <w:rPr>
          <w:rFonts w:ascii="Verdana" w:eastAsia="Times New Roman" w:hAnsi="Verdana" w:cs="Times New Roman"/>
          <w:sz w:val="20"/>
          <w:szCs w:val="20"/>
        </w:rPr>
        <w:t>TikTok</w:t>
      </w:r>
      <w:proofErr w:type="spellEnd"/>
      <w:r w:rsidRPr="00411E37">
        <w:rPr>
          <w:rFonts w:ascii="Verdana" w:eastAsia="Times New Roman" w:hAnsi="Verdana" w:cs="Times New Roman"/>
          <w:sz w:val="20"/>
          <w:szCs w:val="20"/>
        </w:rPr>
        <w:t xml:space="preserve"> czy Instagram </w:t>
      </w:r>
      <w:proofErr w:type="spellStart"/>
      <w:r w:rsidRPr="00411E37">
        <w:rPr>
          <w:rFonts w:ascii="Verdana" w:eastAsia="Times New Roman" w:hAnsi="Verdana" w:cs="Times New Roman"/>
          <w:sz w:val="20"/>
          <w:szCs w:val="20"/>
        </w:rPr>
        <w:t>Reelowych</w:t>
      </w:r>
      <w:proofErr w:type="spellEnd"/>
      <w:r w:rsidRPr="00411E37">
        <w:rPr>
          <w:rFonts w:ascii="Verdana" w:eastAsia="Times New Roman" w:hAnsi="Verdana" w:cs="Times New Roman"/>
          <w:sz w:val="20"/>
          <w:szCs w:val="20"/>
        </w:rPr>
        <w:t xml:space="preserve"> (np. krótkie materiały za kulis produkcji wystawy). </w:t>
      </w:r>
    </w:p>
    <w:p w14:paraId="6F52D048" w14:textId="77777777" w:rsidR="002F6573" w:rsidRPr="00411E37" w:rsidRDefault="00D8522D" w:rsidP="00411E37">
      <w:pPr>
        <w:pStyle w:val="Akapitzlist"/>
        <w:numPr>
          <w:ilvl w:val="0"/>
          <w:numId w:val="14"/>
        </w:numPr>
        <w:spacing w:after="160"/>
        <w:rPr>
          <w:rFonts w:ascii="Verdana" w:eastAsia="Times New Roman" w:hAnsi="Verdana" w:cs="Times New Roman"/>
          <w:b/>
          <w:bCs/>
          <w:sz w:val="20"/>
          <w:szCs w:val="20"/>
        </w:rPr>
      </w:pPr>
      <w:r w:rsidRPr="00411E37">
        <w:rPr>
          <w:rFonts w:ascii="Verdana" w:eastAsia="Times New Roman" w:hAnsi="Verdana" w:cs="Times New Roman"/>
          <w:sz w:val="20"/>
          <w:szCs w:val="20"/>
        </w:rPr>
        <w:t>Segmentowany newsletter – podział na grupy odbiorców (specjaliści, edukatorzy, publiczność ogólna itd.) co może wpłynąć na zwiększą skuteczność komunikacji.</w:t>
      </w:r>
    </w:p>
    <w:p w14:paraId="2FF4C141" w14:textId="77777777" w:rsidR="002F6573" w:rsidRPr="00411E37" w:rsidRDefault="00D8522D" w:rsidP="00411E37">
      <w:pPr>
        <w:pStyle w:val="Akapitzlist"/>
        <w:numPr>
          <w:ilvl w:val="0"/>
          <w:numId w:val="14"/>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Regularne podcasty, </w:t>
      </w:r>
      <w:proofErr w:type="spellStart"/>
      <w:r w:rsidRPr="00411E37">
        <w:rPr>
          <w:rFonts w:ascii="Verdana" w:eastAsia="Times New Roman" w:hAnsi="Verdana" w:cs="Times New Roman"/>
          <w:sz w:val="20"/>
          <w:szCs w:val="20"/>
        </w:rPr>
        <w:t>webinary</w:t>
      </w:r>
      <w:proofErr w:type="spellEnd"/>
      <w:r w:rsidRPr="00411E37">
        <w:rPr>
          <w:rFonts w:ascii="Verdana" w:eastAsia="Times New Roman" w:hAnsi="Verdana" w:cs="Times New Roman"/>
          <w:sz w:val="20"/>
          <w:szCs w:val="20"/>
        </w:rPr>
        <w:t xml:space="preserve"> czy krótkie filmy dotyczące działań programowych, które w sposób atrakcyjny i przystępny rozszerzają dostępność treści o danym projekcie. </w:t>
      </w:r>
    </w:p>
    <w:p w14:paraId="3F3E373E" w14:textId="77777777" w:rsidR="002F6573" w:rsidRPr="00411E37" w:rsidRDefault="00D8522D" w:rsidP="00411E37">
      <w:pPr>
        <w:pStyle w:val="Akapitzlist"/>
        <w:numPr>
          <w:ilvl w:val="0"/>
          <w:numId w:val="14"/>
        </w:numPr>
        <w:spacing w:after="160"/>
        <w:rPr>
          <w:rFonts w:ascii="Verdana" w:eastAsia="Times New Roman" w:hAnsi="Verdana" w:cs="Times New Roman"/>
          <w:b/>
          <w:bCs/>
          <w:sz w:val="20"/>
          <w:szCs w:val="20"/>
        </w:rPr>
      </w:pPr>
      <w:r w:rsidRPr="00411E37">
        <w:rPr>
          <w:rFonts w:ascii="Verdana" w:eastAsia="Times New Roman" w:hAnsi="Verdana" w:cs="Times New Roman"/>
          <w:sz w:val="20"/>
          <w:szCs w:val="20"/>
        </w:rPr>
        <w:t>Stała oferta edukacyjna dla rodzin z dziećmi, seniorów i szkół (weekendowe warsztaty, ścieżki zwiedzania i inne).</w:t>
      </w:r>
    </w:p>
    <w:p w14:paraId="2DA68094" w14:textId="30122A59" w:rsidR="002F6573" w:rsidRPr="00411E37" w:rsidRDefault="00D8522D" w:rsidP="00411E37">
      <w:pPr>
        <w:pStyle w:val="Akapitzlist"/>
        <w:numPr>
          <w:ilvl w:val="0"/>
          <w:numId w:val="14"/>
        </w:numPr>
        <w:spacing w:after="160"/>
        <w:rPr>
          <w:rFonts w:ascii="Verdana" w:eastAsia="Times New Roman" w:hAnsi="Verdana" w:cs="Times New Roman"/>
          <w:b/>
          <w:bCs/>
          <w:sz w:val="20"/>
          <w:szCs w:val="20"/>
        </w:rPr>
      </w:pPr>
      <w:r w:rsidRPr="00411E37">
        <w:rPr>
          <w:rFonts w:ascii="Verdana" w:eastAsia="Times New Roman" w:hAnsi="Verdana" w:cs="Times New Roman"/>
          <w:sz w:val="20"/>
          <w:szCs w:val="20"/>
        </w:rPr>
        <w:t xml:space="preserve">Wzmocnienie relacji z publicznością lokalną, szczególnie społecznością </w:t>
      </w:r>
      <w:proofErr w:type="spellStart"/>
      <w:r w:rsidRPr="00411E37">
        <w:rPr>
          <w:rFonts w:ascii="Verdana" w:eastAsia="Times New Roman" w:hAnsi="Verdana" w:cs="Times New Roman"/>
          <w:sz w:val="20"/>
          <w:szCs w:val="20"/>
        </w:rPr>
        <w:t>Szczepina</w:t>
      </w:r>
      <w:proofErr w:type="spellEnd"/>
      <w:r w:rsidRPr="00411E37">
        <w:rPr>
          <w:rFonts w:ascii="Verdana" w:eastAsia="Times New Roman" w:hAnsi="Verdana" w:cs="Times New Roman"/>
          <w:sz w:val="20"/>
          <w:szCs w:val="20"/>
        </w:rPr>
        <w:t xml:space="preserve"> (potencjalni partnerzy Akademia Sztuk Teatralnych oraz CAL </w:t>
      </w:r>
      <w:proofErr w:type="spellStart"/>
      <w:r w:rsidRPr="00411E37">
        <w:rPr>
          <w:rFonts w:ascii="Verdana" w:eastAsia="Times New Roman" w:hAnsi="Verdana" w:cs="Times New Roman"/>
          <w:sz w:val="20"/>
          <w:szCs w:val="20"/>
        </w:rPr>
        <w:t>Szczepin</w:t>
      </w:r>
      <w:proofErr w:type="spellEnd"/>
      <w:r w:rsidRPr="00411E37">
        <w:rPr>
          <w:rFonts w:ascii="Verdana" w:eastAsia="Times New Roman" w:hAnsi="Verdana" w:cs="Times New Roman"/>
          <w:sz w:val="20"/>
          <w:szCs w:val="20"/>
        </w:rPr>
        <w:t>).</w:t>
      </w:r>
    </w:p>
    <w:p w14:paraId="4535D7F8" w14:textId="77777777" w:rsidR="002F6573" w:rsidRPr="00411E37" w:rsidRDefault="00D8522D" w:rsidP="00411E37">
      <w:pPr>
        <w:pStyle w:val="Akapitzlist"/>
        <w:numPr>
          <w:ilvl w:val="0"/>
          <w:numId w:val="14"/>
        </w:numPr>
        <w:spacing w:after="160"/>
        <w:rPr>
          <w:rFonts w:ascii="Verdana" w:eastAsia="Times New Roman" w:hAnsi="Verdana" w:cs="Times New Roman"/>
          <w:sz w:val="20"/>
          <w:szCs w:val="20"/>
        </w:rPr>
      </w:pPr>
      <w:r w:rsidRPr="00411E37">
        <w:rPr>
          <w:rFonts w:ascii="Verdana" w:eastAsia="Times New Roman" w:hAnsi="Verdana" w:cs="Times New Roman"/>
          <w:sz w:val="20"/>
          <w:szCs w:val="20"/>
        </w:rPr>
        <w:t>Internacjonalizacja działań - komunikacja trójjęzyczna PL/EN/UR oraz projekty współtworzone z partnerami zagranicznymi, które włączą międzynarodowych artystów i instytucje we wspólne działania. Regularna oferta dla społeczności ukraińskiej</w:t>
      </w:r>
      <w:r w:rsidR="002F6573" w:rsidRPr="00411E37">
        <w:rPr>
          <w:rFonts w:ascii="Verdana" w:eastAsia="Times New Roman" w:hAnsi="Verdana" w:cs="Times New Roman"/>
          <w:sz w:val="20"/>
          <w:szCs w:val="20"/>
        </w:rPr>
        <w:t>.</w:t>
      </w:r>
    </w:p>
    <w:p w14:paraId="000000BB" w14:textId="706747AE" w:rsidR="00625CC8" w:rsidRPr="00411E37" w:rsidRDefault="00D8522D" w:rsidP="00411E37">
      <w:pPr>
        <w:pStyle w:val="Akapitzlist"/>
        <w:numPr>
          <w:ilvl w:val="0"/>
          <w:numId w:val="14"/>
        </w:numPr>
        <w:spacing w:after="160"/>
        <w:rPr>
          <w:rFonts w:ascii="Verdana" w:eastAsia="Times New Roman" w:hAnsi="Verdana" w:cs="Times New Roman"/>
          <w:sz w:val="20"/>
          <w:szCs w:val="20"/>
        </w:rPr>
      </w:pPr>
      <w:proofErr w:type="spellStart"/>
      <w:r w:rsidRPr="00411E37">
        <w:rPr>
          <w:rFonts w:ascii="Verdana" w:eastAsia="Times New Roman" w:hAnsi="Verdana" w:cs="Times New Roman"/>
          <w:sz w:val="20"/>
          <w:szCs w:val="20"/>
        </w:rPr>
        <w:t>Crowdsourcing</w:t>
      </w:r>
      <w:proofErr w:type="spellEnd"/>
      <w:r w:rsidRPr="00411E37">
        <w:rPr>
          <w:rFonts w:ascii="Verdana" w:eastAsia="Times New Roman" w:hAnsi="Verdana" w:cs="Times New Roman"/>
          <w:sz w:val="20"/>
          <w:szCs w:val="20"/>
        </w:rPr>
        <w:t xml:space="preserve"> i partycypacja, czyli współtworzenie programów z publicznością (wzmocnienie poczucia współuczestnictwa i demokratyzacji kultury).</w:t>
      </w:r>
    </w:p>
    <w:p w14:paraId="000000BC"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Efektem wdrożenia powyższej strategii będzie zwiększenie widoczności Muzeum w przestrzeni cyfrowej i dotarcie do młodszych odbiorców dzięki mediom społecznościowym, rozwój lokalnych społeczności wokół placu Strzegomskiego, podniesienie prestiżu instytucji dzięki internacjonalizacji oraz wzmocnienie jej pozycji jako nowoczesnego centrum, które łączy tradycję miejsca z innowacyjnymi formami uczestnictwa.</w:t>
      </w:r>
    </w:p>
    <w:p w14:paraId="000000BD"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6) Plan efektywnego wykorzystania bazy lokalowej i zasobów instytucji oraz gospodarowania zbiorami Muzeum</w:t>
      </w:r>
    </w:p>
    <w:p w14:paraId="000000BE" w14:textId="680C7C29"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MWW funkcjonuje obecnie w dwóch przestrzeniach: jednokondygnacyjnym budynku administracyjno-biurowym o powierzchni 127 m2 oraz w budynku głównym</w:t>
      </w:r>
      <w:r w:rsidR="00C916C5"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zaadaptowanym w latach 2010</w:t>
      </w:r>
      <w:r w:rsidR="00C916C5" w:rsidRPr="00411E37">
        <w:rPr>
          <w:rFonts w:ascii="Verdana" w:eastAsia="Times New Roman" w:hAnsi="Verdana" w:cs="Times New Roman"/>
          <w:sz w:val="20"/>
          <w:szCs w:val="20"/>
        </w:rPr>
        <w:t>–</w:t>
      </w:r>
      <w:r w:rsidRPr="00411E37">
        <w:rPr>
          <w:rFonts w:ascii="Verdana" w:eastAsia="Times New Roman" w:hAnsi="Verdana" w:cs="Times New Roman"/>
          <w:sz w:val="20"/>
          <w:szCs w:val="20"/>
        </w:rPr>
        <w:t xml:space="preserve">2011 schronie przeciwlotniczym z okresu II wojny światowej o łącznej powierzchni ok. 3600 m2. Budynek Muzeum jest figurą dwuznaczną. Architektura stanowi zarówno jego atut, jak i ograniczenie. Centralna lokalizacja i historyczny charakter budynku przyciągają publiczność. Z drugiej strony w wielu aspektach jest istotną przeszkodą i stanowi wystawiennicze wyzwanie. Kluczowe pozostają ograniczone możliwości przestrzenne i magazynowe bunkra, ale także budynku </w:t>
      </w:r>
      <w:r w:rsidRPr="00411E37">
        <w:rPr>
          <w:rFonts w:ascii="Verdana" w:eastAsia="Times New Roman" w:hAnsi="Verdana" w:cs="Times New Roman"/>
          <w:sz w:val="20"/>
          <w:szCs w:val="20"/>
        </w:rPr>
        <w:lastRenderedPageBreak/>
        <w:t>administracyjno-biurowego. Oddelegowanie części pracowników do drugiego biura jest doraźnym rozwiązaniem, utrudniającym komunikację i relację między zespołami.</w:t>
      </w:r>
    </w:p>
    <w:p w14:paraId="000000BF"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t xml:space="preserve">Strategię wykorzystania bazy lokalowej opieram na idei </w:t>
      </w:r>
      <w:proofErr w:type="spellStart"/>
      <w:r w:rsidRPr="00411E37">
        <w:rPr>
          <w:rFonts w:ascii="Verdana" w:eastAsia="Times New Roman" w:hAnsi="Verdana" w:cs="Times New Roman"/>
          <w:sz w:val="20"/>
          <w:szCs w:val="20"/>
        </w:rPr>
        <w:t>rezyliencji</w:t>
      </w:r>
      <w:proofErr w:type="spellEnd"/>
      <w:r w:rsidRPr="00411E37">
        <w:rPr>
          <w:rFonts w:ascii="Verdana" w:eastAsia="Times New Roman" w:hAnsi="Verdana" w:cs="Times New Roman"/>
          <w:sz w:val="20"/>
          <w:szCs w:val="20"/>
        </w:rPr>
        <w:t xml:space="preserve">, rozumianej jako zdolność do elastycznego reagowania na wyzwania i zmieniające się warunki. W działaniach programowych planuję wykorzystać unikatową architekturę budynku, m.in. poprzez aranżacje wystaw i projekty </w:t>
      </w:r>
      <w:proofErr w:type="spellStart"/>
      <w:r w:rsidRPr="00411E37">
        <w:rPr>
          <w:rFonts w:ascii="Verdana" w:eastAsia="Times New Roman" w:hAnsi="Verdana" w:cs="Times New Roman"/>
          <w:sz w:val="20"/>
          <w:szCs w:val="20"/>
        </w:rPr>
        <w:t>site-specific</w:t>
      </w:r>
      <w:proofErr w:type="spellEnd"/>
      <w:r w:rsidRPr="00411E37">
        <w:rPr>
          <w:rFonts w:ascii="Verdana" w:eastAsia="Times New Roman" w:hAnsi="Verdana" w:cs="Times New Roman"/>
          <w:sz w:val="20"/>
          <w:szCs w:val="20"/>
        </w:rPr>
        <w:t xml:space="preserve">. Konieczna jest weryfikacja aktualnych warunków pracy oraz przestrzeni magazynowych. Pozwoli ona na opracowanie planu optymalnego i bardziej funkcjonalnego wykorzystania dostępnej infrastruktury. Istotnym elementem tego procesu będzie również wygospodarowanie odpowiedniej przestrzeni na szatnie. Szczególnym wyzwaniem pozostaje opracowanie nowej koncepcji aranżacyjnej dla przestrzeni </w:t>
      </w:r>
      <w:proofErr w:type="spellStart"/>
      <w:r w:rsidRPr="00411E37">
        <w:rPr>
          <w:rFonts w:ascii="Verdana" w:eastAsia="Times New Roman" w:hAnsi="Verdana" w:cs="Times New Roman"/>
          <w:sz w:val="20"/>
          <w:szCs w:val="20"/>
        </w:rPr>
        <w:t>Beautiful</w:t>
      </w:r>
      <w:proofErr w:type="spellEnd"/>
      <w:r w:rsidRPr="00411E37">
        <w:rPr>
          <w:rFonts w:ascii="Verdana" w:eastAsia="Times New Roman" w:hAnsi="Verdana" w:cs="Times New Roman"/>
          <w:sz w:val="20"/>
          <w:szCs w:val="20"/>
        </w:rPr>
        <w:t xml:space="preserve"> </w:t>
      </w:r>
      <w:proofErr w:type="spellStart"/>
      <w:r w:rsidRPr="00411E37">
        <w:rPr>
          <w:rFonts w:ascii="Verdana" w:eastAsia="Times New Roman" w:hAnsi="Verdana" w:cs="Times New Roman"/>
          <w:sz w:val="20"/>
          <w:szCs w:val="20"/>
        </w:rPr>
        <w:t>Tube</w:t>
      </w:r>
      <w:proofErr w:type="spellEnd"/>
      <w:r w:rsidRPr="00411E37">
        <w:rPr>
          <w:rFonts w:ascii="Verdana" w:eastAsia="Times New Roman" w:hAnsi="Verdana" w:cs="Times New Roman"/>
          <w:sz w:val="20"/>
          <w:szCs w:val="20"/>
        </w:rPr>
        <w:t>, która w przeszłości pełniła ważną rolę w realizacji programu społecznego i edukacyjnego, a od kilku lat pozostaje wyłączona z oficjalnego użytkowania.</w:t>
      </w:r>
    </w:p>
    <w:p w14:paraId="000000C0"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Od dłuższego czasu niewykorzystaną przestrzenią pozostaje kawiarnia. Kluczowe jest, aby miejsce to zostało możliwie szybko ponownie uruchomione. Zależy mi na tym, aby kawiarnia była nie tylko przestrzenią towarzyskich spotkań, lecz także aktywnym elementem działań Muzeum, wspierającym jego program i misję.  </w:t>
      </w:r>
    </w:p>
    <w:p w14:paraId="000000C1"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b/>
          <w:bCs/>
          <w:sz w:val="20"/>
          <w:szCs w:val="20"/>
        </w:rPr>
        <w:t xml:space="preserve">Plan gospodarowanie muzealnymi zbiorami </w:t>
      </w:r>
      <w:r w:rsidRPr="00411E37">
        <w:rPr>
          <w:rFonts w:ascii="Verdana" w:eastAsia="Times New Roman" w:hAnsi="Verdana" w:cs="Times New Roman"/>
          <w:sz w:val="20"/>
          <w:szCs w:val="20"/>
        </w:rPr>
        <w:t xml:space="preserve"> </w:t>
      </w:r>
    </w:p>
    <w:p w14:paraId="000000C2"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Budowa międzynarodowej kolekcji sztuki współczesnej jest jednym z kluczowych zadań Muzeum i jest realizowana nieprzerwanie od 2011 roku. Kolekcja obejmuje dzieła artystów z Polski i zagranicy XX i XXI wieku, ze szczególnym uwzględnieniem wrocławskiej tradycji artystycznej kształtującej się od zakończenia II wojny światowej. Istotnym elementem zbiorów są depozyty Dolnośląskiego Towarzystwa Zachęty Sztuk Pięknych oraz archiwa dokumentujące kluczowe zjawiska wrocławskiego dziedzictwa artystycznego o znaczeniu ogólnonarodowym.</w:t>
      </w:r>
    </w:p>
    <w:p w14:paraId="000000C3"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Chcę kontynuować program rozbudowy zbiorów koncentrując się na najważniejszych osiągnięciach wrocławskiej sceny artystyczne, m.in. ruch </w:t>
      </w:r>
      <w:proofErr w:type="spellStart"/>
      <w:r w:rsidRPr="00411E37">
        <w:rPr>
          <w:rFonts w:ascii="Verdana" w:eastAsia="Times New Roman" w:hAnsi="Verdana" w:cs="Times New Roman"/>
          <w:sz w:val="20"/>
          <w:szCs w:val="20"/>
        </w:rPr>
        <w:t>sensibilistów</w:t>
      </w:r>
      <w:proofErr w:type="spellEnd"/>
      <w:r w:rsidRPr="00411E37">
        <w:rPr>
          <w:rFonts w:ascii="Verdana" w:eastAsia="Times New Roman" w:hAnsi="Verdana" w:cs="Times New Roman"/>
          <w:sz w:val="20"/>
          <w:szCs w:val="20"/>
        </w:rPr>
        <w:t xml:space="preserve"> lat 50., </w:t>
      </w:r>
      <w:proofErr w:type="spellStart"/>
      <w:r w:rsidRPr="00411E37">
        <w:rPr>
          <w:rFonts w:ascii="Verdana" w:eastAsia="Times New Roman" w:hAnsi="Verdana" w:cs="Times New Roman"/>
          <w:sz w:val="20"/>
          <w:szCs w:val="20"/>
        </w:rPr>
        <w:t>parateatr</w:t>
      </w:r>
      <w:proofErr w:type="spellEnd"/>
      <w:r w:rsidRPr="00411E37">
        <w:rPr>
          <w:rFonts w:ascii="Verdana" w:eastAsia="Times New Roman" w:hAnsi="Verdana" w:cs="Times New Roman"/>
          <w:sz w:val="20"/>
          <w:szCs w:val="20"/>
        </w:rPr>
        <w:t xml:space="preserve">, poezję konkretną, środowiskową </w:t>
      </w:r>
      <w:proofErr w:type="spellStart"/>
      <w:r w:rsidRPr="00411E37">
        <w:rPr>
          <w:rFonts w:ascii="Verdana" w:eastAsia="Times New Roman" w:hAnsi="Verdana" w:cs="Times New Roman"/>
          <w:sz w:val="20"/>
          <w:szCs w:val="20"/>
        </w:rPr>
        <w:t>neoawangardę</w:t>
      </w:r>
      <w:proofErr w:type="spellEnd"/>
      <w:r w:rsidRPr="00411E37">
        <w:rPr>
          <w:rFonts w:ascii="Verdana" w:eastAsia="Times New Roman" w:hAnsi="Verdana" w:cs="Times New Roman"/>
          <w:sz w:val="20"/>
          <w:szCs w:val="20"/>
        </w:rPr>
        <w:t xml:space="preserve"> (konceptualizm, </w:t>
      </w:r>
      <w:proofErr w:type="spellStart"/>
      <w:r w:rsidRPr="00411E37">
        <w:rPr>
          <w:rFonts w:ascii="Verdana" w:eastAsia="Times New Roman" w:hAnsi="Verdana" w:cs="Times New Roman"/>
          <w:sz w:val="20"/>
          <w:szCs w:val="20"/>
        </w:rPr>
        <w:t>medializm</w:t>
      </w:r>
      <w:proofErr w:type="spellEnd"/>
      <w:r w:rsidRPr="00411E37">
        <w:rPr>
          <w:rFonts w:ascii="Verdana" w:eastAsia="Times New Roman" w:hAnsi="Verdana" w:cs="Times New Roman"/>
          <w:sz w:val="20"/>
          <w:szCs w:val="20"/>
        </w:rPr>
        <w:t>, happening, performance), a także zjawiska związane z ruchami niezależnymi lat 80. i przemianami artystycznymi początku lat 90. Szczególne znaczenie mają archiwa artystów, wymagające specjalistycznej opieki jako unikatowe i zagrożone rozproszeniem dziedzictwo.</w:t>
      </w:r>
    </w:p>
    <w:p w14:paraId="000000C5" w14:textId="38CD7B4E"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Dziedzictwo artystyczne Wrocławia i jego neoawangardowa tradycja stanowią punkt odniesienia dla międzynarodowego kontekstu kolekcji. Muzeum będzie rozwijać ją, akcentując relacje pomiędzy wymiarem lokalnym i globalnym, uwzględniając zarówno perspektywę historyczną, jak i współczesne zjawiska sztuki aktualnej. W pierwszej kolejności dotyczyć to będzie sztuki Europy Środkowo-Wschodniej, postrzeganej jako obszar wspólnych doświadczeń historycznych, społecznych i kulturowych, które znajdują swoje odzwierciedlenie w praktykach artystycznych regionu. W procesie rozbudowy kolekcji Muzeum będzie zabiegać </w:t>
      </w:r>
      <w:hyperlink r:id="rId8">
        <w:r w:rsidR="00625CC8" w:rsidRPr="00411E37">
          <w:rPr>
            <w:rFonts w:ascii="Verdana" w:eastAsia="Times New Roman" w:hAnsi="Verdana" w:cs="Times New Roman"/>
            <w:sz w:val="20"/>
            <w:szCs w:val="20"/>
          </w:rPr>
          <w:t>m.in</w:t>
        </w:r>
      </w:hyperlink>
      <w:r w:rsidRPr="00411E37">
        <w:rPr>
          <w:rFonts w:ascii="Verdana" w:eastAsia="Times New Roman" w:hAnsi="Verdana" w:cs="Times New Roman"/>
          <w:sz w:val="20"/>
          <w:szCs w:val="20"/>
        </w:rPr>
        <w:t xml:space="preserve">. o dotację w ramach Program </w:t>
      </w:r>
      <w:proofErr w:type="spellStart"/>
      <w:r w:rsidRPr="00411E37">
        <w:rPr>
          <w:rFonts w:ascii="Verdana" w:eastAsia="Times New Roman" w:hAnsi="Verdana" w:cs="Times New Roman"/>
          <w:sz w:val="20"/>
          <w:szCs w:val="20"/>
        </w:rPr>
        <w:t>MKiDN</w:t>
      </w:r>
      <w:proofErr w:type="spellEnd"/>
      <w:r w:rsidRPr="00411E37">
        <w:rPr>
          <w:rFonts w:ascii="Verdana" w:eastAsia="Times New Roman" w:hAnsi="Verdana" w:cs="Times New Roman"/>
          <w:sz w:val="20"/>
          <w:szCs w:val="20"/>
        </w:rPr>
        <w:t xml:space="preserve"> Narodowa Kolekcja Sztuki Współczesnej.</w:t>
      </w:r>
    </w:p>
    <w:p w14:paraId="000000C6" w14:textId="77777777" w:rsidR="00625CC8" w:rsidRPr="00411E37" w:rsidRDefault="00D8522D" w:rsidP="00411E37">
      <w:pPr>
        <w:spacing w:after="160"/>
        <w:rPr>
          <w:rFonts w:ascii="Verdana" w:eastAsia="Times New Roman" w:hAnsi="Verdana" w:cs="Times New Roman"/>
          <w:b/>
          <w:bCs/>
          <w:sz w:val="20"/>
          <w:szCs w:val="20"/>
        </w:rPr>
      </w:pPr>
      <w:r w:rsidRPr="00411E37">
        <w:rPr>
          <w:rFonts w:ascii="Verdana" w:eastAsia="Times New Roman" w:hAnsi="Verdana" w:cs="Times New Roman"/>
          <w:b/>
          <w:bCs/>
          <w:sz w:val="20"/>
          <w:szCs w:val="20"/>
        </w:rPr>
        <w:t xml:space="preserve">7) Plan współpracy instytucji z innymi podmiotami krajowymi i zagranicznymi </w:t>
      </w:r>
    </w:p>
    <w:p w14:paraId="000000C7" w14:textId="77777777" w:rsidR="00625CC8" w:rsidRPr="00411E37" w:rsidRDefault="00D8522D" w:rsidP="00411E37">
      <w:pPr>
        <w:spacing w:after="160"/>
        <w:rPr>
          <w:rFonts w:ascii="Verdana" w:eastAsia="Times New Roman" w:hAnsi="Verdana" w:cs="Times New Roman"/>
          <w:sz w:val="20"/>
          <w:szCs w:val="20"/>
        </w:rPr>
      </w:pPr>
      <w:r w:rsidRPr="00411E37">
        <w:rPr>
          <w:rFonts w:ascii="Verdana" w:eastAsia="Times New Roman" w:hAnsi="Verdana" w:cs="Times New Roman"/>
          <w:sz w:val="20"/>
          <w:szCs w:val="20"/>
        </w:rPr>
        <w:lastRenderedPageBreak/>
        <w:t>Jednym z kluczowych elementów koncepcji programowej MWW jest systematyczne budowanie i wzmacnianie sieci współpracy na poziomie lokalnym, regionalnym, ogólnopolskim oraz międzynarodowym. Muzeum postrzegam jako instytucję aktywnie współtworzącą pole sztuki współczesnej oraz wzmacniającą pozycję Wrocławia jako ważnego i opiniotwórczego ośrodka artystycznego, czerpiącego zarówno z własnego dziedzictwa, jak i z aktualnych praktyk artystycznych.</w:t>
      </w:r>
    </w:p>
    <w:p w14:paraId="000000C8" w14:textId="4B5FC06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Na poziomie lokalnym priorytetem jest pogłębienie współpracy z wrocławskimi instytucjami kultury, środowiskiem akademickim, organizacjami pozarządowymi oraz inicjatywami oddolnymi. Naturalnymi partnerami są m.in. BWA Wrocław, Muzeum Narodowe we Wrocławiu, Akademia Sztuk Pięknych im. Eugeniusza Gepperta, Uniwersytet Wrocławski, Centrum Sztuki WRO, Ośrodek Kultury i Sztuki, Muzeum Architektury, a także liczne galerie i fundacje działające w mieście. Istotnym kierunkiem rozwoju MWW jest również poszerzanie współpracy poza obszar sztuk wizualnych - m.in. z Instytutem im. Jerzego Grotowskiego, Centrum Historii Zajezdnia, Zakładem Narodowym im. Ossolińskich czy Fundacją Katarynka</w:t>
      </w:r>
      <w:r w:rsidR="002F6573" w:rsidRPr="00411E37">
        <w:rPr>
          <w:rFonts w:ascii="Verdana" w:eastAsia="Times New Roman" w:hAnsi="Verdana" w:cs="Times New Roman"/>
          <w:sz w:val="20"/>
          <w:szCs w:val="20"/>
        </w:rPr>
        <w:t xml:space="preserve"> – </w:t>
      </w:r>
      <w:r w:rsidRPr="00411E37">
        <w:rPr>
          <w:rFonts w:ascii="Verdana" w:eastAsia="Times New Roman" w:hAnsi="Verdana" w:cs="Times New Roman"/>
          <w:sz w:val="20"/>
          <w:szCs w:val="20"/>
        </w:rPr>
        <w:t>szczególnie w kontekście dostępności kultury.</w:t>
      </w:r>
    </w:p>
    <w:p w14:paraId="000000C9"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W wymiarze ogólnopolskim kluczowe znaczenie ma współpraca z instytucjami o zbliżonym profilu i skali działania, takimi jak Muzeum Sztuki w Łodzi, Muzeum Sztuki Nowoczesnej w Warszawie, MOCAK w Krakowie, NOMUS w Gdańsku, a także Zachęta – Narodowa Galeria Sztuki, Centrum Rzeźby Polskiej w Orońsku, CSW w Toruniu, CSW Łaźnia w Gdańsku czy CSW Zamek Ujazdowski w Warszawie. Naturalnym partnerem wydają się także galerie wywodzące się z dawnej sieci BWA.</w:t>
      </w:r>
    </w:p>
    <w:p w14:paraId="000000CA"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Chciałbym szczególnie skupić się na wymianie doświadczeń instytucjonalnych, inicjowaniu współpracy na polu badań nad sztuką z partnerami o podobnych zainteresowaniach i zbieżnych celach. Przykładem takiej kooperacji mogą być również tacy partnerzy jak Fundacja </w:t>
      </w:r>
      <w:proofErr w:type="spellStart"/>
      <w:r w:rsidRPr="00411E37">
        <w:rPr>
          <w:rFonts w:ascii="Verdana" w:eastAsia="Times New Roman" w:hAnsi="Verdana" w:cs="Times New Roman"/>
          <w:sz w:val="20"/>
          <w:szCs w:val="20"/>
        </w:rPr>
        <w:t>Arton</w:t>
      </w:r>
      <w:proofErr w:type="spellEnd"/>
      <w:r w:rsidRPr="00411E37">
        <w:rPr>
          <w:rFonts w:ascii="Verdana" w:eastAsia="Times New Roman" w:hAnsi="Verdana" w:cs="Times New Roman"/>
          <w:sz w:val="20"/>
          <w:szCs w:val="20"/>
        </w:rPr>
        <w:t xml:space="preserve"> w Warszawie czy Fundacja In Situ w Sokołowsku, ale także ośrodki badawcze jak Centrum Badań nad Sztuką Europy Środkowo-Wschodniej i Spuścizną Piotra Piotrowskiego utworzone na UAM w Poznaniu. </w:t>
      </w:r>
    </w:p>
    <w:p w14:paraId="000000CB"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Wśród tej grupy potencjalnych partnerów chciałbym wyróżnić Fundację </w:t>
      </w:r>
      <w:proofErr w:type="spellStart"/>
      <w:r w:rsidRPr="00411E37">
        <w:rPr>
          <w:rFonts w:ascii="Verdana" w:eastAsia="Times New Roman" w:hAnsi="Verdana" w:cs="Times New Roman"/>
          <w:sz w:val="20"/>
          <w:szCs w:val="20"/>
        </w:rPr>
        <w:t>Arton</w:t>
      </w:r>
      <w:proofErr w:type="spellEnd"/>
      <w:r w:rsidRPr="00411E37">
        <w:rPr>
          <w:rFonts w:ascii="Verdana" w:eastAsia="Times New Roman" w:hAnsi="Verdana" w:cs="Times New Roman"/>
          <w:sz w:val="20"/>
          <w:szCs w:val="20"/>
        </w:rPr>
        <w:t xml:space="preserve"> oraz wrocławski </w:t>
      </w:r>
      <w:proofErr w:type="spellStart"/>
      <w:r w:rsidRPr="00411E37">
        <w:rPr>
          <w:rFonts w:ascii="Verdana" w:eastAsia="Times New Roman" w:hAnsi="Verdana" w:cs="Times New Roman"/>
          <w:sz w:val="20"/>
          <w:szCs w:val="20"/>
        </w:rPr>
        <w:t>OKiS</w:t>
      </w:r>
      <w:proofErr w:type="spellEnd"/>
      <w:r w:rsidRPr="00411E37">
        <w:rPr>
          <w:rFonts w:ascii="Verdana" w:eastAsia="Times New Roman" w:hAnsi="Verdana" w:cs="Times New Roman"/>
          <w:sz w:val="20"/>
          <w:szCs w:val="20"/>
        </w:rPr>
        <w:t xml:space="preserve">, z którymi realizowałem już projekty poświęcone sztuce wrocławskiej. Tę współpracę zamierzam kontynuować. Innym ważnym partnerem jest Sekcja Polska AICA, którą chcę zaprosić w ramach konferencji naukowej </w:t>
      </w:r>
      <w:proofErr w:type="spellStart"/>
      <w:r w:rsidRPr="00411E37">
        <w:rPr>
          <w:rFonts w:ascii="Verdana" w:eastAsia="Times New Roman" w:hAnsi="Verdana" w:cs="Times New Roman"/>
          <w:sz w:val="20"/>
          <w:szCs w:val="20"/>
        </w:rPr>
        <w:t>poświeconej</w:t>
      </w:r>
      <w:proofErr w:type="spellEnd"/>
      <w:r w:rsidRPr="00411E37">
        <w:rPr>
          <w:rFonts w:ascii="Verdana" w:eastAsia="Times New Roman" w:hAnsi="Verdana" w:cs="Times New Roman"/>
          <w:sz w:val="20"/>
          <w:szCs w:val="20"/>
        </w:rPr>
        <w:t xml:space="preserve"> Jerzemu Ludwińskiemu.        </w:t>
      </w:r>
    </w:p>
    <w:p w14:paraId="000000CC" w14:textId="77777777" w:rsidR="00625CC8"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Współpraca międzynarodowa koncentrować się będzie na budowaniu sieci badań i wymiany wiedzy dotyczącej sztuki Europy Środkowo-Wschodniej, ze szczególnym uwzględnieniem tradycji neoawangardowych. Działania te rozwijane będą w trzech kierunkach: współpracy regionalnej (Czechy, Słowacja, Niemcy), partnerstw wschodnich (Ukraina, kraje bałtyckie) oraz współpracy z instytucjami z Węgier, Rumunii i krajów bałkańskich. Celem jest nie tylko realizacja wspólnych projektów, lecz także systematyczna prezentacja dorobku MWW na arenie międzynarodowej.</w:t>
      </w:r>
    </w:p>
    <w:p w14:paraId="32074DA6" w14:textId="77777777" w:rsidR="002F6573" w:rsidRPr="00411E37" w:rsidRDefault="00D8522D" w:rsidP="00411E37">
      <w:pPr>
        <w:spacing w:before="240" w:after="240"/>
        <w:rPr>
          <w:rFonts w:ascii="Verdana" w:eastAsia="Times New Roman" w:hAnsi="Verdana" w:cs="Times New Roman"/>
          <w:sz w:val="20"/>
          <w:szCs w:val="20"/>
        </w:rPr>
      </w:pPr>
      <w:r w:rsidRPr="00411E37">
        <w:rPr>
          <w:rFonts w:ascii="Verdana" w:eastAsia="Times New Roman" w:hAnsi="Verdana" w:cs="Times New Roman"/>
          <w:sz w:val="20"/>
          <w:szCs w:val="20"/>
        </w:rPr>
        <w:t xml:space="preserve">Wśród potencjalnym partnerów upatrywałby instytucje, które współpracowały już z MWW: Ludwig </w:t>
      </w:r>
      <w:proofErr w:type="spellStart"/>
      <w:r w:rsidRPr="00411E37">
        <w:rPr>
          <w:rFonts w:ascii="Verdana" w:eastAsia="Times New Roman" w:hAnsi="Verdana" w:cs="Times New Roman"/>
          <w:sz w:val="20"/>
          <w:szCs w:val="20"/>
        </w:rPr>
        <w:t>Múzeum</w:t>
      </w:r>
      <w:proofErr w:type="spellEnd"/>
      <w:r w:rsidRPr="00411E37">
        <w:rPr>
          <w:rFonts w:ascii="Verdana" w:eastAsia="Times New Roman" w:hAnsi="Verdana" w:cs="Times New Roman"/>
          <w:sz w:val="20"/>
          <w:szCs w:val="20"/>
        </w:rPr>
        <w:t xml:space="preserve"> w Budapeszcie, Muzeum Sztuki Nowoczesnej w Zagrzebiu, ale także miejsca o różnej skali i charakterze takie jak Fundacja IZOLYATSIA w Kijowie, </w:t>
      </w:r>
      <w:proofErr w:type="spellStart"/>
      <w:r w:rsidRPr="00411E37">
        <w:rPr>
          <w:rFonts w:ascii="Verdana" w:eastAsia="Times New Roman" w:hAnsi="Verdana" w:cs="Times New Roman"/>
          <w:sz w:val="20"/>
          <w:szCs w:val="20"/>
        </w:rPr>
        <w:t>Latvian</w:t>
      </w:r>
      <w:proofErr w:type="spellEnd"/>
      <w:r w:rsidRPr="00411E37">
        <w:rPr>
          <w:rFonts w:ascii="Verdana" w:eastAsia="Times New Roman" w:hAnsi="Verdana" w:cs="Times New Roman"/>
          <w:sz w:val="20"/>
          <w:szCs w:val="20"/>
        </w:rPr>
        <w:t xml:space="preserve"> Centre for </w:t>
      </w:r>
      <w:proofErr w:type="spellStart"/>
      <w:r w:rsidRPr="00411E37">
        <w:rPr>
          <w:rFonts w:ascii="Verdana" w:eastAsia="Times New Roman" w:hAnsi="Verdana" w:cs="Times New Roman"/>
          <w:sz w:val="20"/>
          <w:szCs w:val="20"/>
        </w:rPr>
        <w:t>Contemporary</w:t>
      </w:r>
      <w:proofErr w:type="spellEnd"/>
      <w:r w:rsidRPr="00411E37">
        <w:rPr>
          <w:rFonts w:ascii="Verdana" w:eastAsia="Times New Roman" w:hAnsi="Verdana" w:cs="Times New Roman"/>
          <w:sz w:val="20"/>
          <w:szCs w:val="20"/>
        </w:rPr>
        <w:t xml:space="preserve"> Art w Rydze, </w:t>
      </w:r>
      <w:proofErr w:type="spellStart"/>
      <w:r w:rsidRPr="00411E37">
        <w:rPr>
          <w:rFonts w:ascii="Verdana" w:eastAsia="Times New Roman" w:hAnsi="Verdana" w:cs="Times New Roman"/>
          <w:sz w:val="20"/>
          <w:szCs w:val="20"/>
        </w:rPr>
        <w:t>Contemporary</w:t>
      </w:r>
      <w:proofErr w:type="spellEnd"/>
      <w:r w:rsidRPr="00411E37">
        <w:rPr>
          <w:rFonts w:ascii="Verdana" w:eastAsia="Times New Roman" w:hAnsi="Verdana" w:cs="Times New Roman"/>
          <w:sz w:val="20"/>
          <w:szCs w:val="20"/>
        </w:rPr>
        <w:t xml:space="preserve"> Art Centre w Wilnie, Plato </w:t>
      </w:r>
      <w:r w:rsidRPr="00411E37">
        <w:rPr>
          <w:rFonts w:ascii="Verdana" w:eastAsia="Times New Roman" w:hAnsi="Verdana" w:cs="Times New Roman"/>
          <w:sz w:val="20"/>
          <w:szCs w:val="20"/>
        </w:rPr>
        <w:lastRenderedPageBreak/>
        <w:t xml:space="preserve">w Ostrawie, Galeria Sztuki Nowoczesnej w Hradec </w:t>
      </w:r>
      <w:proofErr w:type="spellStart"/>
      <w:r w:rsidRPr="00411E37">
        <w:rPr>
          <w:rFonts w:ascii="Verdana" w:eastAsia="Times New Roman" w:hAnsi="Verdana" w:cs="Times New Roman"/>
          <w:sz w:val="20"/>
          <w:szCs w:val="20"/>
        </w:rPr>
        <w:t>Králové</w:t>
      </w:r>
      <w:proofErr w:type="spellEnd"/>
      <w:r w:rsidRPr="00411E37">
        <w:rPr>
          <w:rFonts w:ascii="Verdana" w:eastAsia="Times New Roman" w:hAnsi="Verdana" w:cs="Times New Roman"/>
          <w:sz w:val="20"/>
          <w:szCs w:val="20"/>
        </w:rPr>
        <w:t xml:space="preserve"> (miasto partnerskie Wrocławia), </w:t>
      </w:r>
      <w:proofErr w:type="spellStart"/>
      <w:r w:rsidRPr="00411E37">
        <w:rPr>
          <w:rFonts w:ascii="Verdana" w:eastAsia="Times New Roman" w:hAnsi="Verdana" w:cs="Times New Roman"/>
          <w:sz w:val="20"/>
          <w:szCs w:val="20"/>
        </w:rPr>
        <w:t>MeetFactory</w:t>
      </w:r>
      <w:proofErr w:type="spellEnd"/>
      <w:r w:rsidRPr="00411E37">
        <w:rPr>
          <w:rFonts w:ascii="Verdana" w:eastAsia="Times New Roman" w:hAnsi="Verdana" w:cs="Times New Roman"/>
          <w:sz w:val="20"/>
          <w:szCs w:val="20"/>
        </w:rPr>
        <w:t xml:space="preserve"> w Pradze, czy </w:t>
      </w:r>
      <w:proofErr w:type="spellStart"/>
      <w:r w:rsidRPr="00411E37">
        <w:rPr>
          <w:rFonts w:ascii="Verdana" w:eastAsia="Times New Roman" w:hAnsi="Verdana" w:cs="Times New Roman"/>
          <w:sz w:val="20"/>
          <w:szCs w:val="20"/>
        </w:rPr>
        <w:t>Artpool</w:t>
      </w:r>
      <w:proofErr w:type="spellEnd"/>
      <w:r w:rsidRPr="00411E37">
        <w:rPr>
          <w:rFonts w:ascii="Verdana" w:eastAsia="Times New Roman" w:hAnsi="Verdana" w:cs="Times New Roman"/>
          <w:sz w:val="20"/>
          <w:szCs w:val="20"/>
        </w:rPr>
        <w:t xml:space="preserve"> Art </w:t>
      </w:r>
      <w:proofErr w:type="spellStart"/>
      <w:r w:rsidRPr="00411E37">
        <w:rPr>
          <w:rFonts w:ascii="Verdana" w:eastAsia="Times New Roman" w:hAnsi="Verdana" w:cs="Times New Roman"/>
          <w:sz w:val="20"/>
          <w:szCs w:val="20"/>
        </w:rPr>
        <w:t>Research</w:t>
      </w:r>
      <w:proofErr w:type="spellEnd"/>
      <w:r w:rsidRPr="00411E37">
        <w:rPr>
          <w:rFonts w:ascii="Verdana" w:eastAsia="Times New Roman" w:hAnsi="Verdana" w:cs="Times New Roman"/>
          <w:sz w:val="20"/>
          <w:szCs w:val="20"/>
        </w:rPr>
        <w:t xml:space="preserve"> Center w Budapeszcie.</w:t>
      </w:r>
    </w:p>
    <w:p w14:paraId="000000CF" w14:textId="3E0023F8" w:rsidR="00625CC8" w:rsidRPr="00411E37" w:rsidRDefault="00D8522D" w:rsidP="00411E37">
      <w:pPr>
        <w:spacing w:before="240" w:after="240"/>
        <w:rPr>
          <w:rFonts w:ascii="Verdana" w:eastAsia="Times New Roman" w:hAnsi="Verdana" w:cs="Times New Roman"/>
          <w:sz w:val="20"/>
          <w:szCs w:val="20"/>
        </w:rPr>
      </w:pPr>
      <w:r w:rsidRPr="00411E37">
        <w:rPr>
          <w:rFonts w:ascii="Verdana" w:hAnsi="Verdana" w:cs="Times New Roman"/>
          <w:sz w:val="20"/>
          <w:szCs w:val="20"/>
        </w:rPr>
        <w:t>Tak rozumiana strategia współpracy i sieciowania wzmacnia pozycję Muzeum Współczesnego Wrocław jako instytucji otwartej, kompetentnej i zakorzenionej w lokalnym kontekście, a jednocześnie aktywnie uczestniczącej w międzynarodowym obiegu sztuki współczesnej.</w:t>
      </w:r>
      <w:r w:rsidRPr="00411E37">
        <w:rPr>
          <w:rFonts w:ascii="Verdana" w:hAnsi="Verdana" w:cs="Times New Roman"/>
          <w:sz w:val="20"/>
          <w:szCs w:val="20"/>
        </w:rPr>
        <w:br/>
      </w:r>
      <w:bookmarkStart w:id="0" w:name="_GoBack"/>
      <w:bookmarkEnd w:id="0"/>
    </w:p>
    <w:sectPr w:rsidR="00625CC8" w:rsidRPr="00411E37">
      <w:headerReference w:type="default" r:id="rId9"/>
      <w:footerReference w:type="even" r:id="rId10"/>
      <w:footerReference w:type="default" r:id="rId11"/>
      <w:footerReference w:type="first" r:id="rId12"/>
      <w:pgSz w:w="11909" w:h="16834"/>
      <w:pgMar w:top="1440" w:right="1440" w:bottom="1440" w:left="1440" w:header="720"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C2733" w14:textId="77777777" w:rsidR="0082640A" w:rsidRDefault="0082640A">
      <w:pPr>
        <w:spacing w:line="240" w:lineRule="auto"/>
      </w:pPr>
      <w:r>
        <w:separator/>
      </w:r>
    </w:p>
  </w:endnote>
  <w:endnote w:type="continuationSeparator" w:id="0">
    <w:p w14:paraId="145DED9A" w14:textId="77777777" w:rsidR="0082640A" w:rsidRDefault="00826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embedRegular r:id="rId1" w:fontKey="{40F86339-ADC1-4849-A0FD-2B354DF95024}"/>
    <w:embedBold r:id="rId2" w:fontKey="{E8D2684B-4222-48D5-9897-562B7B533739}"/>
    <w:embedItalic r:id="rId3" w:fontKey="{C6AEB037-ABD0-455B-B3EF-9F7847979DBB}"/>
  </w:font>
  <w:font w:name="Roboto">
    <w:charset w:val="00"/>
    <w:family w:val="auto"/>
    <w:pitch w:val="variable"/>
    <w:sig w:usb0="E0000AFF" w:usb1="5000217F" w:usb2="00000021" w:usb3="00000000" w:csb0="0000019F" w:csb1="00000000"/>
    <w:embedRegular r:id="rId4" w:fontKey="{6ADC5C4F-5DC0-492A-A6F8-B38723669CF1}"/>
  </w:font>
  <w:font w:name="Calibri">
    <w:panose1 w:val="020F0502020204030204"/>
    <w:charset w:val="EE"/>
    <w:family w:val="swiss"/>
    <w:pitch w:val="variable"/>
    <w:sig w:usb0="E4002EFF" w:usb1="C000247B" w:usb2="00000009" w:usb3="00000000" w:csb0="000001FF" w:csb1="00000000"/>
    <w:embedRegular r:id="rId5" w:fontKey="{A1251C9B-CFA0-4532-90ED-8B068F5F6988}"/>
  </w:font>
  <w:font w:name="Cambria">
    <w:panose1 w:val="02040503050406030204"/>
    <w:charset w:val="EE"/>
    <w:family w:val="roman"/>
    <w:pitch w:val="variable"/>
    <w:sig w:usb0="E00006FF" w:usb1="420024FF" w:usb2="02000000" w:usb3="00000000" w:csb0="0000019F" w:csb1="00000000"/>
    <w:embedRegular r:id="rId6" w:fontKey="{219AE37A-A2B0-4057-808D-5DC212A1CF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1885011192"/>
      <w:docPartObj>
        <w:docPartGallery w:val="Page Numbers (Bottom of Page)"/>
        <w:docPartUnique/>
      </w:docPartObj>
    </w:sdtPr>
    <w:sdtEndPr>
      <w:rPr>
        <w:rStyle w:val="Numerstrony"/>
      </w:rPr>
    </w:sdtEndPr>
    <w:sdtContent>
      <w:p w14:paraId="532CDABB" w14:textId="1BF602B7" w:rsidR="00CF123F" w:rsidRDefault="00CF123F" w:rsidP="000A2A39">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65A3ACE6" w14:textId="77777777" w:rsidR="00CF123F" w:rsidRDefault="00CF123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638540451"/>
      <w:docPartObj>
        <w:docPartGallery w:val="Page Numbers (Bottom of Page)"/>
        <w:docPartUnique/>
      </w:docPartObj>
    </w:sdtPr>
    <w:sdtEndPr>
      <w:rPr>
        <w:rStyle w:val="Numerstrony"/>
      </w:rPr>
    </w:sdtEndPr>
    <w:sdtContent>
      <w:p w14:paraId="7B4812CE" w14:textId="3A2359AD" w:rsidR="00CF123F" w:rsidRDefault="00CF123F" w:rsidP="000A2A39">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4</w:t>
        </w:r>
        <w:r>
          <w:rPr>
            <w:rStyle w:val="Numerstrony"/>
          </w:rPr>
          <w:fldChar w:fldCharType="end"/>
        </w:r>
      </w:p>
    </w:sdtContent>
  </w:sdt>
  <w:p w14:paraId="000000D2" w14:textId="49B336BF" w:rsidR="00625CC8" w:rsidRDefault="00625CC8">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D1" w14:textId="77777777" w:rsidR="00625CC8" w:rsidRDefault="00625C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219CA" w14:textId="77777777" w:rsidR="0082640A" w:rsidRDefault="0082640A">
      <w:pPr>
        <w:spacing w:line="240" w:lineRule="auto"/>
      </w:pPr>
      <w:r>
        <w:separator/>
      </w:r>
    </w:p>
  </w:footnote>
  <w:footnote w:type="continuationSeparator" w:id="0">
    <w:p w14:paraId="276CD597" w14:textId="77777777" w:rsidR="0082640A" w:rsidRDefault="008264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D0" w14:textId="77777777" w:rsidR="00625CC8" w:rsidRDefault="00625C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D754B"/>
    <w:multiLevelType w:val="hybridMultilevel"/>
    <w:tmpl w:val="29D08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E62838"/>
    <w:multiLevelType w:val="multilevel"/>
    <w:tmpl w:val="4C165F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4AE08F7"/>
    <w:multiLevelType w:val="hybridMultilevel"/>
    <w:tmpl w:val="5BA08B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521804"/>
    <w:multiLevelType w:val="hybridMultilevel"/>
    <w:tmpl w:val="1EE46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82767C"/>
    <w:multiLevelType w:val="hybridMultilevel"/>
    <w:tmpl w:val="A1445F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0B1667"/>
    <w:multiLevelType w:val="hybridMultilevel"/>
    <w:tmpl w:val="2C0E62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C3977"/>
    <w:multiLevelType w:val="multilevel"/>
    <w:tmpl w:val="559ED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5A7046B"/>
    <w:multiLevelType w:val="multilevel"/>
    <w:tmpl w:val="4B902C24"/>
    <w:lvl w:ilvl="0">
      <w:start w:val="1"/>
      <w:numFmt w:val="bullet"/>
      <w:lvlText w:val="●"/>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FE84EA3"/>
    <w:multiLevelType w:val="hybridMultilevel"/>
    <w:tmpl w:val="35E02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64051B"/>
    <w:multiLevelType w:val="multilevel"/>
    <w:tmpl w:val="3B464E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A1A61B2"/>
    <w:multiLevelType w:val="hybridMultilevel"/>
    <w:tmpl w:val="4DF40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8B414A3"/>
    <w:multiLevelType w:val="hybridMultilevel"/>
    <w:tmpl w:val="A606A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99810E5"/>
    <w:multiLevelType w:val="hybridMultilevel"/>
    <w:tmpl w:val="89646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BC301C"/>
    <w:multiLevelType w:val="multilevel"/>
    <w:tmpl w:val="DAAC87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6"/>
  </w:num>
  <w:num w:numId="2">
    <w:abstractNumId w:val="1"/>
  </w:num>
  <w:num w:numId="3">
    <w:abstractNumId w:val="7"/>
  </w:num>
  <w:num w:numId="4">
    <w:abstractNumId w:val="9"/>
  </w:num>
  <w:num w:numId="5">
    <w:abstractNumId w:val="13"/>
  </w:num>
  <w:num w:numId="6">
    <w:abstractNumId w:val="10"/>
  </w:num>
  <w:num w:numId="7">
    <w:abstractNumId w:val="5"/>
  </w:num>
  <w:num w:numId="8">
    <w:abstractNumId w:val="4"/>
  </w:num>
  <w:num w:numId="9">
    <w:abstractNumId w:val="11"/>
  </w:num>
  <w:num w:numId="10">
    <w:abstractNumId w:val="0"/>
  </w:num>
  <w:num w:numId="11">
    <w:abstractNumId w:val="2"/>
  </w:num>
  <w:num w:numId="12">
    <w:abstractNumId w:val="12"/>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CC8"/>
    <w:rsid w:val="000C4445"/>
    <w:rsid w:val="00233D20"/>
    <w:rsid w:val="002628E7"/>
    <w:rsid w:val="002F6573"/>
    <w:rsid w:val="00411E37"/>
    <w:rsid w:val="00544D88"/>
    <w:rsid w:val="00556A5B"/>
    <w:rsid w:val="00625CC8"/>
    <w:rsid w:val="0082640A"/>
    <w:rsid w:val="00907554"/>
    <w:rsid w:val="0094280D"/>
    <w:rsid w:val="00A51BC9"/>
    <w:rsid w:val="00AF70C4"/>
    <w:rsid w:val="00C772BB"/>
    <w:rsid w:val="00C916C5"/>
    <w:rsid w:val="00CF123F"/>
    <w:rsid w:val="00D8522D"/>
    <w:rsid w:val="00DB4C3A"/>
    <w:rsid w:val="00E30DDF"/>
    <w:rsid w:val="00E57B10"/>
    <w:rsid w:val="00EE2F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212F"/>
  <w15:docId w15:val="{54A48BBA-0443-8E4C-A3D4-36D8D6B8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Akapitzlist">
    <w:name w:val="List Paragraph"/>
    <w:basedOn w:val="Normalny"/>
    <w:uiPriority w:val="34"/>
    <w:qFormat/>
    <w:rsid w:val="00233D20"/>
    <w:pPr>
      <w:ind w:left="720"/>
      <w:contextualSpacing/>
    </w:pPr>
  </w:style>
  <w:style w:type="paragraph" w:styleId="Stopka">
    <w:name w:val="footer"/>
    <w:basedOn w:val="Normalny"/>
    <w:link w:val="StopkaZnak"/>
    <w:uiPriority w:val="99"/>
    <w:unhideWhenUsed/>
    <w:rsid w:val="00CF123F"/>
    <w:pPr>
      <w:tabs>
        <w:tab w:val="center" w:pos="4536"/>
        <w:tab w:val="right" w:pos="9072"/>
      </w:tabs>
      <w:spacing w:line="240" w:lineRule="auto"/>
    </w:pPr>
  </w:style>
  <w:style w:type="character" w:customStyle="1" w:styleId="StopkaZnak">
    <w:name w:val="Stopka Znak"/>
    <w:basedOn w:val="Domylnaczcionkaakapitu"/>
    <w:link w:val="Stopka"/>
    <w:uiPriority w:val="99"/>
    <w:rsid w:val="00CF123F"/>
  </w:style>
  <w:style w:type="character" w:styleId="Numerstrony">
    <w:name w:val="page number"/>
    <w:basedOn w:val="Domylnaczcionkaakapitu"/>
    <w:uiPriority w:val="99"/>
    <w:semiHidden/>
    <w:unhideWhenUsed/>
    <w:rsid w:val="00CF123F"/>
  </w:style>
  <w:style w:type="paragraph" w:styleId="Nagwek">
    <w:name w:val="header"/>
    <w:basedOn w:val="Normalny"/>
    <w:link w:val="NagwekZnak"/>
    <w:uiPriority w:val="99"/>
    <w:semiHidden/>
    <w:unhideWhenUsed/>
    <w:rsid w:val="00411E37"/>
    <w:pPr>
      <w:tabs>
        <w:tab w:val="center" w:pos="4536"/>
        <w:tab w:val="right" w:pos="9072"/>
      </w:tabs>
      <w:spacing w:line="240" w:lineRule="auto"/>
    </w:pPr>
    <w:rPr>
      <w:rFonts w:ascii="Times New Roman" w:eastAsia="Times New Roman" w:hAnsi="Times New Roman" w:cs="Times New Roman"/>
      <w:sz w:val="24"/>
      <w:szCs w:val="24"/>
      <w:lang w:val="pl-PL"/>
    </w:rPr>
  </w:style>
  <w:style w:type="character" w:customStyle="1" w:styleId="NagwekZnak">
    <w:name w:val="Nagłówek Znak"/>
    <w:basedOn w:val="Domylnaczcionkaakapitu"/>
    <w:link w:val="Nagwek"/>
    <w:uiPriority w:val="99"/>
    <w:semiHidden/>
    <w:rsid w:val="00411E37"/>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22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F29BB3C-F1A2-44EA-98AC-3F4317BA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7252</Words>
  <Characters>43517</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Kubicz-Wichłacz Dominika</dc:creator>
  <cp:lastModifiedBy>Kubicz-Wichłacz Dominika</cp:lastModifiedBy>
  <cp:revision>3</cp:revision>
  <cp:lastPrinted>2025-12-21T17:52:00Z</cp:lastPrinted>
  <dcterms:created xsi:type="dcterms:W3CDTF">2026-02-12T13:24:00Z</dcterms:created>
  <dcterms:modified xsi:type="dcterms:W3CDTF">2026-02-12T13:38:00Z</dcterms:modified>
</cp:coreProperties>
</file>