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87" w:rsidRDefault="00C37F87" w:rsidP="00CD29F0">
      <w:pPr>
        <w:spacing w:line="288" w:lineRule="auto"/>
        <w:rPr>
          <w:rFonts w:ascii="Verdana" w:hAnsi="Verdana"/>
          <w:bCs/>
          <w:sz w:val="20"/>
          <w:szCs w:val="20"/>
        </w:rPr>
      </w:pPr>
      <w:bookmarkStart w:id="0" w:name="_GoBack"/>
      <w:bookmarkEnd w:id="0"/>
      <w:r w:rsidRPr="00D758BF">
        <w:rPr>
          <w:rFonts w:ascii="Verdana" w:hAnsi="Verdana"/>
          <w:bCs/>
          <w:sz w:val="20"/>
          <w:szCs w:val="20"/>
        </w:rPr>
        <w:t xml:space="preserve">Analiza prawdopodobieństwa naruszenia prawa w zakresie prowadzenia </w:t>
      </w:r>
      <w:r w:rsidR="00AC48D2">
        <w:rPr>
          <w:rFonts w:ascii="Verdana" w:hAnsi="Verdana"/>
          <w:bCs/>
          <w:sz w:val="20"/>
          <w:szCs w:val="20"/>
        </w:rPr>
        <w:t>stacji kontroli pojazdów</w:t>
      </w:r>
      <w:r w:rsidRPr="00D758BF">
        <w:rPr>
          <w:rFonts w:ascii="Verdana" w:hAnsi="Verdana"/>
          <w:bCs/>
          <w:sz w:val="20"/>
          <w:szCs w:val="20"/>
        </w:rPr>
        <w:t>, wykon</w:t>
      </w:r>
      <w:r>
        <w:rPr>
          <w:rFonts w:ascii="Verdana" w:hAnsi="Verdana"/>
          <w:bCs/>
          <w:sz w:val="20"/>
          <w:szCs w:val="20"/>
        </w:rPr>
        <w:t xml:space="preserve">ywana jest </w:t>
      </w:r>
      <w:r w:rsidRPr="00D758BF">
        <w:rPr>
          <w:rFonts w:ascii="Verdana" w:hAnsi="Verdana"/>
          <w:bCs/>
          <w:sz w:val="20"/>
          <w:szCs w:val="20"/>
        </w:rPr>
        <w:t xml:space="preserve">zgodnie z dyspozycją art. </w:t>
      </w:r>
      <w:r w:rsidRPr="00D758BF">
        <w:rPr>
          <w:rStyle w:val="alb"/>
          <w:rFonts w:ascii="Verdana" w:hAnsi="Verdana"/>
          <w:bCs/>
          <w:sz w:val="20"/>
          <w:szCs w:val="20"/>
        </w:rPr>
        <w:t>47</w:t>
      </w:r>
      <w:r w:rsidRPr="00D758BF">
        <w:rPr>
          <w:rFonts w:ascii="Verdana" w:hAnsi="Verdana"/>
          <w:bCs/>
          <w:sz w:val="20"/>
          <w:szCs w:val="20"/>
        </w:rPr>
        <w:t xml:space="preserve"> ustawy </w:t>
      </w:r>
      <w:r w:rsidR="00AC48D2">
        <w:rPr>
          <w:rFonts w:ascii="Verdana" w:hAnsi="Verdana"/>
          <w:bCs/>
          <w:sz w:val="20"/>
          <w:szCs w:val="20"/>
        </w:rPr>
        <w:br/>
      </w:r>
      <w:r w:rsidRPr="00D758BF">
        <w:rPr>
          <w:rFonts w:ascii="Verdana" w:hAnsi="Verdana"/>
          <w:bCs/>
          <w:sz w:val="20"/>
          <w:szCs w:val="20"/>
        </w:rPr>
        <w:t>z dnia 6 marca 2018 r. Prawo przedsiębiorców</w:t>
      </w:r>
      <w:r>
        <w:rPr>
          <w:rFonts w:ascii="Verdana" w:hAnsi="Verdana"/>
          <w:bCs/>
          <w:sz w:val="20"/>
          <w:szCs w:val="20"/>
        </w:rPr>
        <w:t>.</w:t>
      </w:r>
      <w:r w:rsidRPr="00D758BF">
        <w:rPr>
          <w:rFonts w:ascii="Verdana" w:hAnsi="Verdana"/>
          <w:bCs/>
          <w:sz w:val="20"/>
          <w:szCs w:val="20"/>
        </w:rPr>
        <w:t xml:space="preserve"> </w:t>
      </w:r>
    </w:p>
    <w:p w:rsidR="00C37F87" w:rsidRPr="00C37F87" w:rsidRDefault="00C37F87" w:rsidP="00CD29F0">
      <w:pPr>
        <w:pStyle w:val="Akapitzlist"/>
        <w:numPr>
          <w:ilvl w:val="0"/>
          <w:numId w:val="4"/>
        </w:numPr>
        <w:spacing w:before="120" w:line="288" w:lineRule="auto"/>
        <w:ind w:left="425" w:hanging="425"/>
        <w:rPr>
          <w:rFonts w:ascii="Verdana" w:hAnsi="Verdana"/>
          <w:bCs/>
          <w:sz w:val="20"/>
          <w:szCs w:val="20"/>
        </w:rPr>
      </w:pPr>
      <w:r w:rsidRPr="00C37F87">
        <w:rPr>
          <w:rFonts w:ascii="Verdana" w:hAnsi="Verdana"/>
          <w:bCs/>
          <w:sz w:val="20"/>
          <w:szCs w:val="20"/>
        </w:rPr>
        <w:t xml:space="preserve">Kryteria i </w:t>
      </w:r>
      <w:r>
        <w:rPr>
          <w:rFonts w:ascii="Verdana" w:hAnsi="Verdana"/>
          <w:bCs/>
          <w:sz w:val="20"/>
          <w:szCs w:val="20"/>
        </w:rPr>
        <w:t>zasady umożliwiające przypisanie przedsiębiorców do właściwej dla nich kategorii ryzyka.</w:t>
      </w:r>
    </w:p>
    <w:p w:rsidR="00C37F87" w:rsidRPr="00F518EC" w:rsidRDefault="00C37F87" w:rsidP="00CD29F0">
      <w:pPr>
        <w:spacing w:before="120" w:line="288" w:lineRule="auto"/>
        <w:rPr>
          <w:rFonts w:ascii="Verdana" w:hAnsi="Verdana"/>
          <w:bCs/>
          <w:sz w:val="20"/>
          <w:szCs w:val="20"/>
        </w:rPr>
      </w:pPr>
      <w:r w:rsidRPr="00F518EC">
        <w:rPr>
          <w:rFonts w:ascii="Verdana" w:hAnsi="Verdana"/>
          <w:bCs/>
          <w:sz w:val="20"/>
          <w:szCs w:val="20"/>
        </w:rPr>
        <w:t xml:space="preserve">Podstawą analizy </w:t>
      </w:r>
      <w:r>
        <w:rPr>
          <w:rFonts w:ascii="Verdana" w:hAnsi="Verdana"/>
          <w:bCs/>
          <w:sz w:val="20"/>
          <w:szCs w:val="20"/>
        </w:rPr>
        <w:t>p</w:t>
      </w:r>
      <w:r w:rsidRPr="00F518EC">
        <w:rPr>
          <w:rFonts w:ascii="Verdana" w:hAnsi="Verdana"/>
          <w:bCs/>
          <w:sz w:val="20"/>
          <w:szCs w:val="20"/>
        </w:rPr>
        <w:t xml:space="preserve">rawdopodobieństwa naruszenia prawa są protokoły </w:t>
      </w:r>
      <w:r w:rsidRPr="00F518EC">
        <w:rPr>
          <w:rFonts w:ascii="Verdana" w:hAnsi="Verdana"/>
          <w:bCs/>
          <w:sz w:val="20"/>
          <w:szCs w:val="20"/>
        </w:rPr>
        <w:br/>
        <w:t xml:space="preserve">z kontroli stacji kontroli pojazdów przeprowadzonych w roku </w:t>
      </w:r>
      <w:r>
        <w:rPr>
          <w:rFonts w:ascii="Verdana" w:hAnsi="Verdana"/>
          <w:bCs/>
          <w:sz w:val="20"/>
          <w:szCs w:val="20"/>
        </w:rPr>
        <w:t>poprzednim</w:t>
      </w:r>
      <w:r w:rsidRPr="00F518EC">
        <w:rPr>
          <w:rFonts w:ascii="Verdana" w:hAnsi="Verdana"/>
          <w:bCs/>
          <w:sz w:val="20"/>
          <w:szCs w:val="20"/>
        </w:rPr>
        <w:t xml:space="preserve">, </w:t>
      </w:r>
      <w:r w:rsidRPr="00F518EC">
        <w:rPr>
          <w:rFonts w:ascii="Verdana" w:hAnsi="Verdana"/>
          <w:bCs/>
          <w:sz w:val="20"/>
          <w:szCs w:val="20"/>
        </w:rPr>
        <w:br/>
        <w:t>z wyjątkiem stacji kontroli pojazdów nowo utworzonych.</w:t>
      </w:r>
    </w:p>
    <w:p w:rsidR="00C37F87" w:rsidRPr="00C37F87" w:rsidRDefault="00C37F87" w:rsidP="00CD29F0">
      <w:pPr>
        <w:pStyle w:val="Akapitzlist"/>
        <w:numPr>
          <w:ilvl w:val="0"/>
          <w:numId w:val="5"/>
        </w:numPr>
        <w:spacing w:before="240" w:line="288" w:lineRule="auto"/>
        <w:ind w:left="284" w:hanging="284"/>
        <w:rPr>
          <w:rFonts w:ascii="Verdana" w:hAnsi="Verdana"/>
          <w:bCs/>
          <w:sz w:val="20"/>
          <w:szCs w:val="20"/>
        </w:rPr>
      </w:pPr>
      <w:r w:rsidRPr="00C37F87">
        <w:rPr>
          <w:rFonts w:ascii="Verdana" w:hAnsi="Verdana"/>
          <w:bCs/>
          <w:sz w:val="20"/>
          <w:szCs w:val="20"/>
        </w:rPr>
        <w:t>Prawdopodobieństwo naruszenia prawa na poziomie NISKIM:</w:t>
      </w:r>
    </w:p>
    <w:p w:rsidR="00C37F87" w:rsidRPr="00F518EC" w:rsidRDefault="007A1056" w:rsidP="00CD29F0">
      <w:pPr>
        <w:spacing w:line="288" w:lineRule="auto"/>
        <w:ind w:left="284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="00C37F87" w:rsidRPr="00F518EC">
        <w:rPr>
          <w:rFonts w:ascii="Verdana" w:hAnsi="Verdana"/>
          <w:bCs/>
          <w:sz w:val="20"/>
          <w:szCs w:val="20"/>
        </w:rPr>
        <w:t xml:space="preserve">odczas kontroli przeprowadzonej w stacji w roku </w:t>
      </w:r>
      <w:r w:rsidR="003A30FD">
        <w:rPr>
          <w:rFonts w:ascii="Verdana" w:hAnsi="Verdana"/>
          <w:bCs/>
          <w:sz w:val="20"/>
          <w:szCs w:val="20"/>
        </w:rPr>
        <w:t>poprzednim</w:t>
      </w:r>
      <w:r w:rsidR="00C37F87" w:rsidRPr="00F518EC">
        <w:rPr>
          <w:rFonts w:ascii="Verdana" w:hAnsi="Verdana"/>
          <w:bCs/>
          <w:sz w:val="20"/>
          <w:szCs w:val="20"/>
        </w:rPr>
        <w:t xml:space="preserve"> nie stwierdzono nieprawidłowości.</w:t>
      </w:r>
    </w:p>
    <w:p w:rsidR="003A30FD" w:rsidRDefault="00C37F87" w:rsidP="00CD29F0">
      <w:pPr>
        <w:pStyle w:val="Akapitzlist"/>
        <w:numPr>
          <w:ilvl w:val="0"/>
          <w:numId w:val="5"/>
        </w:numPr>
        <w:spacing w:before="120" w:line="288" w:lineRule="auto"/>
        <w:ind w:left="284" w:hanging="284"/>
        <w:rPr>
          <w:rFonts w:ascii="Verdana" w:hAnsi="Verdana"/>
          <w:bCs/>
          <w:sz w:val="20"/>
          <w:szCs w:val="20"/>
        </w:rPr>
      </w:pPr>
      <w:r w:rsidRPr="00F518EC">
        <w:rPr>
          <w:rFonts w:ascii="Verdana" w:hAnsi="Verdana"/>
          <w:bCs/>
          <w:sz w:val="20"/>
          <w:szCs w:val="20"/>
        </w:rPr>
        <w:t>Prawdopodobieństwo naruszenia prawa na poziomie ŚREDNIM</w:t>
      </w:r>
      <w:r w:rsidR="003A30FD">
        <w:rPr>
          <w:rFonts w:ascii="Verdana" w:hAnsi="Verdana"/>
          <w:bCs/>
          <w:sz w:val="20"/>
          <w:szCs w:val="20"/>
        </w:rPr>
        <w:t>.</w:t>
      </w:r>
      <w:r w:rsidRPr="00F518EC">
        <w:rPr>
          <w:rFonts w:ascii="Verdana" w:hAnsi="Verdana"/>
          <w:bCs/>
          <w:sz w:val="20"/>
          <w:szCs w:val="20"/>
        </w:rPr>
        <w:t xml:space="preserve"> </w:t>
      </w:r>
    </w:p>
    <w:p w:rsidR="00C37F87" w:rsidRPr="00F518EC" w:rsidRDefault="003A30FD" w:rsidP="00CD29F0">
      <w:pPr>
        <w:pStyle w:val="Akapitzlist"/>
        <w:spacing w:before="240" w:line="288" w:lineRule="auto"/>
        <w:ind w:left="284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="00C37F87" w:rsidRPr="00F518EC">
        <w:rPr>
          <w:rFonts w:ascii="Verdana" w:hAnsi="Verdana"/>
          <w:bCs/>
          <w:sz w:val="20"/>
          <w:szCs w:val="20"/>
        </w:rPr>
        <w:t xml:space="preserve">odczas kontroli przeprowadzonej w stacji w roku </w:t>
      </w:r>
      <w:r>
        <w:rPr>
          <w:rFonts w:ascii="Verdana" w:hAnsi="Verdana"/>
          <w:bCs/>
          <w:sz w:val="20"/>
          <w:szCs w:val="20"/>
        </w:rPr>
        <w:t>poprzednim</w:t>
      </w:r>
      <w:r w:rsidR="00C37F87" w:rsidRPr="00F518EC">
        <w:rPr>
          <w:rFonts w:ascii="Verdana" w:hAnsi="Verdana"/>
          <w:bCs/>
          <w:sz w:val="20"/>
          <w:szCs w:val="20"/>
        </w:rPr>
        <w:t xml:space="preserve"> stwierdzono co najmniej jedną z następujących nieprawidłowości w zakresie prowadzonej dokumentacji oraz wykonywania badań technicznych, np.:</w:t>
      </w:r>
    </w:p>
    <w:p w:rsidR="00C37F87" w:rsidRPr="00F518EC" w:rsidRDefault="00C37F87" w:rsidP="00CD29F0">
      <w:pPr>
        <w:numPr>
          <w:ilvl w:val="0"/>
          <w:numId w:val="3"/>
        </w:numPr>
        <w:spacing w:line="288" w:lineRule="auto"/>
        <w:ind w:left="567" w:hanging="283"/>
        <w:rPr>
          <w:rFonts w:ascii="Verdana" w:hAnsi="Verdana"/>
          <w:sz w:val="20"/>
          <w:szCs w:val="20"/>
        </w:rPr>
      </w:pPr>
      <w:r w:rsidRPr="00F518EC">
        <w:rPr>
          <w:rFonts w:ascii="Verdana" w:hAnsi="Verdana"/>
          <w:sz w:val="20"/>
          <w:szCs w:val="20"/>
        </w:rPr>
        <w:t>wydania przez diagnostę zaświadczenia albo dokonanie wpisu do dowodu rejestracyjnego pojazdu niezgodnie ze stanem faktycznym lub przepisami;</w:t>
      </w:r>
    </w:p>
    <w:p w:rsidR="00C37F87" w:rsidRPr="00F518EC" w:rsidRDefault="00C37F87" w:rsidP="00CD29F0">
      <w:pPr>
        <w:numPr>
          <w:ilvl w:val="0"/>
          <w:numId w:val="3"/>
        </w:numPr>
        <w:spacing w:line="288" w:lineRule="auto"/>
        <w:ind w:left="567" w:hanging="283"/>
        <w:rPr>
          <w:rFonts w:ascii="Verdana" w:hAnsi="Verdana"/>
          <w:bCs/>
          <w:sz w:val="20"/>
          <w:szCs w:val="20"/>
        </w:rPr>
      </w:pPr>
      <w:r w:rsidRPr="00F518EC">
        <w:rPr>
          <w:rFonts w:ascii="Verdana" w:hAnsi="Verdana"/>
          <w:bCs/>
          <w:sz w:val="20"/>
          <w:szCs w:val="20"/>
        </w:rPr>
        <w:t>przekazywania danych do Centralnej Ewidencji Pojazdów z uchybieniem terminu;</w:t>
      </w:r>
    </w:p>
    <w:p w:rsidR="00C37F87" w:rsidRPr="00F518EC" w:rsidRDefault="00C37F87" w:rsidP="00CD29F0">
      <w:pPr>
        <w:numPr>
          <w:ilvl w:val="0"/>
          <w:numId w:val="3"/>
        </w:numPr>
        <w:spacing w:line="288" w:lineRule="auto"/>
        <w:ind w:left="567" w:hanging="283"/>
        <w:rPr>
          <w:rFonts w:ascii="Verdana" w:hAnsi="Verdana"/>
          <w:sz w:val="20"/>
          <w:szCs w:val="20"/>
        </w:rPr>
      </w:pPr>
      <w:r w:rsidRPr="00F518EC">
        <w:rPr>
          <w:rFonts w:ascii="Verdana" w:hAnsi="Verdana"/>
          <w:sz w:val="20"/>
          <w:szCs w:val="20"/>
        </w:rPr>
        <w:t xml:space="preserve">przeprowadzenia przez diagnostę badania technicznego niezgodnie </w:t>
      </w:r>
      <w:r w:rsidRPr="00F518EC">
        <w:rPr>
          <w:rFonts w:ascii="Verdana" w:hAnsi="Verdana"/>
          <w:sz w:val="20"/>
          <w:szCs w:val="20"/>
        </w:rPr>
        <w:br/>
        <w:t>z określonym zakresem i sposobem wykonania.</w:t>
      </w:r>
    </w:p>
    <w:p w:rsidR="00C37F87" w:rsidRPr="00F518EC" w:rsidRDefault="00C37F87" w:rsidP="00CD29F0">
      <w:pPr>
        <w:spacing w:line="288" w:lineRule="auto"/>
        <w:ind w:left="284"/>
        <w:rPr>
          <w:rFonts w:ascii="Verdana" w:hAnsi="Verdana"/>
          <w:sz w:val="20"/>
          <w:szCs w:val="20"/>
        </w:rPr>
      </w:pPr>
      <w:r w:rsidRPr="00F518EC">
        <w:rPr>
          <w:rFonts w:ascii="Verdana" w:hAnsi="Verdana"/>
          <w:sz w:val="20"/>
          <w:szCs w:val="20"/>
        </w:rPr>
        <w:t>Ponadto na średnim poziomie prawdopodobieństwa naruszenia prawa kwalifi</w:t>
      </w:r>
      <w:r w:rsidR="003A30FD">
        <w:rPr>
          <w:rFonts w:ascii="Verdana" w:hAnsi="Verdana"/>
          <w:sz w:val="20"/>
          <w:szCs w:val="20"/>
        </w:rPr>
        <w:t>kowane są</w:t>
      </w:r>
      <w:r w:rsidRPr="00F518EC">
        <w:rPr>
          <w:rFonts w:ascii="Verdana" w:hAnsi="Verdana"/>
          <w:sz w:val="20"/>
          <w:szCs w:val="20"/>
        </w:rPr>
        <w:t xml:space="preserve"> stacje w związku z otrzymaną przez organ informacją </w:t>
      </w:r>
      <w:r w:rsidRPr="00F518EC">
        <w:rPr>
          <w:rFonts w:ascii="Verdana" w:hAnsi="Verdana"/>
          <w:sz w:val="20"/>
          <w:szCs w:val="20"/>
        </w:rPr>
        <w:br/>
        <w:t>o możliwości naruszenia warunków działalności regulowanej.</w:t>
      </w:r>
    </w:p>
    <w:p w:rsidR="003A30FD" w:rsidRPr="003A30FD" w:rsidRDefault="00C37F87" w:rsidP="00CD29F0">
      <w:pPr>
        <w:pStyle w:val="Akapitzlist"/>
        <w:numPr>
          <w:ilvl w:val="0"/>
          <w:numId w:val="5"/>
        </w:numPr>
        <w:spacing w:before="120" w:line="288" w:lineRule="auto"/>
        <w:ind w:left="284" w:hanging="284"/>
        <w:rPr>
          <w:rFonts w:ascii="Verdana" w:hAnsi="Verdana"/>
          <w:sz w:val="20"/>
          <w:szCs w:val="20"/>
        </w:rPr>
      </w:pPr>
      <w:r w:rsidRPr="00F518EC">
        <w:rPr>
          <w:rFonts w:ascii="Verdana" w:hAnsi="Verdana"/>
          <w:bCs/>
          <w:sz w:val="20"/>
          <w:szCs w:val="20"/>
        </w:rPr>
        <w:t>Prawdopodobieństwo naruszenia prawa na poziomie WYSOKIM</w:t>
      </w:r>
      <w:r w:rsidR="003A30FD">
        <w:rPr>
          <w:rFonts w:ascii="Verdana" w:hAnsi="Verdana"/>
          <w:bCs/>
          <w:sz w:val="20"/>
          <w:szCs w:val="20"/>
        </w:rPr>
        <w:t>.</w:t>
      </w:r>
    </w:p>
    <w:p w:rsidR="00C37F87" w:rsidRPr="00F518EC" w:rsidRDefault="003A30FD" w:rsidP="00CD29F0">
      <w:pPr>
        <w:pStyle w:val="Akapitzlist"/>
        <w:spacing w:before="240" w:line="288" w:lineRule="auto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="00C37F87" w:rsidRPr="00F518EC">
        <w:rPr>
          <w:rFonts w:ascii="Verdana" w:hAnsi="Verdana"/>
          <w:bCs/>
          <w:sz w:val="20"/>
          <w:szCs w:val="20"/>
        </w:rPr>
        <w:t xml:space="preserve">odczas kontroli przeprowadzonej w stacji w roku </w:t>
      </w:r>
      <w:r>
        <w:rPr>
          <w:rFonts w:ascii="Verdana" w:hAnsi="Verdana"/>
          <w:bCs/>
          <w:sz w:val="20"/>
          <w:szCs w:val="20"/>
        </w:rPr>
        <w:t>poprzednim</w:t>
      </w:r>
      <w:r w:rsidR="00C37F87" w:rsidRPr="00F518EC">
        <w:rPr>
          <w:rFonts w:ascii="Verdana" w:hAnsi="Verdana"/>
          <w:bCs/>
          <w:sz w:val="20"/>
          <w:szCs w:val="20"/>
        </w:rPr>
        <w:t xml:space="preserve"> stwierdzono </w:t>
      </w:r>
      <w:r w:rsidR="00C37F87" w:rsidRPr="00F518EC">
        <w:rPr>
          <w:rFonts w:ascii="Verdana" w:hAnsi="Verdana"/>
          <w:sz w:val="20"/>
          <w:szCs w:val="20"/>
        </w:rPr>
        <w:t>naruszenia</w:t>
      </w:r>
      <w:r>
        <w:rPr>
          <w:rFonts w:ascii="Verdana" w:hAnsi="Verdana"/>
          <w:sz w:val="20"/>
          <w:szCs w:val="20"/>
        </w:rPr>
        <w:t>,</w:t>
      </w:r>
      <w:r w:rsidR="00C37F87" w:rsidRPr="00F518EC">
        <w:rPr>
          <w:rFonts w:ascii="Verdana" w:hAnsi="Verdana"/>
          <w:sz w:val="20"/>
          <w:szCs w:val="20"/>
        </w:rPr>
        <w:t xml:space="preserve"> </w:t>
      </w:r>
      <w:r w:rsidRPr="00F518EC">
        <w:rPr>
          <w:rFonts w:ascii="Verdana" w:hAnsi="Verdana"/>
          <w:sz w:val="20"/>
          <w:szCs w:val="20"/>
        </w:rPr>
        <w:t>przez przedsiębiorcę</w:t>
      </w:r>
      <w:r>
        <w:rPr>
          <w:rFonts w:ascii="Verdana" w:hAnsi="Verdana"/>
          <w:sz w:val="20"/>
          <w:szCs w:val="20"/>
        </w:rPr>
        <w:t>,</w:t>
      </w:r>
      <w:r w:rsidRPr="00F518EC">
        <w:rPr>
          <w:rFonts w:ascii="Verdana" w:hAnsi="Verdana"/>
          <w:sz w:val="20"/>
          <w:szCs w:val="20"/>
        </w:rPr>
        <w:t xml:space="preserve"> </w:t>
      </w:r>
      <w:r w:rsidR="00C37F87" w:rsidRPr="00F518EC">
        <w:rPr>
          <w:rFonts w:ascii="Verdana" w:hAnsi="Verdana"/>
          <w:sz w:val="20"/>
          <w:szCs w:val="20"/>
        </w:rPr>
        <w:t>w zakresie art. 83 ust. 3 ustawy</w:t>
      </w:r>
      <w:r>
        <w:rPr>
          <w:rFonts w:ascii="Verdana" w:hAnsi="Verdana"/>
          <w:sz w:val="20"/>
          <w:szCs w:val="20"/>
        </w:rPr>
        <w:t xml:space="preserve"> Prawo o ruchu drogowym</w:t>
      </w:r>
      <w:r w:rsidR="00C37F87" w:rsidRPr="00F518EC">
        <w:rPr>
          <w:rFonts w:ascii="Verdana" w:hAnsi="Verdana"/>
          <w:sz w:val="20"/>
          <w:szCs w:val="20"/>
        </w:rPr>
        <w:t>, bowie</w:t>
      </w:r>
      <w:r>
        <w:rPr>
          <w:rFonts w:ascii="Verdana" w:hAnsi="Verdana"/>
          <w:sz w:val="20"/>
          <w:szCs w:val="20"/>
        </w:rPr>
        <w:t xml:space="preserve">m </w:t>
      </w:r>
      <w:r w:rsidR="00C37F87" w:rsidRPr="00F518EC">
        <w:rPr>
          <w:rFonts w:ascii="Verdana" w:hAnsi="Verdana"/>
          <w:sz w:val="20"/>
          <w:szCs w:val="20"/>
        </w:rPr>
        <w:t>stację kontroli pojazdów może prowadzić przedsiębiorca, który:</w:t>
      </w:r>
    </w:p>
    <w:p w:rsidR="00C37F87" w:rsidRPr="00F518EC" w:rsidRDefault="00C37F87" w:rsidP="00CD29F0">
      <w:pPr>
        <w:numPr>
          <w:ilvl w:val="0"/>
          <w:numId w:val="3"/>
        </w:numPr>
        <w:spacing w:line="288" w:lineRule="auto"/>
        <w:ind w:left="567" w:hanging="283"/>
        <w:rPr>
          <w:rFonts w:ascii="Verdana" w:hAnsi="Verdana"/>
          <w:sz w:val="20"/>
          <w:szCs w:val="20"/>
        </w:rPr>
      </w:pPr>
      <w:r w:rsidRPr="00F518EC">
        <w:rPr>
          <w:rFonts w:ascii="Verdana" w:hAnsi="Verdana"/>
          <w:sz w:val="20"/>
          <w:szCs w:val="20"/>
        </w:rPr>
        <w:t>posiada siedzibę lub miejsce zamieszkania na terytorium Rzeczypospolitej Polskiej;</w:t>
      </w:r>
    </w:p>
    <w:p w:rsidR="00C37F87" w:rsidRPr="00F518EC" w:rsidRDefault="00C37F87" w:rsidP="00CD29F0">
      <w:pPr>
        <w:numPr>
          <w:ilvl w:val="0"/>
          <w:numId w:val="3"/>
        </w:numPr>
        <w:spacing w:line="288" w:lineRule="auto"/>
        <w:ind w:left="567" w:hanging="283"/>
        <w:rPr>
          <w:rFonts w:ascii="Verdana" w:hAnsi="Verdana"/>
          <w:sz w:val="20"/>
          <w:szCs w:val="20"/>
        </w:rPr>
      </w:pPr>
      <w:r w:rsidRPr="00F518EC">
        <w:rPr>
          <w:rFonts w:ascii="Verdana" w:hAnsi="Verdana"/>
          <w:sz w:val="20"/>
          <w:szCs w:val="20"/>
        </w:rPr>
        <w:t>nie jest przedsiębiorcą, w stosunku, do którego otwarto likwidację lub ogłoszono upadłość;</w:t>
      </w:r>
    </w:p>
    <w:p w:rsidR="00C37F87" w:rsidRPr="00F518EC" w:rsidRDefault="00C37F87" w:rsidP="00CD29F0">
      <w:pPr>
        <w:numPr>
          <w:ilvl w:val="0"/>
          <w:numId w:val="3"/>
        </w:numPr>
        <w:spacing w:line="288" w:lineRule="auto"/>
        <w:ind w:left="567" w:hanging="283"/>
        <w:rPr>
          <w:rFonts w:ascii="Verdana" w:hAnsi="Verdana"/>
          <w:sz w:val="20"/>
          <w:szCs w:val="20"/>
        </w:rPr>
      </w:pPr>
      <w:r w:rsidRPr="00F518EC">
        <w:rPr>
          <w:rFonts w:ascii="Verdana" w:hAnsi="Verdana"/>
          <w:sz w:val="20"/>
          <w:szCs w:val="20"/>
        </w:rPr>
        <w:t>nie był prawomocnie skazany za przestępstwo popełnione w celu osiągnięcia korzyści majątkowej lub przestępstwo przeciwko dokumentom – dotyczy osoby fizycznej lub członków organów osoby prawnej;</w:t>
      </w:r>
    </w:p>
    <w:p w:rsidR="00C37F87" w:rsidRPr="00F518EC" w:rsidRDefault="00C37F87" w:rsidP="00CD29F0">
      <w:pPr>
        <w:numPr>
          <w:ilvl w:val="0"/>
          <w:numId w:val="3"/>
        </w:numPr>
        <w:spacing w:line="288" w:lineRule="auto"/>
        <w:ind w:left="567" w:hanging="283"/>
        <w:rPr>
          <w:rFonts w:ascii="Verdana" w:hAnsi="Verdana"/>
          <w:sz w:val="20"/>
          <w:szCs w:val="20"/>
        </w:rPr>
      </w:pPr>
      <w:r w:rsidRPr="00F518EC">
        <w:rPr>
          <w:rFonts w:ascii="Verdana" w:hAnsi="Verdana"/>
          <w:sz w:val="20"/>
          <w:szCs w:val="20"/>
        </w:rPr>
        <w:t>posiada wyposażenie kontrolno-pomiarowe oraz warunki lokalowe gwarantujące wykonywanie odpowiedniego zakresu badań technicznych pojazdów zgodnie ze szczegółowymi warunkami przeprowadzania tych badań;</w:t>
      </w:r>
    </w:p>
    <w:p w:rsidR="00C37F87" w:rsidRPr="00F518EC" w:rsidRDefault="00C37F87" w:rsidP="00CD29F0">
      <w:pPr>
        <w:numPr>
          <w:ilvl w:val="0"/>
          <w:numId w:val="3"/>
        </w:numPr>
        <w:spacing w:line="288" w:lineRule="auto"/>
        <w:ind w:left="567" w:hanging="283"/>
        <w:rPr>
          <w:rFonts w:ascii="Verdana" w:hAnsi="Verdana"/>
          <w:sz w:val="20"/>
          <w:szCs w:val="20"/>
        </w:rPr>
      </w:pPr>
      <w:r w:rsidRPr="00F518EC">
        <w:rPr>
          <w:rFonts w:ascii="Verdana" w:hAnsi="Verdana"/>
          <w:sz w:val="20"/>
          <w:szCs w:val="20"/>
        </w:rPr>
        <w:t xml:space="preserve">posiada poświadczenie zgodności wyposażenia i warunków lokalowych </w:t>
      </w:r>
      <w:r w:rsidRPr="00F518EC">
        <w:rPr>
          <w:rFonts w:ascii="Verdana" w:hAnsi="Verdana"/>
          <w:sz w:val="20"/>
          <w:szCs w:val="20"/>
        </w:rPr>
        <w:br/>
        <w:t>z wymaganiami odpowiednio do zakresu przeprowadzanych badań wpisanego do rejestru przedsiębiorców prowadzących stację kontroli pojazdów;</w:t>
      </w:r>
    </w:p>
    <w:p w:rsidR="00C37F87" w:rsidRPr="00F518EC" w:rsidRDefault="00C37F87" w:rsidP="00CD29F0">
      <w:pPr>
        <w:numPr>
          <w:ilvl w:val="0"/>
          <w:numId w:val="3"/>
        </w:numPr>
        <w:spacing w:line="288" w:lineRule="auto"/>
        <w:ind w:left="567" w:hanging="283"/>
        <w:rPr>
          <w:rFonts w:ascii="Verdana" w:hAnsi="Verdana"/>
          <w:sz w:val="20"/>
          <w:szCs w:val="20"/>
        </w:rPr>
      </w:pPr>
      <w:r w:rsidRPr="00F518EC">
        <w:rPr>
          <w:rFonts w:ascii="Verdana" w:hAnsi="Verdana"/>
          <w:sz w:val="20"/>
          <w:szCs w:val="20"/>
        </w:rPr>
        <w:t>zatrudnia uprawnionych diagnostów.</w:t>
      </w:r>
    </w:p>
    <w:p w:rsidR="0032622A" w:rsidRPr="00CD29F0" w:rsidRDefault="00C37F87" w:rsidP="00CD29F0">
      <w:pPr>
        <w:spacing w:line="288" w:lineRule="auto"/>
        <w:ind w:left="284"/>
        <w:rPr>
          <w:rFonts w:ascii="Verdana" w:hAnsi="Verdana"/>
          <w:sz w:val="20"/>
          <w:szCs w:val="20"/>
        </w:rPr>
      </w:pPr>
      <w:r w:rsidRPr="00F518EC">
        <w:rPr>
          <w:rFonts w:ascii="Verdana" w:hAnsi="Verdana"/>
          <w:sz w:val="20"/>
          <w:szCs w:val="20"/>
        </w:rPr>
        <w:t>Do grupy tej zalicz</w:t>
      </w:r>
      <w:r w:rsidR="004B4384">
        <w:rPr>
          <w:rFonts w:ascii="Verdana" w:hAnsi="Verdana"/>
          <w:sz w:val="20"/>
          <w:szCs w:val="20"/>
        </w:rPr>
        <w:t>a się</w:t>
      </w:r>
      <w:r w:rsidRPr="00F518EC">
        <w:rPr>
          <w:rFonts w:ascii="Verdana" w:hAnsi="Verdana"/>
          <w:sz w:val="20"/>
          <w:szCs w:val="20"/>
        </w:rPr>
        <w:t xml:space="preserve"> również nowo utworzone stacje kontroli pojazdów, które zostały wpisane do rejestru działalności regulowanej w roku </w:t>
      </w:r>
      <w:r w:rsidR="004B4384">
        <w:rPr>
          <w:rFonts w:ascii="Verdana" w:hAnsi="Verdana"/>
          <w:sz w:val="20"/>
          <w:szCs w:val="20"/>
        </w:rPr>
        <w:t>poprzednim</w:t>
      </w:r>
      <w:r w:rsidRPr="00F518EC">
        <w:rPr>
          <w:rFonts w:ascii="Verdana" w:hAnsi="Verdana"/>
          <w:sz w:val="20"/>
          <w:szCs w:val="20"/>
        </w:rPr>
        <w:t xml:space="preserve"> </w:t>
      </w:r>
      <w:r w:rsidRPr="00F518EC">
        <w:rPr>
          <w:rFonts w:ascii="Verdana" w:hAnsi="Verdana"/>
          <w:sz w:val="20"/>
          <w:szCs w:val="20"/>
        </w:rPr>
        <w:br/>
        <w:t xml:space="preserve">i zatwierdzone w planie kontroli na rok </w:t>
      </w:r>
      <w:r w:rsidR="004B4384">
        <w:rPr>
          <w:rFonts w:ascii="Verdana" w:hAnsi="Verdana"/>
          <w:sz w:val="20"/>
          <w:szCs w:val="20"/>
        </w:rPr>
        <w:t>bieżący</w:t>
      </w:r>
      <w:r w:rsidRPr="00F518EC">
        <w:rPr>
          <w:rFonts w:ascii="Verdana" w:hAnsi="Verdana"/>
          <w:sz w:val="20"/>
          <w:szCs w:val="20"/>
        </w:rPr>
        <w:t>.</w:t>
      </w:r>
    </w:p>
    <w:sectPr w:rsidR="0032622A" w:rsidRPr="00CD29F0" w:rsidSect="0005523F">
      <w:footerReference w:type="default" r:id="rId7"/>
      <w:pgSz w:w="11906" w:h="16838" w:code="9"/>
      <w:pgMar w:top="1134" w:right="1814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ED3" w:rsidRDefault="00C16ED3">
      <w:r>
        <w:separator/>
      </w:r>
    </w:p>
  </w:endnote>
  <w:endnote w:type="continuationSeparator" w:id="0">
    <w:p w:rsidR="00C16ED3" w:rsidRDefault="00C16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F64" w:rsidRPr="00995C18" w:rsidRDefault="004B4384">
    <w:pPr>
      <w:pStyle w:val="Stopka"/>
      <w:jc w:val="center"/>
      <w:rPr>
        <w:rFonts w:ascii="Verdana" w:hAnsi="Verdana"/>
        <w:sz w:val="16"/>
      </w:rPr>
    </w:pPr>
    <w:r w:rsidRPr="00995C18">
      <w:rPr>
        <w:rFonts w:ascii="Verdana" w:hAnsi="Verdana"/>
        <w:sz w:val="16"/>
      </w:rPr>
      <w:t xml:space="preserve">Strona </w:t>
    </w:r>
    <w:r w:rsidR="00C56FD1" w:rsidRPr="00995C18">
      <w:rPr>
        <w:rFonts w:ascii="Verdana" w:hAnsi="Verdana"/>
        <w:sz w:val="16"/>
      </w:rPr>
      <w:fldChar w:fldCharType="begin"/>
    </w:r>
    <w:r w:rsidRPr="00995C18">
      <w:rPr>
        <w:rFonts w:ascii="Verdana" w:hAnsi="Verdana"/>
        <w:sz w:val="16"/>
      </w:rPr>
      <w:instrText>PAGE</w:instrText>
    </w:r>
    <w:r w:rsidR="00C56FD1" w:rsidRPr="00995C18">
      <w:rPr>
        <w:rFonts w:ascii="Verdana" w:hAnsi="Verdana"/>
        <w:sz w:val="16"/>
      </w:rPr>
      <w:fldChar w:fldCharType="separate"/>
    </w:r>
    <w:r w:rsidR="00CD29F0">
      <w:rPr>
        <w:rFonts w:ascii="Verdana" w:hAnsi="Verdana"/>
        <w:noProof/>
        <w:sz w:val="16"/>
      </w:rPr>
      <w:t>1</w:t>
    </w:r>
    <w:r w:rsidR="00C56FD1" w:rsidRPr="00995C18">
      <w:rPr>
        <w:rFonts w:ascii="Verdana" w:hAnsi="Verdana"/>
        <w:sz w:val="16"/>
      </w:rPr>
      <w:fldChar w:fldCharType="end"/>
    </w:r>
    <w:r w:rsidRPr="00995C18">
      <w:rPr>
        <w:rFonts w:ascii="Verdana" w:hAnsi="Verdana"/>
        <w:sz w:val="16"/>
      </w:rPr>
      <w:t xml:space="preserve"> z </w:t>
    </w:r>
    <w:r w:rsidR="00C56FD1" w:rsidRPr="00995C18">
      <w:rPr>
        <w:rFonts w:ascii="Verdana" w:hAnsi="Verdana"/>
        <w:sz w:val="16"/>
      </w:rPr>
      <w:fldChar w:fldCharType="begin"/>
    </w:r>
    <w:r w:rsidRPr="00995C18">
      <w:rPr>
        <w:rFonts w:ascii="Verdana" w:hAnsi="Verdana"/>
        <w:sz w:val="16"/>
      </w:rPr>
      <w:instrText>NUMPAGES</w:instrText>
    </w:r>
    <w:r w:rsidR="00C56FD1" w:rsidRPr="00995C18">
      <w:rPr>
        <w:rFonts w:ascii="Verdana" w:hAnsi="Verdana"/>
        <w:sz w:val="16"/>
      </w:rPr>
      <w:fldChar w:fldCharType="separate"/>
    </w:r>
    <w:r w:rsidR="00CD29F0">
      <w:rPr>
        <w:rFonts w:ascii="Verdana" w:hAnsi="Verdana"/>
        <w:noProof/>
        <w:sz w:val="16"/>
      </w:rPr>
      <w:t>1</w:t>
    </w:r>
    <w:r w:rsidR="00C56FD1" w:rsidRPr="00995C18">
      <w:rPr>
        <w:rFonts w:ascii="Verdana" w:hAnsi="Verdana"/>
        <w:sz w:val="16"/>
      </w:rPr>
      <w:fldChar w:fldCharType="end"/>
    </w:r>
  </w:p>
  <w:p w:rsidR="00274F64" w:rsidRDefault="00CD29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ED3" w:rsidRDefault="00C16ED3">
      <w:r>
        <w:separator/>
      </w:r>
    </w:p>
  </w:footnote>
  <w:footnote w:type="continuationSeparator" w:id="0">
    <w:p w:rsidR="00C16ED3" w:rsidRDefault="00C16E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52D"/>
    <w:multiLevelType w:val="hybridMultilevel"/>
    <w:tmpl w:val="B84A6836"/>
    <w:lvl w:ilvl="0" w:tplc="C4B61D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7B730F8"/>
    <w:multiLevelType w:val="hybridMultilevel"/>
    <w:tmpl w:val="D4FA0312"/>
    <w:lvl w:ilvl="0" w:tplc="CB4E1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36275"/>
    <w:multiLevelType w:val="hybridMultilevel"/>
    <w:tmpl w:val="E6866A60"/>
    <w:lvl w:ilvl="0" w:tplc="BDEA6CE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109093B"/>
    <w:multiLevelType w:val="hybridMultilevel"/>
    <w:tmpl w:val="853607B0"/>
    <w:lvl w:ilvl="0" w:tplc="56904994">
      <w:start w:val="12"/>
      <w:numFmt w:val="bullet"/>
      <w:lvlText w:val="-"/>
      <w:lvlJc w:val="left"/>
      <w:pPr>
        <w:ind w:left="1353" w:hanging="360"/>
      </w:pPr>
      <w:rPr>
        <w:rFonts w:ascii="OpenSymbol" w:eastAsia="Times New Roman" w:hAnsi="Open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3735561"/>
    <w:multiLevelType w:val="hybridMultilevel"/>
    <w:tmpl w:val="0EF410DA"/>
    <w:lvl w:ilvl="0" w:tplc="DDE42DF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847"/>
    <w:rsid w:val="0032622A"/>
    <w:rsid w:val="003A30FD"/>
    <w:rsid w:val="003D4D7E"/>
    <w:rsid w:val="004B4384"/>
    <w:rsid w:val="007A1056"/>
    <w:rsid w:val="00873E3A"/>
    <w:rsid w:val="009C64CF"/>
    <w:rsid w:val="00AC48D2"/>
    <w:rsid w:val="00AE697C"/>
    <w:rsid w:val="00C16ED3"/>
    <w:rsid w:val="00C37F87"/>
    <w:rsid w:val="00C56FD1"/>
    <w:rsid w:val="00CD29F0"/>
    <w:rsid w:val="00D2749A"/>
    <w:rsid w:val="00DD319E"/>
    <w:rsid w:val="00E6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37F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F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C37F87"/>
    <w:rPr>
      <w:rFonts w:cs="Times New Roman"/>
    </w:rPr>
  </w:style>
  <w:style w:type="paragraph" w:styleId="Akapitzlist">
    <w:name w:val="List Paragraph"/>
    <w:basedOn w:val="Normalny"/>
    <w:uiPriority w:val="34"/>
    <w:qFormat/>
    <w:rsid w:val="00C37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Bierć-Goniprowska Wioletta</dc:creator>
  <cp:keywords/>
  <dc:description/>
  <cp:lastModifiedBy>umolle01</cp:lastModifiedBy>
  <cp:revision>10</cp:revision>
  <cp:lastPrinted>2026-01-26T09:21:00Z</cp:lastPrinted>
  <dcterms:created xsi:type="dcterms:W3CDTF">2026-01-20T06:36:00Z</dcterms:created>
  <dcterms:modified xsi:type="dcterms:W3CDTF">2026-01-28T10:55:00Z</dcterms:modified>
</cp:coreProperties>
</file>