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4A70F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33583A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0BC1F1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52BB8" w:rsidRPr="00952BB8">
        <w:rPr>
          <w:rFonts w:ascii="Verdana" w:hAnsi="Verdana"/>
          <w:sz w:val="24"/>
          <w:szCs w:val="24"/>
        </w:rPr>
        <w:t>STOWARZYSZENIE EDUKACJI KRYTYCZNEJ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952BB8" w:rsidRPr="00952BB8">
        <w:rPr>
          <w:rFonts w:ascii="Verdana" w:hAnsi="Verdana"/>
          <w:sz w:val="24"/>
          <w:szCs w:val="24"/>
        </w:rPr>
        <w:t>MŁODZI LIDERZY DIALOGU – PILOTAŻOWY MODEL WSPIERANIA MŁODYCH W DZIAŁANIACH LOKALNYCH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46CEBA4" w14:textId="3ED1C1E3" w:rsidR="0033583A" w:rsidRDefault="0042010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20101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98A88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101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132</cp:revision>
  <cp:lastPrinted>2025-12-04T08:33:00Z</cp:lastPrinted>
  <dcterms:created xsi:type="dcterms:W3CDTF">2025-02-05T07:38:00Z</dcterms:created>
  <dcterms:modified xsi:type="dcterms:W3CDTF">2025-12-04T14:32:00Z</dcterms:modified>
</cp:coreProperties>
</file>