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70BBDCD0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964F6C">
        <w:rPr>
          <w:rFonts w:ascii="Verdana" w:hAnsi="Verdana"/>
          <w:b w:val="0"/>
          <w:bCs/>
          <w:sz w:val="22"/>
          <w:szCs w:val="22"/>
        </w:rPr>
        <w:t>3825/25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2F709A5B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964F6C">
        <w:rPr>
          <w:rFonts w:ascii="Verdana" w:hAnsi="Verdana"/>
          <w:sz w:val="22"/>
          <w:szCs w:val="22"/>
        </w:rPr>
        <w:t>20 listopada 2025 r.</w:t>
      </w:r>
    </w:p>
    <w:p w14:paraId="58B03483" w14:textId="254F07C4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964F6C">
        <w:rPr>
          <w:rFonts w:ascii="Verdana" w:hAnsi="Verdana"/>
          <w:b w:val="0"/>
          <w:sz w:val="22"/>
          <w:szCs w:val="22"/>
        </w:rPr>
        <w:t>672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841FC7">
        <w:rPr>
          <w:rFonts w:ascii="Verdana" w:hAnsi="Verdana"/>
          <w:b w:val="0"/>
          <w:sz w:val="22"/>
          <w:szCs w:val="22"/>
        </w:rPr>
        <w:t>5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964F6C">
        <w:rPr>
          <w:rFonts w:ascii="Verdana" w:hAnsi="Verdana"/>
          <w:b w:val="0"/>
          <w:sz w:val="22"/>
          <w:szCs w:val="22"/>
        </w:rPr>
        <w:t xml:space="preserve"> 20.11.2025 r.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78D9A8C7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044587">
        <w:rPr>
          <w:rFonts w:ascii="Verdana" w:hAnsi="Verdana"/>
          <w:sz w:val="22"/>
          <w:szCs w:val="22"/>
        </w:rPr>
        <w:t>7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5B20C5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5B20C5">
        <w:rPr>
          <w:rFonts w:ascii="Verdana" w:hAnsi="Verdana"/>
          <w:sz w:val="22"/>
          <w:szCs w:val="22"/>
        </w:rPr>
        <w:t>1145</w:t>
      </w:r>
      <w:r w:rsidR="00F97896">
        <w:rPr>
          <w:rFonts w:ascii="Verdana" w:hAnsi="Verdana"/>
          <w:sz w:val="22"/>
          <w:szCs w:val="22"/>
        </w:rPr>
        <w:t xml:space="preserve"> z </w:t>
      </w:r>
      <w:proofErr w:type="spellStart"/>
      <w:r w:rsidR="00F97896">
        <w:rPr>
          <w:rFonts w:ascii="Verdana" w:hAnsi="Verdana"/>
          <w:sz w:val="22"/>
          <w:szCs w:val="22"/>
        </w:rPr>
        <w:t>pózn</w:t>
      </w:r>
      <w:proofErr w:type="spellEnd"/>
      <w:r w:rsidR="00F97896">
        <w:rPr>
          <w:rFonts w:ascii="Verdana" w:hAnsi="Verdana"/>
          <w:sz w:val="22"/>
          <w:szCs w:val="22"/>
        </w:rPr>
        <w:t>. zm.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044587">
        <w:rPr>
          <w:rFonts w:ascii="Verdana" w:hAnsi="Verdana"/>
          <w:sz w:val="22"/>
          <w:szCs w:val="22"/>
        </w:rPr>
        <w:t>2701/25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044587">
        <w:rPr>
          <w:rFonts w:ascii="Verdana" w:hAnsi="Verdana"/>
          <w:sz w:val="22"/>
          <w:szCs w:val="22"/>
        </w:rPr>
        <w:t>16 czerwca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044587">
        <w:rPr>
          <w:rFonts w:ascii="Verdana" w:hAnsi="Verdana"/>
          <w:sz w:val="22"/>
          <w:szCs w:val="22"/>
        </w:rPr>
        <w:t xml:space="preserve">5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512CE2E3" w:rsidR="004469F7" w:rsidRPr="00045D7F" w:rsidRDefault="00802DE8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B04B89">
        <w:rPr>
          <w:rFonts w:ascii="Verdana" w:hAnsi="Verdana"/>
          <w:sz w:val="22"/>
          <w:szCs w:val="22"/>
        </w:rPr>
        <w:t xml:space="preserve">użytkowego </w:t>
      </w:r>
      <w:r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2B17F5F1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r w:rsidR="00044587">
        <w:rPr>
          <w:rFonts w:ascii="Verdana" w:hAnsi="Verdana"/>
          <w:sz w:val="22"/>
          <w:szCs w:val="22"/>
        </w:rPr>
        <w:t>Gaj</w:t>
      </w:r>
      <w:r w:rsidRPr="00045D7F">
        <w:rPr>
          <w:rFonts w:ascii="Verdana" w:hAnsi="Verdana"/>
          <w:sz w:val="22"/>
          <w:szCs w:val="22"/>
        </w:rPr>
        <w:t>, AM-</w:t>
      </w:r>
      <w:r w:rsidR="005B20C5">
        <w:rPr>
          <w:rFonts w:ascii="Verdana" w:hAnsi="Verdana"/>
          <w:sz w:val="22"/>
          <w:szCs w:val="22"/>
        </w:rPr>
        <w:t>8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044587">
        <w:rPr>
          <w:rFonts w:ascii="Verdana" w:hAnsi="Verdana"/>
          <w:sz w:val="22"/>
          <w:szCs w:val="22"/>
        </w:rPr>
        <w:t>49/18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044587">
        <w:rPr>
          <w:rFonts w:ascii="Verdana" w:hAnsi="Verdana"/>
          <w:sz w:val="22"/>
          <w:szCs w:val="22"/>
        </w:rPr>
        <w:t>206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044587">
        <w:rPr>
          <w:rFonts w:ascii="Verdana" w:hAnsi="Verdana"/>
          <w:bCs/>
          <w:color w:val="000000"/>
          <w:sz w:val="22"/>
          <w:szCs w:val="22"/>
        </w:rPr>
        <w:t>090004</w:t>
      </w:r>
      <w:r w:rsidRPr="00045D7F">
        <w:rPr>
          <w:rFonts w:ascii="Verdana" w:hAnsi="Verdana"/>
          <w:bCs/>
          <w:color w:val="000000"/>
          <w:sz w:val="22"/>
          <w:szCs w:val="22"/>
        </w:rPr>
        <w:t>/</w:t>
      </w:r>
      <w:r w:rsidR="00044587">
        <w:rPr>
          <w:rFonts w:ascii="Verdana" w:hAnsi="Verdana"/>
          <w:bCs/>
          <w:color w:val="000000"/>
          <w:sz w:val="22"/>
          <w:szCs w:val="22"/>
        </w:rPr>
        <w:t>5</w:t>
      </w:r>
    </w:p>
    <w:p w14:paraId="0DE5B875" w14:textId="4DF26EE3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044587">
        <w:rPr>
          <w:rFonts w:ascii="Verdana" w:hAnsi="Verdana"/>
          <w:b/>
          <w:sz w:val="22"/>
          <w:szCs w:val="22"/>
        </w:rPr>
        <w:t>Orzechowa 59</w:t>
      </w:r>
      <w:r w:rsidR="00A62F7D">
        <w:rPr>
          <w:rFonts w:ascii="Verdana" w:hAnsi="Verdana"/>
          <w:b/>
          <w:sz w:val="22"/>
          <w:szCs w:val="22"/>
        </w:rPr>
        <w:t xml:space="preserve"> </w:t>
      </w:r>
      <w:r w:rsidR="005D7375" w:rsidRPr="00045D7F">
        <w:rPr>
          <w:rFonts w:ascii="Verdana" w:hAnsi="Verdana"/>
          <w:b/>
          <w:sz w:val="22"/>
          <w:szCs w:val="22"/>
        </w:rPr>
        <w:t>-</w:t>
      </w:r>
      <w:r w:rsidRPr="00045D7F">
        <w:rPr>
          <w:rFonts w:ascii="Verdana" w:hAnsi="Verdana"/>
          <w:b/>
          <w:sz w:val="22"/>
          <w:szCs w:val="22"/>
        </w:rPr>
        <w:t xml:space="preserve"> lokal </w:t>
      </w:r>
      <w:r w:rsidR="00F85046">
        <w:rPr>
          <w:rFonts w:ascii="Verdana" w:hAnsi="Verdana"/>
          <w:b/>
          <w:sz w:val="22"/>
          <w:szCs w:val="22"/>
        </w:rPr>
        <w:t>użytkowy</w:t>
      </w:r>
      <w:r w:rsidR="00BB08C6" w:rsidRPr="00045D7F">
        <w:rPr>
          <w:rFonts w:ascii="Verdana" w:hAnsi="Verdana"/>
          <w:b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numer U</w:t>
      </w:r>
      <w:r w:rsidR="00A62F7D">
        <w:rPr>
          <w:rFonts w:ascii="Verdana" w:hAnsi="Verdana"/>
          <w:b/>
          <w:sz w:val="22"/>
          <w:szCs w:val="22"/>
        </w:rPr>
        <w:t>1A</w:t>
      </w:r>
    </w:p>
    <w:p w14:paraId="40E21E05" w14:textId="66BFD310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9,44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</w:p>
    <w:p w14:paraId="3DA68487" w14:textId="301C0DB3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jednego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pomieszcze</w:t>
      </w:r>
      <w:r w:rsidR="00044587">
        <w:rPr>
          <w:rFonts w:ascii="Verdana" w:hAnsi="Verdana"/>
          <w:sz w:val="22"/>
          <w:szCs w:val="22"/>
        </w:rPr>
        <w:t xml:space="preserve">nia. </w:t>
      </w:r>
      <w:r w:rsidRPr="00045D7F">
        <w:rPr>
          <w:rFonts w:ascii="Verdana" w:hAnsi="Verdana"/>
          <w:sz w:val="22"/>
          <w:szCs w:val="22"/>
        </w:rPr>
        <w:t xml:space="preserve">Lokal położony na </w:t>
      </w:r>
      <w:r w:rsidR="00214999" w:rsidRPr="00045D7F">
        <w:rPr>
          <w:rFonts w:ascii="Verdana" w:hAnsi="Verdana"/>
          <w:sz w:val="22"/>
          <w:szCs w:val="22"/>
        </w:rPr>
        <w:t>I</w:t>
      </w:r>
      <w:r w:rsidRPr="00045D7F">
        <w:rPr>
          <w:rFonts w:ascii="Verdana" w:hAnsi="Verdana"/>
          <w:sz w:val="22"/>
          <w:szCs w:val="22"/>
        </w:rPr>
        <w:t xml:space="preserve"> kondygnacji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(</w:t>
      </w:r>
      <w:r w:rsidR="00044587">
        <w:rPr>
          <w:rFonts w:ascii="Verdana" w:hAnsi="Verdana"/>
          <w:sz w:val="22"/>
          <w:szCs w:val="22"/>
        </w:rPr>
        <w:t>parter – przyziemie)</w:t>
      </w:r>
      <w:r w:rsidR="00F67ADD">
        <w:rPr>
          <w:rFonts w:ascii="Verdana" w:hAnsi="Verdana"/>
          <w:sz w:val="22"/>
          <w:szCs w:val="22"/>
        </w:rPr>
        <w:t>.</w:t>
      </w:r>
      <w:r w:rsidRPr="00045D7F">
        <w:rPr>
          <w:rFonts w:ascii="Verdana" w:hAnsi="Verdana"/>
          <w:sz w:val="22"/>
          <w:szCs w:val="22"/>
        </w:rPr>
        <w:t xml:space="preserve"> Wejście do 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150CF8">
        <w:rPr>
          <w:rFonts w:ascii="Verdana" w:hAnsi="Verdana"/>
          <w:sz w:val="22"/>
          <w:szCs w:val="22"/>
        </w:rPr>
        <w:t xml:space="preserve"> bezpośrednio z chodnika</w:t>
      </w:r>
      <w:r w:rsidR="00044587">
        <w:rPr>
          <w:rFonts w:ascii="Verdana" w:hAnsi="Verdana"/>
          <w:sz w:val="22"/>
          <w:szCs w:val="22"/>
        </w:rPr>
        <w:t xml:space="preserve">. </w:t>
      </w:r>
      <w:r w:rsidRPr="00045D7F">
        <w:rPr>
          <w:rFonts w:ascii="Verdana" w:hAnsi="Verdana"/>
          <w:sz w:val="22"/>
          <w:szCs w:val="22"/>
        </w:rPr>
        <w:t>Lokal przeznaczony na cele inne niż mieszkalne.</w:t>
      </w:r>
    </w:p>
    <w:p w14:paraId="3836F94C" w14:textId="335B2F1F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52</w:t>
      </w:r>
      <w:r w:rsidRPr="00045D7F">
        <w:rPr>
          <w:rFonts w:ascii="Verdana" w:hAnsi="Verdana"/>
          <w:sz w:val="22"/>
          <w:szCs w:val="22"/>
        </w:rPr>
        <w:t>/10000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56B7A4A8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044587">
        <w:rPr>
          <w:rFonts w:ascii="Verdana" w:hAnsi="Verdana"/>
          <w:b/>
          <w:sz w:val="22"/>
          <w:szCs w:val="22"/>
        </w:rPr>
        <w:t>100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044587">
        <w:rPr>
          <w:rFonts w:ascii="Verdana" w:hAnsi="Verdana"/>
          <w:sz w:val="22"/>
          <w:szCs w:val="22"/>
        </w:rPr>
        <w:t xml:space="preserve">sto 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1F748A5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044587">
        <w:rPr>
          <w:rFonts w:ascii="Verdana" w:hAnsi="Verdana"/>
          <w:b/>
          <w:sz w:val="22"/>
          <w:szCs w:val="22"/>
        </w:rPr>
        <w:t>10</w:t>
      </w:r>
      <w:r w:rsidRPr="00045D7F">
        <w:rPr>
          <w:rFonts w:ascii="Verdana" w:hAnsi="Verdana"/>
          <w:b/>
          <w:sz w:val="22"/>
          <w:szCs w:val="22"/>
        </w:rPr>
        <w:t>.</w:t>
      </w:r>
      <w:r w:rsidR="00044587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044587">
        <w:rPr>
          <w:rFonts w:ascii="Verdana" w:hAnsi="Verdana"/>
          <w:sz w:val="22"/>
          <w:szCs w:val="22"/>
        </w:rPr>
        <w:t xml:space="preserve">dziesięć 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04668075" w14:textId="2647A3C2" w:rsidR="00116446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044587">
        <w:rPr>
          <w:rFonts w:ascii="Verdana" w:hAnsi="Verdana"/>
          <w:b/>
          <w:sz w:val="22"/>
          <w:szCs w:val="22"/>
        </w:rPr>
        <w:t>1</w:t>
      </w:r>
      <w:r w:rsidRPr="00045D7F">
        <w:rPr>
          <w:rFonts w:ascii="Verdana" w:hAnsi="Verdana"/>
          <w:b/>
          <w:sz w:val="22"/>
          <w:szCs w:val="22"/>
        </w:rPr>
        <w:t>.</w:t>
      </w:r>
      <w:r w:rsidR="00044587">
        <w:rPr>
          <w:rFonts w:ascii="Verdana" w:hAnsi="Verdana"/>
          <w:b/>
          <w:sz w:val="22"/>
          <w:szCs w:val="22"/>
        </w:rPr>
        <w:t>00</w:t>
      </w:r>
      <w:r w:rsidRPr="00045D7F">
        <w:rPr>
          <w:rFonts w:ascii="Verdana" w:hAnsi="Verdana"/>
          <w:b/>
          <w:sz w:val="22"/>
          <w:szCs w:val="22"/>
        </w:rPr>
        <w:t>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044587">
        <w:rPr>
          <w:rFonts w:ascii="Verdana" w:hAnsi="Verdana"/>
          <w:sz w:val="22"/>
          <w:szCs w:val="22"/>
        </w:rPr>
        <w:t xml:space="preserve">jeden </w:t>
      </w:r>
      <w:r w:rsidR="00B43080" w:rsidRPr="00045D7F">
        <w:rPr>
          <w:rFonts w:ascii="Verdana" w:hAnsi="Verdana"/>
          <w:sz w:val="22"/>
          <w:szCs w:val="22"/>
        </w:rPr>
        <w:t>tysi</w:t>
      </w:r>
      <w:r w:rsidR="001B05B5" w:rsidRPr="00045D7F">
        <w:rPr>
          <w:rFonts w:ascii="Verdana" w:hAnsi="Verdana"/>
          <w:sz w:val="22"/>
          <w:szCs w:val="22"/>
        </w:rPr>
        <w:t>ąc</w:t>
      </w:r>
      <w:r w:rsidR="00E3763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zł</w:t>
      </w:r>
      <w:r w:rsidRPr="00045D7F">
        <w:rPr>
          <w:rFonts w:ascii="Verdana" w:hAnsi="Verdana"/>
          <w:sz w:val="22"/>
          <w:szCs w:val="22"/>
        </w:rPr>
        <w:t>otych)</w:t>
      </w:r>
    </w:p>
    <w:p w14:paraId="6B5AC9B0" w14:textId="410AD036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lastRenderedPageBreak/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 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7E0F8A">
        <w:rPr>
          <w:rFonts w:ascii="Verdana" w:hAnsi="Verdana"/>
          <w:sz w:val="22"/>
          <w:szCs w:val="22"/>
        </w:rPr>
        <w:t>„</w:t>
      </w:r>
      <w:r w:rsidR="00044587" w:rsidRPr="00044587">
        <w:rPr>
          <w:rFonts w:ascii="Verdana" w:hAnsi="Verdana"/>
          <w:b/>
          <w:bCs/>
          <w:sz w:val="22"/>
          <w:szCs w:val="22"/>
        </w:rPr>
        <w:t>Orzechowa 59/U1A</w:t>
      </w:r>
      <w:r w:rsidR="00B42F52" w:rsidRPr="007E0F8A">
        <w:rPr>
          <w:rFonts w:ascii="Verdana" w:hAnsi="Verdana"/>
          <w:sz w:val="22"/>
          <w:szCs w:val="22"/>
        </w:rPr>
        <w:t>”</w:t>
      </w:r>
      <w:r w:rsidR="007E0F8A" w:rsidRPr="007E0F8A">
        <w:rPr>
          <w:rFonts w:ascii="Verdana" w:hAnsi="Verdana"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7E0F8A">
        <w:rPr>
          <w:rFonts w:ascii="Verdana" w:hAnsi="Verdana"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0A85A59B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>Miejskiego Wrocławia, Wrocław, pl. Nowy </w:t>
      </w:r>
      <w:r w:rsidRPr="00917CDA">
        <w:rPr>
          <w:rFonts w:ascii="Verdana" w:hAnsi="Verdana"/>
          <w:sz w:val="22"/>
          <w:szCs w:val="22"/>
        </w:rPr>
        <w:t xml:space="preserve">Targ 1-8 w sali nr 215, </w:t>
      </w:r>
      <w:r w:rsidRPr="007948D8">
        <w:rPr>
          <w:rFonts w:ascii="Verdana" w:hAnsi="Verdana"/>
          <w:sz w:val="22"/>
          <w:szCs w:val="22"/>
        </w:rPr>
        <w:t>godz. 1</w:t>
      </w:r>
      <w:r w:rsidR="00794CD7" w:rsidRPr="007948D8">
        <w:rPr>
          <w:rFonts w:ascii="Verdana" w:hAnsi="Verdana"/>
          <w:sz w:val="22"/>
          <w:szCs w:val="22"/>
        </w:rPr>
        <w:t>0</w:t>
      </w:r>
      <w:r w:rsidRPr="007948D8">
        <w:rPr>
          <w:rFonts w:ascii="Verdana" w:hAnsi="Verdana"/>
          <w:sz w:val="22"/>
          <w:szCs w:val="22"/>
          <w:vertAlign w:val="superscript"/>
        </w:rPr>
        <w:t>00</w:t>
      </w:r>
      <w:r w:rsidRPr="007948D8">
        <w:rPr>
          <w:rFonts w:ascii="Verdana" w:hAnsi="Verdana"/>
          <w:sz w:val="22"/>
          <w:szCs w:val="22"/>
        </w:rPr>
        <w:t xml:space="preserve"> dnia</w:t>
      </w:r>
      <w:r w:rsidR="0043190E" w:rsidRPr="007948D8">
        <w:rPr>
          <w:rFonts w:ascii="Verdana" w:hAnsi="Verdana"/>
          <w:sz w:val="22"/>
          <w:szCs w:val="22"/>
        </w:rPr>
        <w:t xml:space="preserve"> </w:t>
      </w:r>
      <w:r w:rsidR="007948D8" w:rsidRPr="007948D8">
        <w:rPr>
          <w:rFonts w:ascii="Verdana" w:hAnsi="Verdana"/>
          <w:b/>
          <w:bCs/>
          <w:sz w:val="22"/>
          <w:szCs w:val="22"/>
        </w:rPr>
        <w:t>21 stycznia</w:t>
      </w:r>
      <w:r w:rsidR="007948D8" w:rsidRPr="007948D8">
        <w:rPr>
          <w:rFonts w:ascii="Verdana" w:hAnsi="Verdana"/>
          <w:sz w:val="22"/>
          <w:szCs w:val="22"/>
        </w:rPr>
        <w:t xml:space="preserve"> </w:t>
      </w:r>
      <w:r w:rsidR="00917CDA" w:rsidRPr="007948D8">
        <w:rPr>
          <w:rFonts w:ascii="Verdana" w:hAnsi="Verdana"/>
          <w:b/>
          <w:bCs/>
          <w:sz w:val="22"/>
          <w:szCs w:val="22"/>
        </w:rPr>
        <w:t>20</w:t>
      </w:r>
      <w:r w:rsidR="0043190E" w:rsidRPr="007948D8">
        <w:rPr>
          <w:rFonts w:ascii="Verdana" w:hAnsi="Verdana"/>
          <w:b/>
          <w:bCs/>
          <w:sz w:val="22"/>
          <w:szCs w:val="22"/>
        </w:rPr>
        <w:t>2</w:t>
      </w:r>
      <w:r w:rsidR="007948D8" w:rsidRPr="007948D8">
        <w:rPr>
          <w:rFonts w:ascii="Verdana" w:hAnsi="Verdana"/>
          <w:b/>
          <w:bCs/>
          <w:sz w:val="22"/>
          <w:szCs w:val="22"/>
        </w:rPr>
        <w:t>6</w:t>
      </w:r>
      <w:r w:rsidR="0061125A" w:rsidRPr="007948D8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7948D8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35A2982C" w14:textId="187AB30D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7948D8" w:rsidRPr="007948D8">
        <w:rPr>
          <w:rFonts w:ascii="Verdana" w:hAnsi="Verdana" w:cs="Verdana"/>
          <w:b/>
          <w:bCs/>
          <w:sz w:val="22"/>
          <w:szCs w:val="22"/>
        </w:rPr>
        <w:t>14 stycznia 2026</w:t>
      </w:r>
      <w:r w:rsidRPr="007948D8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036A9E">
        <w:rPr>
          <w:rFonts w:ascii="Verdana" w:hAnsi="Verdana" w:cs="Verdana"/>
          <w:b/>
          <w:bCs/>
          <w:sz w:val="22"/>
          <w:szCs w:val="22"/>
        </w:rPr>
        <w:t>Orzechowa 59/U1A”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</w:t>
      </w:r>
      <w:r w:rsidRPr="00045D7F">
        <w:rPr>
          <w:rFonts w:ascii="Verdana" w:hAnsi="Verdana" w:cs="Verdana"/>
          <w:color w:val="000000"/>
          <w:sz w:val="22"/>
          <w:szCs w:val="22"/>
        </w:rPr>
        <w:lastRenderedPageBreak/>
        <w:t>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6C217345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W przetargu mogą brać udział osoby, które wniosą wadium w terminie </w:t>
      </w:r>
      <w:r w:rsidRPr="000F2A57">
        <w:rPr>
          <w:rFonts w:ascii="Verdana" w:hAnsi="Verdana"/>
          <w:sz w:val="22"/>
          <w:szCs w:val="22"/>
        </w:rPr>
        <w:t>wyznaczonym w ogłoszeniu o przetargu. Przetarg rozpoczyna się o godzinie 1</w:t>
      </w:r>
      <w:r w:rsidR="00794CD7" w:rsidRPr="000F2A57">
        <w:rPr>
          <w:rFonts w:ascii="Verdana" w:hAnsi="Verdana"/>
          <w:sz w:val="22"/>
          <w:szCs w:val="22"/>
        </w:rPr>
        <w:t>0</w:t>
      </w:r>
      <w:r w:rsidRPr="000F2A57">
        <w:rPr>
          <w:rFonts w:ascii="Verdana" w:hAnsi="Verdana"/>
          <w:sz w:val="22"/>
          <w:szCs w:val="22"/>
          <w:vertAlign w:val="superscript"/>
        </w:rPr>
        <w:t>00</w:t>
      </w:r>
      <w:r w:rsidRPr="000F2A5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2D5733C0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lastRenderedPageBreak/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036A9E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Orzechowa 59</w:t>
      </w:r>
      <w:r w:rsidR="00924A4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/U1A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788694FA" w14:textId="77777777" w:rsidR="002037D1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2499F1AB" w14:textId="65D5B3E4" w:rsidR="00377B30" w:rsidRPr="002037D1" w:rsidRDefault="00362A2C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037D1">
        <w:rPr>
          <w:rFonts w:ascii="Verdana" w:hAnsi="Verdana"/>
          <w:sz w:val="22"/>
          <w:szCs w:val="22"/>
        </w:rPr>
        <w:t>Nieruchomość</w:t>
      </w:r>
      <w:r w:rsidR="002037D1" w:rsidRPr="002037D1">
        <w:rPr>
          <w:rFonts w:ascii="Verdana" w:hAnsi="Verdana"/>
          <w:sz w:val="22"/>
          <w:szCs w:val="22"/>
        </w:rPr>
        <w:t xml:space="preserve">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t xml:space="preserve">nie znajduje się w obszarze, dla którego Rada Miejska Wrocławia wyznaczyła w drodze uchwały obszar zdegradowany i obszar rewitalizacji 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lastRenderedPageBreak/>
        <w:t xml:space="preserve">w rozumieniu ustawy z dnia 9 października 2015 r. o rewitalizacji (Dz. U. z 2024 r. poz. 278 z </w:t>
      </w:r>
      <w:proofErr w:type="spellStart"/>
      <w:r w:rsidR="002037D1" w:rsidRPr="002037D1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2037D1" w:rsidRPr="002037D1">
        <w:rPr>
          <w:rFonts w:ascii="Verdana" w:hAnsi="Verdana" w:cs="Helv"/>
          <w:color w:val="000000"/>
          <w:sz w:val="22"/>
          <w:szCs w:val="22"/>
        </w:rPr>
        <w:t>. zm.).</w:t>
      </w:r>
    </w:p>
    <w:p w14:paraId="52633062" w14:textId="158D2C95" w:rsidR="002037D1" w:rsidRPr="003D0C53" w:rsidRDefault="002037D1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 xml:space="preserve">Nieruchomość położona na obszarze, dla którego brak jest obowiązującego </w:t>
      </w:r>
      <w:r w:rsidRPr="003D0C53">
        <w:rPr>
          <w:rFonts w:ascii="Verdana" w:hAnsi="Verdana"/>
          <w:sz w:val="22"/>
          <w:szCs w:val="22"/>
        </w:rPr>
        <w:t xml:space="preserve">miejscowego planu zagospodarowania przestrzennego. </w:t>
      </w:r>
    </w:p>
    <w:p w14:paraId="2DF721C4" w14:textId="09E77999" w:rsidR="0044553E" w:rsidRPr="003D0C53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3D0C53">
        <w:rPr>
          <w:rFonts w:ascii="Verdana" w:hAnsi="Verdana"/>
          <w:sz w:val="22"/>
          <w:szCs w:val="22"/>
        </w:rPr>
        <w:t>Zarządcą nieruchomości jest</w:t>
      </w:r>
      <w:r w:rsidR="00A94CEE" w:rsidRPr="003D0C53">
        <w:rPr>
          <w:rFonts w:ascii="Verdana" w:hAnsi="Verdana"/>
          <w:sz w:val="22"/>
          <w:szCs w:val="22"/>
        </w:rPr>
        <w:t xml:space="preserve"> B&amp;P Zarządzanie Nieruchomościami </w:t>
      </w:r>
      <w:r w:rsidR="00D7177A" w:rsidRPr="003D0C53">
        <w:rPr>
          <w:rFonts w:ascii="Verdana" w:hAnsi="Verdana"/>
          <w:sz w:val="22"/>
          <w:szCs w:val="22"/>
        </w:rPr>
        <w:t>sp. z o.o.</w:t>
      </w:r>
      <w:r w:rsidRPr="003D0C53">
        <w:rPr>
          <w:rFonts w:ascii="Verdana" w:hAnsi="Verdana"/>
          <w:sz w:val="22"/>
          <w:szCs w:val="22"/>
        </w:rPr>
        <w:t>,</w:t>
      </w:r>
      <w:r w:rsidR="00826CE2" w:rsidRPr="003D0C53">
        <w:rPr>
          <w:rFonts w:ascii="Verdana" w:hAnsi="Verdana"/>
          <w:sz w:val="22"/>
          <w:szCs w:val="22"/>
        </w:rPr>
        <w:t xml:space="preserve"> </w:t>
      </w:r>
      <w:r w:rsidR="00A24594" w:rsidRPr="003D0C53">
        <w:rPr>
          <w:rFonts w:ascii="Verdana" w:hAnsi="Verdana"/>
          <w:sz w:val="22"/>
          <w:szCs w:val="22"/>
        </w:rPr>
        <w:t>u</w:t>
      </w:r>
      <w:r w:rsidRPr="003D0C53">
        <w:rPr>
          <w:rFonts w:ascii="Verdana" w:hAnsi="Verdana"/>
          <w:sz w:val="22"/>
          <w:szCs w:val="22"/>
        </w:rPr>
        <w:t>l.</w:t>
      </w:r>
      <w:r w:rsidR="0079620D" w:rsidRPr="003D0C53">
        <w:rPr>
          <w:rFonts w:ascii="Verdana" w:hAnsi="Verdana"/>
          <w:sz w:val="22"/>
          <w:szCs w:val="22"/>
        </w:rPr>
        <w:t> </w:t>
      </w:r>
      <w:r w:rsidR="00A94CEE" w:rsidRPr="003D0C53">
        <w:rPr>
          <w:rFonts w:ascii="Verdana" w:hAnsi="Verdana"/>
          <w:sz w:val="22"/>
          <w:szCs w:val="22"/>
        </w:rPr>
        <w:t>Paprotna 5</w:t>
      </w:r>
      <w:r w:rsidR="0079620D" w:rsidRPr="003D0C53">
        <w:rPr>
          <w:rFonts w:ascii="Verdana" w:hAnsi="Verdana"/>
          <w:sz w:val="22"/>
          <w:szCs w:val="22"/>
        </w:rPr>
        <w:t>, 5</w:t>
      </w:r>
      <w:r w:rsidR="00A94CEE" w:rsidRPr="003D0C53">
        <w:rPr>
          <w:rFonts w:ascii="Verdana" w:hAnsi="Verdana"/>
          <w:sz w:val="22"/>
          <w:szCs w:val="22"/>
        </w:rPr>
        <w:t>1</w:t>
      </w:r>
      <w:r w:rsidR="0079620D" w:rsidRPr="003D0C53">
        <w:rPr>
          <w:rFonts w:ascii="Verdana" w:hAnsi="Verdana"/>
          <w:sz w:val="22"/>
          <w:szCs w:val="22"/>
        </w:rPr>
        <w:t>-</w:t>
      </w:r>
      <w:r w:rsidR="00A94CEE" w:rsidRPr="003D0C53">
        <w:rPr>
          <w:rFonts w:ascii="Verdana" w:hAnsi="Verdana"/>
          <w:sz w:val="22"/>
          <w:szCs w:val="22"/>
        </w:rPr>
        <w:t>117</w:t>
      </w:r>
      <w:r w:rsidR="0079620D" w:rsidRPr="003D0C53">
        <w:rPr>
          <w:rFonts w:ascii="Verdana" w:hAnsi="Verdana"/>
          <w:sz w:val="22"/>
          <w:szCs w:val="22"/>
        </w:rPr>
        <w:t xml:space="preserve"> Wrocław</w:t>
      </w:r>
      <w:r w:rsidRPr="003D0C53">
        <w:rPr>
          <w:rFonts w:ascii="Verdana" w:hAnsi="Verdana"/>
          <w:sz w:val="22"/>
          <w:szCs w:val="22"/>
        </w:rPr>
        <w:t xml:space="preserve">, tel. </w:t>
      </w:r>
      <w:r w:rsidR="001572A3" w:rsidRPr="003D0C53">
        <w:rPr>
          <w:rFonts w:ascii="Verdana" w:hAnsi="Verdana"/>
          <w:sz w:val="22"/>
          <w:szCs w:val="22"/>
        </w:rPr>
        <w:t>71-</w:t>
      </w:r>
      <w:r w:rsidR="00A94CEE" w:rsidRPr="003D0C53">
        <w:rPr>
          <w:rFonts w:ascii="Verdana" w:hAnsi="Verdana"/>
          <w:sz w:val="22"/>
          <w:szCs w:val="22"/>
        </w:rPr>
        <w:t>307</w:t>
      </w:r>
      <w:r w:rsidR="001572A3" w:rsidRPr="003D0C53">
        <w:rPr>
          <w:rFonts w:ascii="Verdana" w:hAnsi="Verdana"/>
          <w:sz w:val="22"/>
          <w:szCs w:val="22"/>
        </w:rPr>
        <w:t>-</w:t>
      </w:r>
      <w:r w:rsidR="00A94CEE" w:rsidRPr="003D0C53">
        <w:rPr>
          <w:rFonts w:ascii="Verdana" w:hAnsi="Verdana"/>
          <w:sz w:val="22"/>
          <w:szCs w:val="22"/>
        </w:rPr>
        <w:t>36-36.</w:t>
      </w:r>
    </w:p>
    <w:p w14:paraId="54BC535F" w14:textId="18599441" w:rsidR="003D0C53" w:rsidRDefault="003D0C53" w:rsidP="003D0C53">
      <w:pPr>
        <w:pStyle w:val="Standard"/>
        <w:numPr>
          <w:ilvl w:val="0"/>
          <w:numId w:val="18"/>
        </w:numPr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ze świadectwem charakterystyki energetycznej nr SCHE/18254/2025 z dnia 18.09.202</w:t>
      </w:r>
      <w:r w:rsidR="00B07AFF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r.:</w:t>
      </w:r>
    </w:p>
    <w:p w14:paraId="57D75015" w14:textId="7BD922BC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energię użytkową – </w:t>
      </w:r>
      <w:r>
        <w:rPr>
          <w:rFonts w:ascii="Verdana" w:hAnsi="Verdana"/>
          <w:sz w:val="22"/>
          <w:szCs w:val="22"/>
        </w:rPr>
        <w:br/>
        <w:t xml:space="preserve">EU = </w:t>
      </w:r>
      <w:r w:rsidR="004E7620">
        <w:rPr>
          <w:rFonts w:ascii="Verdana" w:hAnsi="Verdana"/>
          <w:sz w:val="22"/>
          <w:szCs w:val="22"/>
        </w:rPr>
        <w:t>374,86</w:t>
      </w:r>
      <w:r>
        <w:rPr>
          <w:rFonts w:ascii="Verdana" w:hAnsi="Verdana"/>
          <w:sz w:val="22"/>
          <w:szCs w:val="22"/>
        </w:rPr>
        <w:t xml:space="preserve">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rok)</w:t>
      </w:r>
    </w:p>
    <w:p w14:paraId="7A281708" w14:textId="61E2921F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energię końcową – </w:t>
      </w:r>
      <w:r>
        <w:rPr>
          <w:rFonts w:ascii="Verdana" w:hAnsi="Verdana"/>
          <w:sz w:val="22"/>
          <w:szCs w:val="22"/>
        </w:rPr>
        <w:br/>
        <w:t xml:space="preserve">EK = </w:t>
      </w:r>
      <w:r w:rsidR="004E7620">
        <w:rPr>
          <w:rFonts w:ascii="Verdana" w:hAnsi="Verdana"/>
          <w:sz w:val="22"/>
          <w:szCs w:val="22"/>
        </w:rPr>
        <w:t>485,40</w:t>
      </w:r>
      <w:r>
        <w:rPr>
          <w:rFonts w:ascii="Verdana" w:hAnsi="Verdana"/>
          <w:sz w:val="22"/>
          <w:szCs w:val="22"/>
        </w:rPr>
        <w:t xml:space="preserve">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 rok)</w:t>
      </w:r>
    </w:p>
    <w:p w14:paraId="6F089333" w14:textId="6E795830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nieodnawialną energię pierwotną – </w:t>
      </w:r>
      <w:r>
        <w:rPr>
          <w:rFonts w:ascii="Verdana" w:hAnsi="Verdana"/>
          <w:sz w:val="22"/>
          <w:szCs w:val="22"/>
        </w:rPr>
        <w:br/>
        <w:t xml:space="preserve">EP = </w:t>
      </w:r>
      <w:r w:rsidR="003B4A03">
        <w:rPr>
          <w:rFonts w:ascii="Verdana" w:hAnsi="Verdana"/>
          <w:sz w:val="22"/>
          <w:szCs w:val="22"/>
        </w:rPr>
        <w:t>420</w:t>
      </w:r>
      <w:r>
        <w:rPr>
          <w:rFonts w:ascii="Verdana" w:hAnsi="Verdana"/>
          <w:sz w:val="22"/>
          <w:szCs w:val="22"/>
        </w:rPr>
        <w:t>,</w:t>
      </w:r>
      <w:r w:rsidR="003B4A03">
        <w:rPr>
          <w:rFonts w:ascii="Verdana" w:hAnsi="Verdana"/>
          <w:sz w:val="22"/>
          <w:szCs w:val="22"/>
        </w:rPr>
        <w:t>13</w:t>
      </w:r>
      <w:r>
        <w:rPr>
          <w:rFonts w:ascii="Verdana" w:hAnsi="Verdana"/>
          <w:sz w:val="22"/>
          <w:szCs w:val="22"/>
        </w:rPr>
        <w:t xml:space="preserve">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 rok)</w:t>
      </w:r>
    </w:p>
    <w:p w14:paraId="37041120" w14:textId="37639BE2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jednostkowa wielkość emisji CO</w:t>
      </w:r>
      <w:r>
        <w:rPr>
          <w:rFonts w:ascii="Verdana" w:hAnsi="Verdana"/>
          <w:sz w:val="22"/>
          <w:szCs w:val="22"/>
          <w:vertAlign w:val="subscript"/>
        </w:rPr>
        <w:t xml:space="preserve">2 </w:t>
      </w:r>
      <w:r>
        <w:rPr>
          <w:rFonts w:ascii="Verdana" w:hAnsi="Verdana"/>
          <w:sz w:val="22"/>
          <w:szCs w:val="22"/>
        </w:rPr>
        <w:t>– E</w:t>
      </w:r>
      <w:r>
        <w:rPr>
          <w:rFonts w:ascii="Verdana" w:hAnsi="Verdana"/>
          <w:sz w:val="22"/>
          <w:szCs w:val="22"/>
          <w:vertAlign w:val="subscript"/>
        </w:rPr>
        <w:t xml:space="preserve">CO2 </w:t>
      </w:r>
      <w:r>
        <w:rPr>
          <w:rFonts w:ascii="Verdana" w:hAnsi="Verdana"/>
          <w:sz w:val="22"/>
          <w:szCs w:val="22"/>
        </w:rPr>
        <w:t>= 0,</w:t>
      </w:r>
      <w:r w:rsidR="003B4A03">
        <w:rPr>
          <w:rFonts w:ascii="Verdana" w:hAnsi="Verdana"/>
          <w:sz w:val="22"/>
          <w:szCs w:val="22"/>
        </w:rPr>
        <w:t>1635</w:t>
      </w:r>
      <w:r>
        <w:rPr>
          <w:rFonts w:ascii="Verdana" w:hAnsi="Verdana"/>
          <w:sz w:val="22"/>
          <w:szCs w:val="22"/>
        </w:rPr>
        <w:t xml:space="preserve"> t CO</w:t>
      </w:r>
      <w:r>
        <w:rPr>
          <w:rFonts w:ascii="Verdana" w:hAnsi="Verdana"/>
          <w:sz w:val="22"/>
          <w:szCs w:val="22"/>
          <w:vertAlign w:val="subscript"/>
        </w:rPr>
        <w:t>2</w:t>
      </w:r>
      <w:r>
        <w:rPr>
          <w:rFonts w:ascii="Verdana" w:hAnsi="Verdana"/>
          <w:sz w:val="22"/>
          <w:szCs w:val="22"/>
        </w:rPr>
        <w:t>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 rok)</w:t>
      </w:r>
    </w:p>
    <w:p w14:paraId="3211CD5F" w14:textId="77777777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udział odnawialnych źródeł energii w rocznym zapotrzebowaniu na energię końcową – U</w:t>
      </w:r>
      <w:r>
        <w:rPr>
          <w:rFonts w:ascii="Verdana" w:hAnsi="Verdana"/>
          <w:sz w:val="22"/>
          <w:szCs w:val="22"/>
          <w:vertAlign w:val="subscript"/>
        </w:rPr>
        <w:t xml:space="preserve">OZE </w:t>
      </w:r>
      <w:r>
        <w:rPr>
          <w:rFonts w:ascii="Verdana" w:hAnsi="Verdana"/>
          <w:sz w:val="22"/>
          <w:szCs w:val="22"/>
        </w:rPr>
        <w:t>= 0,00%</w:t>
      </w:r>
    </w:p>
    <w:p w14:paraId="4ABBC45F" w14:textId="20695152" w:rsidR="00B07AFF" w:rsidRPr="00B07AFF" w:rsidRDefault="003D0C53" w:rsidP="00B07AFF">
      <w:pPr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Wyżej wymienione świadectwo zostanie przekazane nabywcy przy sporządzeniu aktu notarialnego zbycia prawa własności.</w:t>
      </w:r>
    </w:p>
    <w:p w14:paraId="0BE73AB5" w14:textId="4D70160C" w:rsidR="00B07AFF" w:rsidRPr="00B07AFF" w:rsidRDefault="00B07AFF" w:rsidP="00B07AFF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wspólną.</w:t>
      </w:r>
    </w:p>
    <w:p w14:paraId="4F1ED75E" w14:textId="459D320C" w:rsidR="00B07AFF" w:rsidRPr="00B07AFF" w:rsidRDefault="00802DE8" w:rsidP="00B07AF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516B4B8B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64B38BC5" w14:textId="7F249F1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Cudzoziemcy (w rozumieniu ustawy z dnia 24 marca 1920 r. o nabywaniu nieruchomości przez cudzoziemców) w przypadku wy</w:t>
      </w:r>
      <w:r w:rsidR="009545C1" w:rsidRPr="00045D7F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045D7F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045D7F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045D7F">
        <w:rPr>
          <w:rFonts w:ascii="Verdana" w:hAnsi="Verdana"/>
          <w:color w:val="000000"/>
          <w:sz w:val="22"/>
          <w:szCs w:val="22"/>
        </w:rPr>
        <w:t>na </w:t>
      </w:r>
      <w:r w:rsidRPr="00045D7F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color w:val="000000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Prezydent Wrocławia może odwołać przetarg z ważnych powodów.</w:t>
      </w:r>
    </w:p>
    <w:p w14:paraId="4FB3668B" w14:textId="3439D5A0" w:rsidR="007D7AFA" w:rsidRDefault="00802DE8" w:rsidP="007D7AF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lastRenderedPageBreak/>
        <w:t xml:space="preserve">Lokal </w:t>
      </w:r>
      <w:r w:rsidR="00317F4D">
        <w:rPr>
          <w:rFonts w:ascii="Verdana" w:hAnsi="Verdana"/>
          <w:sz w:val="22"/>
          <w:szCs w:val="22"/>
        </w:rPr>
        <w:t>użytkowy</w:t>
      </w:r>
      <w:r w:rsidR="00760427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oglądać można w dni</w:t>
      </w:r>
      <w:r w:rsidRPr="00747852">
        <w:rPr>
          <w:rFonts w:ascii="Verdana" w:hAnsi="Verdana"/>
          <w:sz w:val="22"/>
          <w:szCs w:val="22"/>
        </w:rPr>
        <w:t>ach</w:t>
      </w:r>
      <w:r w:rsidR="00841FC7" w:rsidRPr="00747852">
        <w:rPr>
          <w:rFonts w:ascii="Verdana" w:hAnsi="Verdana"/>
          <w:sz w:val="22"/>
          <w:szCs w:val="22"/>
        </w:rPr>
        <w:t>:</w:t>
      </w:r>
      <w:r w:rsidR="00517694" w:rsidRPr="00747852">
        <w:rPr>
          <w:rFonts w:ascii="Verdana" w:hAnsi="Verdana"/>
          <w:sz w:val="22"/>
          <w:szCs w:val="22"/>
        </w:rPr>
        <w:t xml:space="preserve"> </w:t>
      </w:r>
      <w:r w:rsidR="003B4A03" w:rsidRPr="003B4A03">
        <w:rPr>
          <w:rFonts w:ascii="Verdana" w:hAnsi="Verdana"/>
          <w:sz w:val="22"/>
          <w:szCs w:val="22"/>
        </w:rPr>
        <w:t>7.01.2026</w:t>
      </w:r>
      <w:r w:rsidR="00841FC7" w:rsidRPr="003B4A03">
        <w:rPr>
          <w:rFonts w:ascii="Verdana" w:hAnsi="Verdana"/>
          <w:sz w:val="22"/>
          <w:szCs w:val="22"/>
        </w:rPr>
        <w:t xml:space="preserve"> r. w godz. 9</w:t>
      </w:r>
      <w:r w:rsidR="00841FC7" w:rsidRPr="003B4A03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3B4A03">
        <w:rPr>
          <w:rFonts w:ascii="Verdana" w:hAnsi="Verdana"/>
          <w:sz w:val="22"/>
          <w:szCs w:val="22"/>
        </w:rPr>
        <w:t>– 11</w:t>
      </w:r>
      <w:r w:rsidR="00841FC7" w:rsidRPr="003B4A03">
        <w:rPr>
          <w:rFonts w:ascii="Verdana" w:hAnsi="Verdana"/>
          <w:sz w:val="22"/>
          <w:szCs w:val="22"/>
          <w:vertAlign w:val="superscript"/>
        </w:rPr>
        <w:t>00</w:t>
      </w:r>
      <w:r w:rsidR="00841FC7" w:rsidRPr="003B4A03">
        <w:rPr>
          <w:rFonts w:ascii="Verdana" w:hAnsi="Verdana"/>
          <w:sz w:val="22"/>
          <w:szCs w:val="22"/>
        </w:rPr>
        <w:t xml:space="preserve">, </w:t>
      </w:r>
      <w:r w:rsidR="003B4A03" w:rsidRPr="003B4A03">
        <w:rPr>
          <w:rFonts w:ascii="Verdana" w:hAnsi="Verdana"/>
          <w:sz w:val="22"/>
          <w:szCs w:val="22"/>
        </w:rPr>
        <w:t>8.01.2026</w:t>
      </w:r>
      <w:r w:rsidR="00841FC7" w:rsidRPr="003B4A03">
        <w:rPr>
          <w:rFonts w:ascii="Verdana" w:hAnsi="Verdana"/>
          <w:sz w:val="22"/>
          <w:szCs w:val="22"/>
        </w:rPr>
        <w:t xml:space="preserve"> r. w godz. 11</w:t>
      </w:r>
      <w:r w:rsidR="00841FC7" w:rsidRPr="003B4A03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3B4A03">
        <w:rPr>
          <w:rFonts w:ascii="Verdana" w:hAnsi="Verdana"/>
          <w:sz w:val="22"/>
          <w:szCs w:val="22"/>
        </w:rPr>
        <w:t>– 13</w:t>
      </w:r>
      <w:r w:rsidR="00841FC7" w:rsidRPr="003B4A03">
        <w:rPr>
          <w:rFonts w:ascii="Verdana" w:hAnsi="Verdana"/>
          <w:sz w:val="22"/>
          <w:szCs w:val="22"/>
          <w:vertAlign w:val="superscript"/>
        </w:rPr>
        <w:t>00</w:t>
      </w:r>
      <w:r w:rsidR="00841FC7" w:rsidRPr="003B4A03">
        <w:rPr>
          <w:rFonts w:ascii="Verdana" w:hAnsi="Verdana"/>
          <w:sz w:val="22"/>
          <w:szCs w:val="22"/>
        </w:rPr>
        <w:t xml:space="preserve"> oraz </w:t>
      </w:r>
      <w:r w:rsidR="003B4A03" w:rsidRPr="003B4A03">
        <w:rPr>
          <w:rFonts w:ascii="Verdana" w:hAnsi="Verdana"/>
          <w:sz w:val="22"/>
          <w:szCs w:val="22"/>
        </w:rPr>
        <w:t>9.01.</w:t>
      </w:r>
      <w:r w:rsidR="00841FC7" w:rsidRPr="003B4A03">
        <w:rPr>
          <w:rFonts w:ascii="Verdana" w:hAnsi="Verdana"/>
          <w:sz w:val="22"/>
          <w:szCs w:val="22"/>
        </w:rPr>
        <w:t>202</w:t>
      </w:r>
      <w:r w:rsidR="003B4A03" w:rsidRPr="003B4A03">
        <w:rPr>
          <w:rFonts w:ascii="Verdana" w:hAnsi="Verdana"/>
          <w:sz w:val="22"/>
          <w:szCs w:val="22"/>
        </w:rPr>
        <w:t>6</w:t>
      </w:r>
      <w:r w:rsidR="00841FC7" w:rsidRPr="003B4A03">
        <w:rPr>
          <w:rFonts w:ascii="Verdana" w:hAnsi="Verdana"/>
          <w:sz w:val="22"/>
          <w:szCs w:val="22"/>
        </w:rPr>
        <w:t xml:space="preserve"> r. w godz. 12</w:t>
      </w:r>
      <w:r w:rsidR="00841FC7" w:rsidRPr="003B4A03">
        <w:rPr>
          <w:rFonts w:ascii="Verdana" w:hAnsi="Verdana"/>
          <w:sz w:val="22"/>
          <w:szCs w:val="22"/>
          <w:vertAlign w:val="superscript"/>
        </w:rPr>
        <w:t>00</w:t>
      </w:r>
      <w:r w:rsidR="00841FC7" w:rsidRPr="003B4A03">
        <w:rPr>
          <w:rFonts w:ascii="Verdana" w:hAnsi="Verdana"/>
          <w:sz w:val="22"/>
          <w:szCs w:val="22"/>
        </w:rPr>
        <w:t xml:space="preserve"> – 14</w:t>
      </w:r>
      <w:r w:rsidR="00841FC7" w:rsidRPr="003B4A03">
        <w:rPr>
          <w:rFonts w:ascii="Verdana" w:hAnsi="Verdana"/>
          <w:sz w:val="22"/>
          <w:szCs w:val="22"/>
          <w:vertAlign w:val="superscript"/>
        </w:rPr>
        <w:t>00</w:t>
      </w:r>
      <w:r w:rsidRPr="003B4A03">
        <w:rPr>
          <w:rFonts w:ascii="Verdana" w:hAnsi="Verdana"/>
          <w:sz w:val="22"/>
          <w:szCs w:val="22"/>
        </w:rPr>
        <w:t xml:space="preserve">, </w:t>
      </w:r>
      <w:r w:rsidRPr="00045D7F">
        <w:rPr>
          <w:rFonts w:ascii="Verdana" w:hAnsi="Verdana"/>
          <w:sz w:val="22"/>
          <w:szCs w:val="22"/>
        </w:rPr>
        <w:t>po</w:t>
      </w:r>
      <w:r w:rsidR="00747852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uprzednim ustaleniu terminu z</w:t>
      </w:r>
      <w:r w:rsidR="00822055">
        <w:rPr>
          <w:rFonts w:ascii="Verdana" w:hAnsi="Verdana"/>
          <w:sz w:val="22"/>
          <w:szCs w:val="22"/>
        </w:rPr>
        <w:t>e spółką Wrocławskie Mieszkania, ul.</w:t>
      </w:r>
      <w:r w:rsidR="00747852">
        <w:rPr>
          <w:rFonts w:ascii="Verdana" w:hAnsi="Verdana"/>
          <w:sz w:val="22"/>
          <w:szCs w:val="22"/>
        </w:rPr>
        <w:t> </w:t>
      </w:r>
      <w:r w:rsidR="00822055">
        <w:rPr>
          <w:rFonts w:ascii="Verdana" w:hAnsi="Verdana"/>
          <w:sz w:val="22"/>
          <w:szCs w:val="22"/>
        </w:rPr>
        <w:t>Namysłowska 8, 50</w:t>
      </w:r>
      <w:r w:rsidR="00317F4D">
        <w:rPr>
          <w:rFonts w:ascii="Verdana" w:hAnsi="Verdana"/>
          <w:sz w:val="22"/>
          <w:szCs w:val="22"/>
        </w:rPr>
        <w:t>-</w:t>
      </w:r>
      <w:r w:rsidR="00822055">
        <w:rPr>
          <w:rFonts w:ascii="Verdana" w:hAnsi="Verdana"/>
          <w:sz w:val="22"/>
          <w:szCs w:val="22"/>
        </w:rPr>
        <w:t>304</w:t>
      </w:r>
      <w:r w:rsidR="00317F4D">
        <w:rPr>
          <w:rFonts w:ascii="Verdana" w:hAnsi="Verdana"/>
          <w:sz w:val="22"/>
          <w:szCs w:val="22"/>
        </w:rPr>
        <w:t xml:space="preserve"> Wrocław,</w:t>
      </w:r>
      <w:r w:rsidRPr="00045D7F">
        <w:rPr>
          <w:rFonts w:ascii="Verdana" w:hAnsi="Verdana"/>
          <w:sz w:val="22"/>
          <w:szCs w:val="22"/>
        </w:rPr>
        <w:t xml:space="preserve"> tel. 71</w:t>
      </w:r>
      <w:r w:rsidR="00822055">
        <w:rPr>
          <w:rFonts w:ascii="Verdana" w:hAnsi="Verdana"/>
          <w:sz w:val="22"/>
          <w:szCs w:val="22"/>
        </w:rPr>
        <w:t> 322-09-77</w:t>
      </w:r>
      <w:r w:rsidR="007D7AFA">
        <w:rPr>
          <w:rFonts w:ascii="Verdana" w:hAnsi="Verdana"/>
          <w:sz w:val="22"/>
          <w:szCs w:val="22"/>
        </w:rPr>
        <w:t>.</w:t>
      </w:r>
    </w:p>
    <w:p w14:paraId="733F6C18" w14:textId="5901BA3C" w:rsidR="00B50E55" w:rsidRPr="00822055" w:rsidRDefault="00802DE8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822055">
        <w:rPr>
          <w:rFonts w:ascii="Verdana" w:hAnsi="Verdana"/>
          <w:bCs/>
          <w:sz w:val="22"/>
          <w:szCs w:val="22"/>
        </w:rPr>
        <w:t xml:space="preserve"> M</w:t>
      </w:r>
      <w:r w:rsidR="009545C1" w:rsidRPr="00045D7F">
        <w:rPr>
          <w:rFonts w:ascii="Verdana" w:hAnsi="Verdana"/>
          <w:bCs/>
          <w:sz w:val="22"/>
          <w:szCs w:val="22"/>
        </w:rPr>
        <w:t>iejskiego Wrocławia</w:t>
      </w:r>
      <w:r w:rsidRPr="00045D7F">
        <w:rPr>
          <w:rFonts w:ascii="Verdana" w:hAnsi="Verdana"/>
          <w:bCs/>
          <w:sz w:val="22"/>
          <w:szCs w:val="22"/>
        </w:rPr>
        <w:t>, ul. G. Zapolskiej 4, tel. 71 777-91-16.</w:t>
      </w:r>
    </w:p>
    <w:p w14:paraId="0701F834" w14:textId="625B8139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27559834" w14:textId="77777777" w:rsidR="00964F6C" w:rsidRDefault="00964F6C" w:rsidP="00964F6C">
      <w:pPr>
        <w:spacing w:before="120"/>
        <w:jc w:val="right"/>
        <w:rPr>
          <w:rFonts w:ascii="Verdana" w:hAnsi="Verdana"/>
          <w:b/>
          <w:bCs/>
          <w:lang w:eastAsia="pl-PL"/>
        </w:rPr>
      </w:pPr>
      <w:r>
        <w:rPr>
          <w:rFonts w:ascii="Verdana" w:hAnsi="Verdana"/>
          <w:b/>
          <w:bCs/>
        </w:rPr>
        <w:t>Z UP. PREZYDENTA</w:t>
      </w:r>
    </w:p>
    <w:p w14:paraId="19BCCD26" w14:textId="77777777" w:rsidR="00964F6C" w:rsidRDefault="00964F6C" w:rsidP="00964F6C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MICHAŁ MŁYŃCZAK</w:t>
      </w:r>
    </w:p>
    <w:p w14:paraId="7B16DE80" w14:textId="77777777" w:rsidR="00964F6C" w:rsidRDefault="00964F6C" w:rsidP="00964F6C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6B794B96" w14:textId="77777777" w:rsidR="00964F6C" w:rsidRPr="00964F6C" w:rsidRDefault="00964F6C" w:rsidP="00964F6C">
      <w:pPr>
        <w:pStyle w:val="Textbody"/>
      </w:pPr>
    </w:p>
    <w:sectPr w:rsidR="00964F6C" w:rsidRPr="00964F6C" w:rsidSect="00380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0A1C" w14:textId="77777777" w:rsidR="004924D9" w:rsidRDefault="004924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2E2C1E35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EA3F5B">
      <w:rPr>
        <w:b w:val="0"/>
        <w:sz w:val="22"/>
        <w:szCs w:val="22"/>
      </w:rPr>
      <w:t>5</w:t>
    </w:r>
    <w:r w:rsidR="00CA5FA4">
      <w:rPr>
        <w:b w:val="0"/>
        <w:sz w:val="22"/>
        <w:szCs w:val="22"/>
      </w:rPr>
      <w:t>/tab</w:t>
    </w:r>
    <w:r w:rsidR="004924D9">
      <w:rPr>
        <w:b w:val="0"/>
        <w:sz w:val="22"/>
        <w:szCs w:val="22"/>
      </w:rPr>
      <w:t>775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4C33" w14:textId="77777777" w:rsidR="004924D9" w:rsidRDefault="004924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4540" w14:textId="77777777" w:rsidR="004924D9" w:rsidRDefault="004924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D7392" w14:textId="77777777" w:rsidR="004924D9" w:rsidRDefault="00492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1507" w14:textId="77777777" w:rsidR="004924D9" w:rsidRDefault="00492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65AC"/>
    <w:rsid w:val="0002560D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90DFC"/>
    <w:rsid w:val="000B4054"/>
    <w:rsid w:val="000D3B28"/>
    <w:rsid w:val="000F2A57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73E25"/>
    <w:rsid w:val="001B05B5"/>
    <w:rsid w:val="001B0638"/>
    <w:rsid w:val="001C0CCD"/>
    <w:rsid w:val="001C3019"/>
    <w:rsid w:val="001D7531"/>
    <w:rsid w:val="001E6706"/>
    <w:rsid w:val="001F138D"/>
    <w:rsid w:val="002037D1"/>
    <w:rsid w:val="00214999"/>
    <w:rsid w:val="002340B0"/>
    <w:rsid w:val="002544DC"/>
    <w:rsid w:val="00255BDA"/>
    <w:rsid w:val="002565C5"/>
    <w:rsid w:val="0025738C"/>
    <w:rsid w:val="00263B87"/>
    <w:rsid w:val="002722F7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7A84"/>
    <w:rsid w:val="00377B30"/>
    <w:rsid w:val="00380BB9"/>
    <w:rsid w:val="0039752B"/>
    <w:rsid w:val="003A4BE8"/>
    <w:rsid w:val="003B4A03"/>
    <w:rsid w:val="003D0C53"/>
    <w:rsid w:val="004175D5"/>
    <w:rsid w:val="0043190E"/>
    <w:rsid w:val="004400D4"/>
    <w:rsid w:val="0044553E"/>
    <w:rsid w:val="004469F7"/>
    <w:rsid w:val="0045049B"/>
    <w:rsid w:val="004531AE"/>
    <w:rsid w:val="00453854"/>
    <w:rsid w:val="00462A26"/>
    <w:rsid w:val="004924D9"/>
    <w:rsid w:val="004A6118"/>
    <w:rsid w:val="004B1AE9"/>
    <w:rsid w:val="004B5B60"/>
    <w:rsid w:val="004E11EC"/>
    <w:rsid w:val="004E1F38"/>
    <w:rsid w:val="004E3C42"/>
    <w:rsid w:val="004E7620"/>
    <w:rsid w:val="00503DE3"/>
    <w:rsid w:val="00505B8C"/>
    <w:rsid w:val="00517694"/>
    <w:rsid w:val="00525524"/>
    <w:rsid w:val="00532B58"/>
    <w:rsid w:val="005402DB"/>
    <w:rsid w:val="00545748"/>
    <w:rsid w:val="00553104"/>
    <w:rsid w:val="0056641E"/>
    <w:rsid w:val="005802A2"/>
    <w:rsid w:val="005A0038"/>
    <w:rsid w:val="005B20C5"/>
    <w:rsid w:val="005B4A0C"/>
    <w:rsid w:val="005B4BBF"/>
    <w:rsid w:val="005D0EF3"/>
    <w:rsid w:val="005D585E"/>
    <w:rsid w:val="005D7375"/>
    <w:rsid w:val="005D7720"/>
    <w:rsid w:val="005E6BD1"/>
    <w:rsid w:val="005F05FF"/>
    <w:rsid w:val="0061125A"/>
    <w:rsid w:val="00651950"/>
    <w:rsid w:val="00693A49"/>
    <w:rsid w:val="00694242"/>
    <w:rsid w:val="00694A51"/>
    <w:rsid w:val="006A0948"/>
    <w:rsid w:val="006C40D1"/>
    <w:rsid w:val="006D55F9"/>
    <w:rsid w:val="006D7C18"/>
    <w:rsid w:val="006F40CC"/>
    <w:rsid w:val="006F688C"/>
    <w:rsid w:val="007028DD"/>
    <w:rsid w:val="00735E41"/>
    <w:rsid w:val="00740CD9"/>
    <w:rsid w:val="0074271E"/>
    <w:rsid w:val="00747852"/>
    <w:rsid w:val="00760427"/>
    <w:rsid w:val="007650E5"/>
    <w:rsid w:val="007859E3"/>
    <w:rsid w:val="00787100"/>
    <w:rsid w:val="007948D8"/>
    <w:rsid w:val="00794CD7"/>
    <w:rsid w:val="0079620D"/>
    <w:rsid w:val="007A1BF2"/>
    <w:rsid w:val="007C6461"/>
    <w:rsid w:val="007D7AFA"/>
    <w:rsid w:val="007E0F8A"/>
    <w:rsid w:val="007E3B8E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608DD"/>
    <w:rsid w:val="008864F7"/>
    <w:rsid w:val="00887AB3"/>
    <w:rsid w:val="008A334B"/>
    <w:rsid w:val="008A33EB"/>
    <w:rsid w:val="008D257A"/>
    <w:rsid w:val="008E5388"/>
    <w:rsid w:val="008F57BE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64F6C"/>
    <w:rsid w:val="00982BB3"/>
    <w:rsid w:val="00993042"/>
    <w:rsid w:val="009A136D"/>
    <w:rsid w:val="009A6B24"/>
    <w:rsid w:val="009A7EAC"/>
    <w:rsid w:val="009B5869"/>
    <w:rsid w:val="009B6C68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2F7D"/>
    <w:rsid w:val="00A67124"/>
    <w:rsid w:val="00A87569"/>
    <w:rsid w:val="00A94CEE"/>
    <w:rsid w:val="00AB0ABE"/>
    <w:rsid w:val="00AE2596"/>
    <w:rsid w:val="00AF2C83"/>
    <w:rsid w:val="00AF6501"/>
    <w:rsid w:val="00B03A1E"/>
    <w:rsid w:val="00B04B89"/>
    <w:rsid w:val="00B07AFF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479"/>
    <w:rsid w:val="00BB08C6"/>
    <w:rsid w:val="00BC1B43"/>
    <w:rsid w:val="00BD0C41"/>
    <w:rsid w:val="00BD1070"/>
    <w:rsid w:val="00BD3191"/>
    <w:rsid w:val="00BD4AEC"/>
    <w:rsid w:val="00BD644D"/>
    <w:rsid w:val="00BD77BC"/>
    <w:rsid w:val="00BE3411"/>
    <w:rsid w:val="00BF1992"/>
    <w:rsid w:val="00BF2CCF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26BA3"/>
    <w:rsid w:val="00D65998"/>
    <w:rsid w:val="00D7177A"/>
    <w:rsid w:val="00D8650C"/>
    <w:rsid w:val="00D86872"/>
    <w:rsid w:val="00D92BF0"/>
    <w:rsid w:val="00DD1091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254C4"/>
    <w:rsid w:val="00F27141"/>
    <w:rsid w:val="00F321EA"/>
    <w:rsid w:val="00F410E3"/>
    <w:rsid w:val="00F46911"/>
    <w:rsid w:val="00F57308"/>
    <w:rsid w:val="00F67ADD"/>
    <w:rsid w:val="00F82AF1"/>
    <w:rsid w:val="00F85046"/>
    <w:rsid w:val="00F97896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9C38-03A2-450C-A1AF-D17D746D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1574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2025-11-06T12:38:00Z</cp:lastPrinted>
  <dcterms:created xsi:type="dcterms:W3CDTF">2025-11-07T11:56:00Z</dcterms:created>
  <dcterms:modified xsi:type="dcterms:W3CDTF">2025-11-27T12:20:00Z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