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charts/chart17.xml" ContentType="application/vnd.openxmlformats-officedocument.drawingml.chart+xml"/>
  <Override PartName="/word/charts/chart18.xml" ContentType="application/vnd.openxmlformats-officedocument.drawingml.chart+xml"/>
  <Override PartName="/word/footer3.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fontTable.xml" ContentType="application/vnd.openxmlformats-officedocument.wordprocessingml.fontTable+xml"/>
  <Override PartName="/word/charts/colors1.xml" ContentType="application/vnd.ms-office.chartcolorstyle+xml"/>
  <Override PartName="/word/charts/colors2.xml" ContentType="application/vnd.ms-office.chartcolorsty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docProps/core.xml" ContentType="application/vnd.openxmlformats-package.core-properties+xml"/>
  <Override PartName="/word/charts/style1.xml" ContentType="application/vnd.ms-office.chartstyle+xml"/>
  <Override PartName="/word/charts/style2.xml" ContentType="application/vnd.ms-office.chartstyle+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B17" w:rsidRDefault="00646D05" w:rsidP="0092135A">
      <w:pPr>
        <w:spacing w:before="2040" w:after="160" w:line="259" w:lineRule="auto"/>
        <w:jc w:val="left"/>
        <w:rPr>
          <w:b/>
          <w:bCs/>
          <w:color w:val="363735" w:themeColor="accent3"/>
          <w:sz w:val="52"/>
          <w:szCs w:val="52"/>
        </w:rPr>
      </w:pPr>
      <w:r>
        <w:rPr>
          <w:b/>
          <w:bCs/>
          <w:noProof/>
          <w:color w:val="363735" w:themeColor="accent3"/>
          <w:sz w:val="52"/>
          <w:szCs w:val="52"/>
        </w:rPr>
        <w:pict>
          <v:shape id="Prostokąt: zaokrąglone rogi u góry 1" o:spid="_x0000_s2050" style="position:absolute;margin-left:148.3pt;margin-top:-103.95pt;width:303.35pt;height:510pt;rotation:9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3852545,647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j5otwIAAOEFAAAOAAAAZHJzL2Uyb0RvYy54bWysVE1v2zAMvQ/YfxB0X514TtMZdYqgRYcB&#10;QRs0HXpWZan2JouapMTJfv0o+aNG19MwHwRTJB/JJ5KXV8dGkYOwrgZd0PnZjBKhOZS1fino98fb&#10;TxeUOM90yRRoUdCTcPRq9fHDZWtykUIFqhSWIIh2eWsKWnlv8iRxvBINc2dghEalBNswj6J9SUrL&#10;WkRvVJLOZudJC7Y0FrhwDm9vOiVdRXwpBff3UjrhiSoo5ubjaeP5HM5kdcnyF8tMVfM+DfYPWTSs&#10;1hh0hLphnpG9rf+CampuwYH0ZxyaBKSsuYg1YDXz2ZtqdhUzItaC5Dgz0uT+Hyy/O+zM1obUndkA&#10;/+mQkaQ1Lh81QXC9zVHahlhAGhfZLHyxaCyDHCOnp5FTcfSE4+Xni0W6yBaUcNSdZ8tlcAoxWB7A&#10;QmBjnf8qoCHhp6AW9rpMd6wRD/h8MQA7bJyP9JZEo6KgrPwxp0Q2Cl/rwBTJLpbnw2tObNKpzRC3&#10;R8MMhsixfFB1eVsrFYXQf+JaWYLgGI1zoX3a5+2mlkoHew3Bsysr3EQGO9Iiff6kRLBT+kFIUpdI&#10;TBori43+NtC8U1WsFF38+eKVtdEjchgBA7LE+CN2D/BeEfO+iN4+uIo4J6Nz96ZjmCkDg/PoESOD&#10;9qNzU2uw71Wm/OAsO/uBpI6awNIzlKet7doLZ9UZfltjR2yY81tm8aHxEleNv8dDKmgLCv0fJRXY&#10;3+/dB3ucFtRS0uKYF9T92jMrKFHfNM7Rl3mWhb0QhWyxTFGwU83zVKP3zTVgP2DrYXbxN9h7NfxK&#10;C80TbqR1iIoqpjnGLij3dhCufbd+cKdxsV5HM9wFhvmN3hkewAOroTUfj0/Mmn4sPE7UHQwrgeWx&#10;i7uOe7UNnhrWew+y9sMkd7z2fOMeiY3T77ywqKZytHrdzKs/AAAA//8DAFBLAwQUAAYACAAAACEA&#10;nIwq594AAAAKAQAADwAAAGRycy9kb3ducmV2LnhtbEyPwU7DMBBE70j8g7VI3FrbQCsIcSqEQOJA&#10;VVFaxNGNlyTCXke224S/xznBcXZWM2/K1egsO2GInScFci6AIdXedNQo2L0/z26BxaTJaOsJFfxg&#10;hFV1flbqwviB3vC0TQ3LIRQLraBNqS84j3WLTse575Gy9+WD0ynL0HAT9JDDneVXQiy50x3lhlb3&#10;+Nhi/b09OgXrvTWvYUMhrZ8MRrn4/BiGF6UuL8aHe2AJx/T3DBN+RocqMx38kUxkVsGdyFOSgpm8&#10;Bjb5Uk6Xg4KlWNwAr0r+f0L1CwAA//8DAFBLAQItABQABgAIAAAAIQC2gziS/gAAAOEBAAATAAAA&#10;AAAAAAAAAAAAAAAAAABbQ29udGVudF9UeXBlc10ueG1sUEsBAi0AFAAGAAgAAAAhADj9If/WAAAA&#10;lAEAAAsAAAAAAAAAAAAAAAAALwEAAF9yZWxzLy5yZWxzUEsBAi0AFAAGAAgAAAAhAJ+mPmi3AgAA&#10;4QUAAA4AAAAAAAAAAAAAAAAALgIAAGRycy9lMm9Eb2MueG1sUEsBAi0AFAAGAAgAAAAhAJyMKufe&#10;AAAACgEAAA8AAAAAAAAAAAAAAAAAEQUAAGRycy9kb3ducmV2LnhtbFBLBQYAAAAABAAEAPMAAAAc&#10;BgAAAAA=&#10;" path="m1878501,r95543,c3011511,,3852545,841034,3852545,1878501r,4598499l3852545,6477000,,6477000r,l,1878501c,841034,841034,,1878501,xe" fillcolor="#f3cd42 [3205]" stroked="f" strokeweight="1pt">
            <v:stroke joinstyle="miter"/>
            <v:path arrowok="t" o:connecttype="custom" o:connectlocs="1878501,0;1974044,0;3852545,1878501;3852545,6477000;3852545,6477000;0,6477000;0,6477000;0,1878501;1878501,0" o:connectangles="0,0,0,0,0,0,0,0,0"/>
            <w10:wrap anchorx="page"/>
          </v:shape>
        </w:pict>
      </w:r>
      <w:r w:rsidR="005E3C2B" w:rsidRPr="005E3C2B">
        <w:t xml:space="preserve"> </w:t>
      </w:r>
      <w:r w:rsidR="005E3C2B" w:rsidRPr="005E3C2B">
        <w:rPr>
          <w:b/>
          <w:bCs/>
          <w:color w:val="363735" w:themeColor="accent3"/>
          <w:sz w:val="52"/>
          <w:szCs w:val="52"/>
        </w:rPr>
        <w:t xml:space="preserve">Diagnoza </w:t>
      </w:r>
      <w:r w:rsidR="00AD3564">
        <w:rPr>
          <w:b/>
          <w:bCs/>
          <w:color w:val="363735" w:themeColor="accent3"/>
          <w:sz w:val="52"/>
          <w:szCs w:val="52"/>
        </w:rPr>
        <w:t xml:space="preserve">otoczenia strategicznego </w:t>
      </w:r>
      <w:proofErr w:type="spellStart"/>
      <w:r w:rsidR="00AD3564">
        <w:rPr>
          <w:b/>
          <w:bCs/>
          <w:color w:val="363735" w:themeColor="accent3"/>
          <w:sz w:val="52"/>
          <w:szCs w:val="52"/>
        </w:rPr>
        <w:t>WrOF</w:t>
      </w:r>
      <w:proofErr w:type="spellEnd"/>
    </w:p>
    <w:p w:rsidR="00A718CB" w:rsidRPr="00104B17" w:rsidRDefault="00A718CB" w:rsidP="0092135A">
      <w:pPr>
        <w:spacing w:before="2040" w:after="160" w:line="259" w:lineRule="auto"/>
        <w:jc w:val="left"/>
        <w:rPr>
          <w:b/>
          <w:bCs/>
          <w:color w:val="363735" w:themeColor="accent3"/>
          <w:sz w:val="52"/>
          <w:szCs w:val="52"/>
        </w:rPr>
      </w:pPr>
      <w:r w:rsidRPr="005321D6">
        <w:rPr>
          <w:b/>
          <w:bCs/>
        </w:rPr>
        <w:br w:type="page"/>
      </w:r>
    </w:p>
    <w:sdt>
      <w:sdtPr>
        <w:rPr>
          <w:rFonts w:asciiTheme="minorHAnsi" w:eastAsiaTheme="minorHAnsi" w:hAnsiTheme="minorHAnsi" w:cstheme="minorBidi"/>
          <w:color w:val="auto"/>
          <w:kern w:val="2"/>
          <w:sz w:val="22"/>
          <w:szCs w:val="22"/>
          <w:lang w:eastAsia="en-US"/>
        </w:rPr>
        <w:id w:val="-1380858793"/>
        <w:docPartObj>
          <w:docPartGallery w:val="Table of Contents"/>
          <w:docPartUnique/>
        </w:docPartObj>
      </w:sdtPr>
      <w:sdtEndPr>
        <w:rPr>
          <w:b/>
          <w:bCs/>
        </w:rPr>
      </w:sdtEndPr>
      <w:sdtContent>
        <w:p w:rsidR="00572FBC" w:rsidRDefault="00572FBC" w:rsidP="00572FBC">
          <w:pPr>
            <w:pStyle w:val="Nagwekspisutreci"/>
            <w:spacing w:before="0" w:after="240"/>
          </w:pPr>
          <w:r>
            <w:t>Spis treści</w:t>
          </w:r>
        </w:p>
        <w:p w:rsidR="00CA313E" w:rsidRDefault="00646D05">
          <w:pPr>
            <w:pStyle w:val="Spistreci1"/>
            <w:tabs>
              <w:tab w:val="right" w:leader="dot" w:pos="9062"/>
            </w:tabs>
            <w:rPr>
              <w:rFonts w:eastAsiaTheme="minorEastAsia"/>
              <w:noProof/>
              <w:sz w:val="24"/>
              <w:szCs w:val="24"/>
              <w:lang w:eastAsia="pl-PL"/>
            </w:rPr>
          </w:pPr>
          <w:r w:rsidRPr="00646D05">
            <w:fldChar w:fldCharType="begin"/>
          </w:r>
          <w:r w:rsidR="00572FBC">
            <w:instrText xml:space="preserve"> TOC \o "1-3" \h \z \u </w:instrText>
          </w:r>
          <w:r w:rsidRPr="00646D05">
            <w:fldChar w:fldCharType="separate"/>
          </w:r>
          <w:hyperlink w:anchor="_Toc196905119" w:history="1">
            <w:r w:rsidR="00CA313E" w:rsidRPr="00DC2D22">
              <w:rPr>
                <w:rStyle w:val="Hipercze"/>
                <w:noProof/>
              </w:rPr>
              <w:t>Wykaz skrótów</w:t>
            </w:r>
            <w:r w:rsidR="00CA313E">
              <w:rPr>
                <w:noProof/>
                <w:webHidden/>
              </w:rPr>
              <w:tab/>
            </w:r>
            <w:r>
              <w:rPr>
                <w:noProof/>
                <w:webHidden/>
              </w:rPr>
              <w:fldChar w:fldCharType="begin"/>
            </w:r>
            <w:r w:rsidR="00CA313E">
              <w:rPr>
                <w:noProof/>
                <w:webHidden/>
              </w:rPr>
              <w:instrText xml:space="preserve"> PAGEREF _Toc196905119 \h </w:instrText>
            </w:r>
            <w:r>
              <w:rPr>
                <w:noProof/>
                <w:webHidden/>
              </w:rPr>
            </w:r>
            <w:r>
              <w:rPr>
                <w:noProof/>
                <w:webHidden/>
              </w:rPr>
              <w:fldChar w:fldCharType="separate"/>
            </w:r>
            <w:r w:rsidR="0084338D">
              <w:rPr>
                <w:noProof/>
                <w:webHidden/>
              </w:rPr>
              <w:t>3</w:t>
            </w:r>
            <w:r>
              <w:rPr>
                <w:noProof/>
                <w:webHidden/>
              </w:rPr>
              <w:fldChar w:fldCharType="end"/>
            </w:r>
          </w:hyperlink>
        </w:p>
        <w:p w:rsidR="00CA313E" w:rsidRDefault="00646D05">
          <w:pPr>
            <w:pStyle w:val="Spistreci1"/>
            <w:tabs>
              <w:tab w:val="right" w:leader="dot" w:pos="9062"/>
            </w:tabs>
            <w:rPr>
              <w:rFonts w:eastAsiaTheme="minorEastAsia"/>
              <w:noProof/>
              <w:sz w:val="24"/>
              <w:szCs w:val="24"/>
              <w:lang w:eastAsia="pl-PL"/>
            </w:rPr>
          </w:pPr>
          <w:hyperlink w:anchor="_Toc196905120" w:history="1">
            <w:r w:rsidR="00CA313E" w:rsidRPr="00DC2D22">
              <w:rPr>
                <w:rStyle w:val="Hipercze"/>
                <w:noProof/>
              </w:rPr>
              <w:t>1. Ocena uwarunkowań lokalizacyjnych WrOF</w:t>
            </w:r>
            <w:r w:rsidR="00CA313E">
              <w:rPr>
                <w:noProof/>
                <w:webHidden/>
              </w:rPr>
              <w:tab/>
            </w:r>
            <w:r>
              <w:rPr>
                <w:noProof/>
                <w:webHidden/>
              </w:rPr>
              <w:fldChar w:fldCharType="begin"/>
            </w:r>
            <w:r w:rsidR="00CA313E">
              <w:rPr>
                <w:noProof/>
                <w:webHidden/>
              </w:rPr>
              <w:instrText xml:space="preserve"> PAGEREF _Toc196905120 \h </w:instrText>
            </w:r>
            <w:r>
              <w:rPr>
                <w:noProof/>
                <w:webHidden/>
              </w:rPr>
            </w:r>
            <w:r>
              <w:rPr>
                <w:noProof/>
                <w:webHidden/>
              </w:rPr>
              <w:fldChar w:fldCharType="separate"/>
            </w:r>
            <w:r w:rsidR="0084338D">
              <w:rPr>
                <w:noProof/>
                <w:webHidden/>
              </w:rPr>
              <w:t>5</w:t>
            </w:r>
            <w:r>
              <w:rPr>
                <w:noProof/>
                <w:webHidden/>
              </w:rPr>
              <w:fldChar w:fldCharType="end"/>
            </w:r>
          </w:hyperlink>
        </w:p>
        <w:p w:rsidR="00CA313E" w:rsidRDefault="00646D05">
          <w:pPr>
            <w:pStyle w:val="Spistreci1"/>
            <w:tabs>
              <w:tab w:val="right" w:leader="dot" w:pos="9062"/>
            </w:tabs>
            <w:rPr>
              <w:rFonts w:eastAsiaTheme="minorEastAsia"/>
              <w:noProof/>
              <w:sz w:val="24"/>
              <w:szCs w:val="24"/>
              <w:lang w:eastAsia="pl-PL"/>
            </w:rPr>
          </w:pPr>
          <w:hyperlink w:anchor="_Toc196905121" w:history="1">
            <w:r w:rsidR="00CA313E" w:rsidRPr="00DC2D22">
              <w:rPr>
                <w:rStyle w:val="Hipercze"/>
                <w:noProof/>
              </w:rPr>
              <w:t>2. Identyfikacja zewnętrznych procesów zmian społeczno-gospodarczych</w:t>
            </w:r>
            <w:r w:rsidR="00CA313E">
              <w:rPr>
                <w:noProof/>
                <w:webHidden/>
              </w:rPr>
              <w:tab/>
            </w:r>
            <w:r>
              <w:rPr>
                <w:noProof/>
                <w:webHidden/>
              </w:rPr>
              <w:fldChar w:fldCharType="begin"/>
            </w:r>
            <w:r w:rsidR="00CA313E">
              <w:rPr>
                <w:noProof/>
                <w:webHidden/>
              </w:rPr>
              <w:instrText xml:space="preserve"> PAGEREF _Toc196905121 \h </w:instrText>
            </w:r>
            <w:r>
              <w:rPr>
                <w:noProof/>
                <w:webHidden/>
              </w:rPr>
            </w:r>
            <w:r>
              <w:rPr>
                <w:noProof/>
                <w:webHidden/>
              </w:rPr>
              <w:fldChar w:fldCharType="separate"/>
            </w:r>
            <w:r w:rsidR="0084338D">
              <w:rPr>
                <w:noProof/>
                <w:webHidden/>
              </w:rPr>
              <w:t>10</w:t>
            </w:r>
            <w:r>
              <w:rPr>
                <w:noProof/>
                <w:webHidden/>
              </w:rPr>
              <w:fldChar w:fldCharType="end"/>
            </w:r>
          </w:hyperlink>
        </w:p>
        <w:p w:rsidR="00CA313E" w:rsidRDefault="00646D05">
          <w:pPr>
            <w:pStyle w:val="Spistreci2"/>
            <w:tabs>
              <w:tab w:val="right" w:leader="dot" w:pos="9062"/>
            </w:tabs>
            <w:rPr>
              <w:rFonts w:eastAsiaTheme="minorEastAsia"/>
              <w:noProof/>
              <w:sz w:val="24"/>
              <w:szCs w:val="24"/>
              <w:lang w:eastAsia="pl-PL"/>
            </w:rPr>
          </w:pPr>
          <w:hyperlink w:anchor="_Toc196905122" w:history="1">
            <w:r w:rsidR="00CA313E" w:rsidRPr="00DC2D22">
              <w:rPr>
                <w:rStyle w:val="Hipercze"/>
                <w:noProof/>
              </w:rPr>
              <w:t>2.1. Zmiany demograficzne</w:t>
            </w:r>
            <w:r w:rsidR="00CA313E">
              <w:rPr>
                <w:noProof/>
                <w:webHidden/>
              </w:rPr>
              <w:tab/>
            </w:r>
            <w:r>
              <w:rPr>
                <w:noProof/>
                <w:webHidden/>
              </w:rPr>
              <w:fldChar w:fldCharType="begin"/>
            </w:r>
            <w:r w:rsidR="00CA313E">
              <w:rPr>
                <w:noProof/>
                <w:webHidden/>
              </w:rPr>
              <w:instrText xml:space="preserve"> PAGEREF _Toc196905122 \h </w:instrText>
            </w:r>
            <w:r>
              <w:rPr>
                <w:noProof/>
                <w:webHidden/>
              </w:rPr>
            </w:r>
            <w:r>
              <w:rPr>
                <w:noProof/>
                <w:webHidden/>
              </w:rPr>
              <w:fldChar w:fldCharType="separate"/>
            </w:r>
            <w:r w:rsidR="0084338D">
              <w:rPr>
                <w:noProof/>
                <w:webHidden/>
              </w:rPr>
              <w:t>10</w:t>
            </w:r>
            <w:r>
              <w:rPr>
                <w:noProof/>
                <w:webHidden/>
              </w:rPr>
              <w:fldChar w:fldCharType="end"/>
            </w:r>
          </w:hyperlink>
        </w:p>
        <w:p w:rsidR="00CA313E" w:rsidRDefault="00646D05">
          <w:pPr>
            <w:pStyle w:val="Spistreci2"/>
            <w:tabs>
              <w:tab w:val="right" w:leader="dot" w:pos="9062"/>
            </w:tabs>
            <w:rPr>
              <w:rFonts w:eastAsiaTheme="minorEastAsia"/>
              <w:noProof/>
              <w:sz w:val="24"/>
              <w:szCs w:val="24"/>
              <w:lang w:eastAsia="pl-PL"/>
            </w:rPr>
          </w:pPr>
          <w:hyperlink w:anchor="_Toc196905123" w:history="1">
            <w:r w:rsidR="00CA313E" w:rsidRPr="00DC2D22">
              <w:rPr>
                <w:rStyle w:val="Hipercze"/>
                <w:noProof/>
              </w:rPr>
              <w:t>2.2. Migracje</w:t>
            </w:r>
            <w:r w:rsidR="00CA313E">
              <w:rPr>
                <w:noProof/>
                <w:webHidden/>
              </w:rPr>
              <w:tab/>
            </w:r>
            <w:r>
              <w:rPr>
                <w:noProof/>
                <w:webHidden/>
              </w:rPr>
              <w:fldChar w:fldCharType="begin"/>
            </w:r>
            <w:r w:rsidR="00CA313E">
              <w:rPr>
                <w:noProof/>
                <w:webHidden/>
              </w:rPr>
              <w:instrText xml:space="preserve"> PAGEREF _Toc196905123 \h </w:instrText>
            </w:r>
            <w:r>
              <w:rPr>
                <w:noProof/>
                <w:webHidden/>
              </w:rPr>
            </w:r>
            <w:r>
              <w:rPr>
                <w:noProof/>
                <w:webHidden/>
              </w:rPr>
              <w:fldChar w:fldCharType="separate"/>
            </w:r>
            <w:r w:rsidR="0084338D">
              <w:rPr>
                <w:noProof/>
                <w:webHidden/>
              </w:rPr>
              <w:t>19</w:t>
            </w:r>
            <w:r>
              <w:rPr>
                <w:noProof/>
                <w:webHidden/>
              </w:rPr>
              <w:fldChar w:fldCharType="end"/>
            </w:r>
          </w:hyperlink>
        </w:p>
        <w:p w:rsidR="00CA313E" w:rsidRDefault="00646D05">
          <w:pPr>
            <w:pStyle w:val="Spistreci2"/>
            <w:tabs>
              <w:tab w:val="right" w:leader="dot" w:pos="9062"/>
            </w:tabs>
            <w:rPr>
              <w:rFonts w:eastAsiaTheme="minorEastAsia"/>
              <w:noProof/>
              <w:sz w:val="24"/>
              <w:szCs w:val="24"/>
              <w:lang w:eastAsia="pl-PL"/>
            </w:rPr>
          </w:pPr>
          <w:hyperlink w:anchor="_Toc196905124" w:history="1">
            <w:r w:rsidR="00CA313E" w:rsidRPr="00DC2D22">
              <w:rPr>
                <w:rStyle w:val="Hipercze"/>
                <w:noProof/>
              </w:rPr>
              <w:t>2.3. Zdrowie Polaków</w:t>
            </w:r>
            <w:r w:rsidR="00CA313E">
              <w:rPr>
                <w:noProof/>
                <w:webHidden/>
              </w:rPr>
              <w:tab/>
            </w:r>
            <w:r>
              <w:rPr>
                <w:noProof/>
                <w:webHidden/>
              </w:rPr>
              <w:fldChar w:fldCharType="begin"/>
            </w:r>
            <w:r w:rsidR="00CA313E">
              <w:rPr>
                <w:noProof/>
                <w:webHidden/>
              </w:rPr>
              <w:instrText xml:space="preserve"> PAGEREF _Toc196905124 \h </w:instrText>
            </w:r>
            <w:r>
              <w:rPr>
                <w:noProof/>
                <w:webHidden/>
              </w:rPr>
            </w:r>
            <w:r>
              <w:rPr>
                <w:noProof/>
                <w:webHidden/>
              </w:rPr>
              <w:fldChar w:fldCharType="separate"/>
            </w:r>
            <w:r w:rsidR="0084338D">
              <w:rPr>
                <w:noProof/>
                <w:webHidden/>
              </w:rPr>
              <w:t>23</w:t>
            </w:r>
            <w:r>
              <w:rPr>
                <w:noProof/>
                <w:webHidden/>
              </w:rPr>
              <w:fldChar w:fldCharType="end"/>
            </w:r>
          </w:hyperlink>
        </w:p>
        <w:p w:rsidR="00CA313E" w:rsidRDefault="00646D05">
          <w:pPr>
            <w:pStyle w:val="Spistreci2"/>
            <w:tabs>
              <w:tab w:val="right" w:leader="dot" w:pos="9062"/>
            </w:tabs>
            <w:rPr>
              <w:rFonts w:eastAsiaTheme="minorEastAsia"/>
              <w:noProof/>
              <w:sz w:val="24"/>
              <w:szCs w:val="24"/>
              <w:lang w:eastAsia="pl-PL"/>
            </w:rPr>
          </w:pPr>
          <w:hyperlink w:anchor="_Toc196905125" w:history="1">
            <w:r w:rsidR="00CA313E" w:rsidRPr="00DC2D22">
              <w:rPr>
                <w:rStyle w:val="Hipercze"/>
                <w:noProof/>
              </w:rPr>
              <w:t>2.4. Polityka mieszkaniowa kraju</w:t>
            </w:r>
            <w:r w:rsidR="00CA313E">
              <w:rPr>
                <w:noProof/>
                <w:webHidden/>
              </w:rPr>
              <w:tab/>
            </w:r>
            <w:r>
              <w:rPr>
                <w:noProof/>
                <w:webHidden/>
              </w:rPr>
              <w:fldChar w:fldCharType="begin"/>
            </w:r>
            <w:r w:rsidR="00CA313E">
              <w:rPr>
                <w:noProof/>
                <w:webHidden/>
              </w:rPr>
              <w:instrText xml:space="preserve"> PAGEREF _Toc196905125 \h </w:instrText>
            </w:r>
            <w:r>
              <w:rPr>
                <w:noProof/>
                <w:webHidden/>
              </w:rPr>
            </w:r>
            <w:r>
              <w:rPr>
                <w:noProof/>
                <w:webHidden/>
              </w:rPr>
              <w:fldChar w:fldCharType="separate"/>
            </w:r>
            <w:r w:rsidR="0084338D">
              <w:rPr>
                <w:noProof/>
                <w:webHidden/>
              </w:rPr>
              <w:t>27</w:t>
            </w:r>
            <w:r>
              <w:rPr>
                <w:noProof/>
                <w:webHidden/>
              </w:rPr>
              <w:fldChar w:fldCharType="end"/>
            </w:r>
          </w:hyperlink>
        </w:p>
        <w:p w:rsidR="00CA313E" w:rsidRDefault="00646D05">
          <w:pPr>
            <w:pStyle w:val="Spistreci2"/>
            <w:tabs>
              <w:tab w:val="right" w:leader="dot" w:pos="9062"/>
            </w:tabs>
            <w:rPr>
              <w:rFonts w:eastAsiaTheme="minorEastAsia"/>
              <w:noProof/>
              <w:sz w:val="24"/>
              <w:szCs w:val="24"/>
              <w:lang w:eastAsia="pl-PL"/>
            </w:rPr>
          </w:pPr>
          <w:hyperlink w:anchor="_Toc196905126" w:history="1">
            <w:r w:rsidR="00CA313E" w:rsidRPr="00DC2D22">
              <w:rPr>
                <w:rStyle w:val="Hipercze"/>
                <w:noProof/>
              </w:rPr>
              <w:t>2.5. Rozwój edukacji</w:t>
            </w:r>
            <w:r w:rsidR="00CA313E">
              <w:rPr>
                <w:noProof/>
                <w:webHidden/>
              </w:rPr>
              <w:tab/>
            </w:r>
            <w:r>
              <w:rPr>
                <w:noProof/>
                <w:webHidden/>
              </w:rPr>
              <w:fldChar w:fldCharType="begin"/>
            </w:r>
            <w:r w:rsidR="00CA313E">
              <w:rPr>
                <w:noProof/>
                <w:webHidden/>
              </w:rPr>
              <w:instrText xml:space="preserve"> PAGEREF _Toc196905126 \h </w:instrText>
            </w:r>
            <w:r>
              <w:rPr>
                <w:noProof/>
                <w:webHidden/>
              </w:rPr>
            </w:r>
            <w:r>
              <w:rPr>
                <w:noProof/>
                <w:webHidden/>
              </w:rPr>
              <w:fldChar w:fldCharType="separate"/>
            </w:r>
            <w:r w:rsidR="0084338D">
              <w:rPr>
                <w:noProof/>
                <w:webHidden/>
              </w:rPr>
              <w:t>31</w:t>
            </w:r>
            <w:r>
              <w:rPr>
                <w:noProof/>
                <w:webHidden/>
              </w:rPr>
              <w:fldChar w:fldCharType="end"/>
            </w:r>
          </w:hyperlink>
        </w:p>
        <w:p w:rsidR="00CA313E" w:rsidRDefault="00646D05">
          <w:pPr>
            <w:pStyle w:val="Spistreci2"/>
            <w:tabs>
              <w:tab w:val="right" w:leader="dot" w:pos="9062"/>
            </w:tabs>
            <w:rPr>
              <w:rFonts w:eastAsiaTheme="minorEastAsia"/>
              <w:noProof/>
              <w:sz w:val="24"/>
              <w:szCs w:val="24"/>
              <w:lang w:eastAsia="pl-PL"/>
            </w:rPr>
          </w:pPr>
          <w:hyperlink w:anchor="_Toc196905127" w:history="1">
            <w:r w:rsidR="00CA313E" w:rsidRPr="00DC2D22">
              <w:rPr>
                <w:rStyle w:val="Hipercze"/>
                <w:noProof/>
              </w:rPr>
              <w:t>2.6. Wzmocnienie konkurencyjności gospodarki</w:t>
            </w:r>
            <w:r w:rsidR="00CA313E">
              <w:rPr>
                <w:noProof/>
                <w:webHidden/>
              </w:rPr>
              <w:tab/>
            </w:r>
            <w:r>
              <w:rPr>
                <w:noProof/>
                <w:webHidden/>
              </w:rPr>
              <w:fldChar w:fldCharType="begin"/>
            </w:r>
            <w:r w:rsidR="00CA313E">
              <w:rPr>
                <w:noProof/>
                <w:webHidden/>
              </w:rPr>
              <w:instrText xml:space="preserve"> PAGEREF _Toc196905127 \h </w:instrText>
            </w:r>
            <w:r>
              <w:rPr>
                <w:noProof/>
                <w:webHidden/>
              </w:rPr>
            </w:r>
            <w:r>
              <w:rPr>
                <w:noProof/>
                <w:webHidden/>
              </w:rPr>
              <w:fldChar w:fldCharType="separate"/>
            </w:r>
            <w:r w:rsidR="0084338D">
              <w:rPr>
                <w:noProof/>
                <w:webHidden/>
              </w:rPr>
              <w:t>33</w:t>
            </w:r>
            <w:r>
              <w:rPr>
                <w:noProof/>
                <w:webHidden/>
              </w:rPr>
              <w:fldChar w:fldCharType="end"/>
            </w:r>
          </w:hyperlink>
        </w:p>
        <w:p w:rsidR="00CA313E" w:rsidRDefault="00646D05">
          <w:pPr>
            <w:pStyle w:val="Spistreci2"/>
            <w:tabs>
              <w:tab w:val="right" w:leader="dot" w:pos="9062"/>
            </w:tabs>
            <w:rPr>
              <w:rFonts w:eastAsiaTheme="minorEastAsia"/>
              <w:noProof/>
              <w:sz w:val="24"/>
              <w:szCs w:val="24"/>
              <w:lang w:eastAsia="pl-PL"/>
            </w:rPr>
          </w:pPr>
          <w:hyperlink w:anchor="_Toc196905128" w:history="1">
            <w:r w:rsidR="00CA313E" w:rsidRPr="00DC2D22">
              <w:rPr>
                <w:rStyle w:val="Hipercze"/>
                <w:noProof/>
              </w:rPr>
              <w:t>2.7. Rozwój turystyki i wzrost rozpoznawalności turystycznej</w:t>
            </w:r>
            <w:r w:rsidR="00CA313E">
              <w:rPr>
                <w:noProof/>
                <w:webHidden/>
              </w:rPr>
              <w:tab/>
            </w:r>
            <w:r>
              <w:rPr>
                <w:noProof/>
                <w:webHidden/>
              </w:rPr>
              <w:fldChar w:fldCharType="begin"/>
            </w:r>
            <w:r w:rsidR="00CA313E">
              <w:rPr>
                <w:noProof/>
                <w:webHidden/>
              </w:rPr>
              <w:instrText xml:space="preserve"> PAGEREF _Toc196905128 \h </w:instrText>
            </w:r>
            <w:r>
              <w:rPr>
                <w:noProof/>
                <w:webHidden/>
              </w:rPr>
            </w:r>
            <w:r>
              <w:rPr>
                <w:noProof/>
                <w:webHidden/>
              </w:rPr>
              <w:fldChar w:fldCharType="separate"/>
            </w:r>
            <w:r w:rsidR="0084338D">
              <w:rPr>
                <w:noProof/>
                <w:webHidden/>
              </w:rPr>
              <w:t>40</w:t>
            </w:r>
            <w:r>
              <w:rPr>
                <w:noProof/>
                <w:webHidden/>
              </w:rPr>
              <w:fldChar w:fldCharType="end"/>
            </w:r>
          </w:hyperlink>
        </w:p>
        <w:p w:rsidR="00CA313E" w:rsidRDefault="00646D05">
          <w:pPr>
            <w:pStyle w:val="Spistreci2"/>
            <w:tabs>
              <w:tab w:val="right" w:leader="dot" w:pos="9062"/>
            </w:tabs>
            <w:rPr>
              <w:rFonts w:eastAsiaTheme="minorEastAsia"/>
              <w:noProof/>
              <w:sz w:val="24"/>
              <w:szCs w:val="24"/>
              <w:lang w:eastAsia="pl-PL"/>
            </w:rPr>
          </w:pPr>
          <w:hyperlink w:anchor="_Toc196905129" w:history="1">
            <w:r w:rsidR="00CA313E" w:rsidRPr="00DC2D22">
              <w:rPr>
                <w:rStyle w:val="Hipercze"/>
                <w:noProof/>
              </w:rPr>
              <w:t>2.8. Rozwój systemów transportowych kraju</w:t>
            </w:r>
            <w:r w:rsidR="00CA313E">
              <w:rPr>
                <w:noProof/>
                <w:webHidden/>
              </w:rPr>
              <w:tab/>
            </w:r>
            <w:r>
              <w:rPr>
                <w:noProof/>
                <w:webHidden/>
              </w:rPr>
              <w:fldChar w:fldCharType="begin"/>
            </w:r>
            <w:r w:rsidR="00CA313E">
              <w:rPr>
                <w:noProof/>
                <w:webHidden/>
              </w:rPr>
              <w:instrText xml:space="preserve"> PAGEREF _Toc196905129 \h </w:instrText>
            </w:r>
            <w:r>
              <w:rPr>
                <w:noProof/>
                <w:webHidden/>
              </w:rPr>
            </w:r>
            <w:r>
              <w:rPr>
                <w:noProof/>
                <w:webHidden/>
              </w:rPr>
              <w:fldChar w:fldCharType="separate"/>
            </w:r>
            <w:r w:rsidR="0084338D">
              <w:rPr>
                <w:noProof/>
                <w:webHidden/>
              </w:rPr>
              <w:t>45</w:t>
            </w:r>
            <w:r>
              <w:rPr>
                <w:noProof/>
                <w:webHidden/>
              </w:rPr>
              <w:fldChar w:fldCharType="end"/>
            </w:r>
          </w:hyperlink>
        </w:p>
        <w:p w:rsidR="00CA313E" w:rsidRDefault="00646D05">
          <w:pPr>
            <w:pStyle w:val="Spistreci2"/>
            <w:tabs>
              <w:tab w:val="right" w:leader="dot" w:pos="9062"/>
            </w:tabs>
            <w:rPr>
              <w:rFonts w:eastAsiaTheme="minorEastAsia"/>
              <w:noProof/>
              <w:sz w:val="24"/>
              <w:szCs w:val="24"/>
              <w:lang w:eastAsia="pl-PL"/>
            </w:rPr>
          </w:pPr>
          <w:hyperlink w:anchor="_Toc196905130" w:history="1">
            <w:r w:rsidR="00CA313E" w:rsidRPr="00DC2D22">
              <w:rPr>
                <w:rStyle w:val="Hipercze"/>
                <w:noProof/>
              </w:rPr>
              <w:t>2.9. Modernizacja energetyczna kraju</w:t>
            </w:r>
            <w:r w:rsidR="00CA313E">
              <w:rPr>
                <w:noProof/>
                <w:webHidden/>
              </w:rPr>
              <w:tab/>
            </w:r>
            <w:r>
              <w:rPr>
                <w:noProof/>
                <w:webHidden/>
              </w:rPr>
              <w:fldChar w:fldCharType="begin"/>
            </w:r>
            <w:r w:rsidR="00CA313E">
              <w:rPr>
                <w:noProof/>
                <w:webHidden/>
              </w:rPr>
              <w:instrText xml:space="preserve"> PAGEREF _Toc196905130 \h </w:instrText>
            </w:r>
            <w:r>
              <w:rPr>
                <w:noProof/>
                <w:webHidden/>
              </w:rPr>
            </w:r>
            <w:r>
              <w:rPr>
                <w:noProof/>
                <w:webHidden/>
              </w:rPr>
              <w:fldChar w:fldCharType="separate"/>
            </w:r>
            <w:r w:rsidR="0084338D">
              <w:rPr>
                <w:noProof/>
                <w:webHidden/>
              </w:rPr>
              <w:t>50</w:t>
            </w:r>
            <w:r>
              <w:rPr>
                <w:noProof/>
                <w:webHidden/>
              </w:rPr>
              <w:fldChar w:fldCharType="end"/>
            </w:r>
          </w:hyperlink>
        </w:p>
        <w:p w:rsidR="00CA313E" w:rsidRDefault="00646D05">
          <w:pPr>
            <w:pStyle w:val="Spistreci2"/>
            <w:tabs>
              <w:tab w:val="right" w:leader="dot" w:pos="9062"/>
            </w:tabs>
            <w:rPr>
              <w:rFonts w:eastAsiaTheme="minorEastAsia"/>
              <w:noProof/>
              <w:sz w:val="24"/>
              <w:szCs w:val="24"/>
              <w:lang w:eastAsia="pl-PL"/>
            </w:rPr>
          </w:pPr>
          <w:hyperlink w:anchor="_Toc196905131" w:history="1">
            <w:r w:rsidR="00CA313E" w:rsidRPr="00DC2D22">
              <w:rPr>
                <w:rStyle w:val="Hipercze"/>
                <w:noProof/>
              </w:rPr>
              <w:t>2.10. Zmiany klimatu i utrata bioróżnorodności</w:t>
            </w:r>
            <w:r w:rsidR="00CA313E">
              <w:rPr>
                <w:noProof/>
                <w:webHidden/>
              </w:rPr>
              <w:tab/>
            </w:r>
            <w:r>
              <w:rPr>
                <w:noProof/>
                <w:webHidden/>
              </w:rPr>
              <w:fldChar w:fldCharType="begin"/>
            </w:r>
            <w:r w:rsidR="00CA313E">
              <w:rPr>
                <w:noProof/>
                <w:webHidden/>
              </w:rPr>
              <w:instrText xml:space="preserve"> PAGEREF _Toc196905131 \h </w:instrText>
            </w:r>
            <w:r>
              <w:rPr>
                <w:noProof/>
                <w:webHidden/>
              </w:rPr>
            </w:r>
            <w:r>
              <w:rPr>
                <w:noProof/>
                <w:webHidden/>
              </w:rPr>
              <w:fldChar w:fldCharType="separate"/>
            </w:r>
            <w:r w:rsidR="0084338D">
              <w:rPr>
                <w:noProof/>
                <w:webHidden/>
              </w:rPr>
              <w:t>52</w:t>
            </w:r>
            <w:r>
              <w:rPr>
                <w:noProof/>
                <w:webHidden/>
              </w:rPr>
              <w:fldChar w:fldCharType="end"/>
            </w:r>
          </w:hyperlink>
        </w:p>
        <w:p w:rsidR="00CA313E" w:rsidRDefault="00646D05">
          <w:pPr>
            <w:pStyle w:val="Spistreci2"/>
            <w:tabs>
              <w:tab w:val="right" w:leader="dot" w:pos="9062"/>
            </w:tabs>
            <w:rPr>
              <w:rFonts w:eastAsiaTheme="minorEastAsia"/>
              <w:noProof/>
              <w:sz w:val="24"/>
              <w:szCs w:val="24"/>
              <w:lang w:eastAsia="pl-PL"/>
            </w:rPr>
          </w:pPr>
          <w:hyperlink w:anchor="_Toc196905132" w:history="1">
            <w:r w:rsidR="00CA313E" w:rsidRPr="00DC2D22">
              <w:rPr>
                <w:rStyle w:val="Hipercze"/>
                <w:noProof/>
              </w:rPr>
              <w:t>2.11. Zagrożenia dla bezpieczeństwa i suwerenności kraju i modernizacja zdolności obronnych</w:t>
            </w:r>
            <w:r w:rsidR="00CA313E">
              <w:rPr>
                <w:noProof/>
                <w:webHidden/>
              </w:rPr>
              <w:tab/>
            </w:r>
            <w:r>
              <w:rPr>
                <w:noProof/>
                <w:webHidden/>
              </w:rPr>
              <w:fldChar w:fldCharType="begin"/>
            </w:r>
            <w:r w:rsidR="00CA313E">
              <w:rPr>
                <w:noProof/>
                <w:webHidden/>
              </w:rPr>
              <w:instrText xml:space="preserve"> PAGEREF _Toc196905132 \h </w:instrText>
            </w:r>
            <w:r>
              <w:rPr>
                <w:noProof/>
                <w:webHidden/>
              </w:rPr>
            </w:r>
            <w:r>
              <w:rPr>
                <w:noProof/>
                <w:webHidden/>
              </w:rPr>
              <w:fldChar w:fldCharType="separate"/>
            </w:r>
            <w:r w:rsidR="0084338D">
              <w:rPr>
                <w:noProof/>
                <w:webHidden/>
              </w:rPr>
              <w:t>54</w:t>
            </w:r>
            <w:r>
              <w:rPr>
                <w:noProof/>
                <w:webHidden/>
              </w:rPr>
              <w:fldChar w:fldCharType="end"/>
            </w:r>
          </w:hyperlink>
        </w:p>
        <w:p w:rsidR="00CA313E" w:rsidRDefault="00646D05">
          <w:pPr>
            <w:pStyle w:val="Spistreci2"/>
            <w:tabs>
              <w:tab w:val="right" w:leader="dot" w:pos="9062"/>
            </w:tabs>
            <w:rPr>
              <w:rFonts w:eastAsiaTheme="minorEastAsia"/>
              <w:noProof/>
              <w:sz w:val="24"/>
              <w:szCs w:val="24"/>
              <w:lang w:eastAsia="pl-PL"/>
            </w:rPr>
          </w:pPr>
          <w:hyperlink w:anchor="_Toc196905133" w:history="1">
            <w:r w:rsidR="00CA313E" w:rsidRPr="00DC2D22">
              <w:rPr>
                <w:rStyle w:val="Hipercze"/>
                <w:noProof/>
              </w:rPr>
              <w:t>2.12. Aktywne uczestnictwo Polski w funkcjonowaniu i członkostwie w Unii Europejskiej</w:t>
            </w:r>
            <w:r w:rsidR="00CA313E">
              <w:rPr>
                <w:noProof/>
                <w:webHidden/>
              </w:rPr>
              <w:tab/>
            </w:r>
            <w:r>
              <w:rPr>
                <w:noProof/>
                <w:webHidden/>
              </w:rPr>
              <w:fldChar w:fldCharType="begin"/>
            </w:r>
            <w:r w:rsidR="00CA313E">
              <w:rPr>
                <w:noProof/>
                <w:webHidden/>
              </w:rPr>
              <w:instrText xml:space="preserve"> PAGEREF _Toc196905133 \h </w:instrText>
            </w:r>
            <w:r>
              <w:rPr>
                <w:noProof/>
                <w:webHidden/>
              </w:rPr>
            </w:r>
            <w:r>
              <w:rPr>
                <w:noProof/>
                <w:webHidden/>
              </w:rPr>
              <w:fldChar w:fldCharType="separate"/>
            </w:r>
            <w:r w:rsidR="0084338D">
              <w:rPr>
                <w:noProof/>
                <w:webHidden/>
              </w:rPr>
              <w:t>56</w:t>
            </w:r>
            <w:r>
              <w:rPr>
                <w:noProof/>
                <w:webHidden/>
              </w:rPr>
              <w:fldChar w:fldCharType="end"/>
            </w:r>
          </w:hyperlink>
        </w:p>
        <w:p w:rsidR="00CA313E" w:rsidRDefault="00646D05">
          <w:pPr>
            <w:pStyle w:val="Spistreci2"/>
            <w:tabs>
              <w:tab w:val="right" w:leader="dot" w:pos="9062"/>
            </w:tabs>
            <w:rPr>
              <w:rFonts w:eastAsiaTheme="minorEastAsia"/>
              <w:noProof/>
              <w:sz w:val="24"/>
              <w:szCs w:val="24"/>
              <w:lang w:eastAsia="pl-PL"/>
            </w:rPr>
          </w:pPr>
          <w:hyperlink w:anchor="_Toc196905134" w:history="1">
            <w:r w:rsidR="00CA313E" w:rsidRPr="00DC2D22">
              <w:rPr>
                <w:rStyle w:val="Hipercze"/>
                <w:noProof/>
              </w:rPr>
              <w:t>2.13. Niwelowanie nierówności rozwoju kraju</w:t>
            </w:r>
            <w:r w:rsidR="00CA313E">
              <w:rPr>
                <w:noProof/>
                <w:webHidden/>
              </w:rPr>
              <w:tab/>
            </w:r>
            <w:r>
              <w:rPr>
                <w:noProof/>
                <w:webHidden/>
              </w:rPr>
              <w:fldChar w:fldCharType="begin"/>
            </w:r>
            <w:r w:rsidR="00CA313E">
              <w:rPr>
                <w:noProof/>
                <w:webHidden/>
              </w:rPr>
              <w:instrText xml:space="preserve"> PAGEREF _Toc196905134 \h </w:instrText>
            </w:r>
            <w:r>
              <w:rPr>
                <w:noProof/>
                <w:webHidden/>
              </w:rPr>
            </w:r>
            <w:r>
              <w:rPr>
                <w:noProof/>
                <w:webHidden/>
              </w:rPr>
              <w:fldChar w:fldCharType="separate"/>
            </w:r>
            <w:r w:rsidR="0084338D">
              <w:rPr>
                <w:noProof/>
                <w:webHidden/>
              </w:rPr>
              <w:t>59</w:t>
            </w:r>
            <w:r>
              <w:rPr>
                <w:noProof/>
                <w:webHidden/>
              </w:rPr>
              <w:fldChar w:fldCharType="end"/>
            </w:r>
          </w:hyperlink>
        </w:p>
        <w:p w:rsidR="00CA313E" w:rsidRDefault="00646D05">
          <w:pPr>
            <w:pStyle w:val="Spistreci1"/>
            <w:tabs>
              <w:tab w:val="right" w:leader="dot" w:pos="9062"/>
            </w:tabs>
            <w:rPr>
              <w:rFonts w:eastAsiaTheme="minorEastAsia"/>
              <w:noProof/>
              <w:sz w:val="24"/>
              <w:szCs w:val="24"/>
              <w:lang w:eastAsia="pl-PL"/>
            </w:rPr>
          </w:pPr>
          <w:hyperlink w:anchor="_Toc196905135" w:history="1">
            <w:r w:rsidR="00CA313E" w:rsidRPr="00DC2D22">
              <w:rPr>
                <w:rStyle w:val="Hipercze"/>
                <w:noProof/>
              </w:rPr>
              <w:t>3. Identyfikacja możliwości wynikających z założeń polityk publicznych i ich finansowania</w:t>
            </w:r>
            <w:r w:rsidR="00CA313E">
              <w:rPr>
                <w:noProof/>
                <w:webHidden/>
              </w:rPr>
              <w:tab/>
            </w:r>
            <w:r>
              <w:rPr>
                <w:noProof/>
                <w:webHidden/>
              </w:rPr>
              <w:fldChar w:fldCharType="begin"/>
            </w:r>
            <w:r w:rsidR="00CA313E">
              <w:rPr>
                <w:noProof/>
                <w:webHidden/>
              </w:rPr>
              <w:instrText xml:space="preserve"> PAGEREF _Toc196905135 \h </w:instrText>
            </w:r>
            <w:r>
              <w:rPr>
                <w:noProof/>
                <w:webHidden/>
              </w:rPr>
            </w:r>
            <w:r>
              <w:rPr>
                <w:noProof/>
                <w:webHidden/>
              </w:rPr>
              <w:fldChar w:fldCharType="separate"/>
            </w:r>
            <w:r w:rsidR="0084338D">
              <w:rPr>
                <w:noProof/>
                <w:webHidden/>
              </w:rPr>
              <w:t>61</w:t>
            </w:r>
            <w:r>
              <w:rPr>
                <w:noProof/>
                <w:webHidden/>
              </w:rPr>
              <w:fldChar w:fldCharType="end"/>
            </w:r>
          </w:hyperlink>
        </w:p>
        <w:p w:rsidR="00CA313E" w:rsidRDefault="00646D05">
          <w:pPr>
            <w:pStyle w:val="Spistreci1"/>
            <w:tabs>
              <w:tab w:val="right" w:leader="dot" w:pos="9062"/>
            </w:tabs>
            <w:rPr>
              <w:rFonts w:eastAsiaTheme="minorEastAsia"/>
              <w:noProof/>
              <w:sz w:val="24"/>
              <w:szCs w:val="24"/>
              <w:lang w:eastAsia="pl-PL"/>
            </w:rPr>
          </w:pPr>
          <w:hyperlink w:anchor="_Toc196905136" w:history="1">
            <w:r w:rsidR="00CA313E" w:rsidRPr="00DC2D22">
              <w:rPr>
                <w:rStyle w:val="Hipercze"/>
                <w:noProof/>
              </w:rPr>
              <w:t>4. Identyfikacja przewag i wyzwań wynikających z pozycji rozwojowej ośrodków konkurencyjnych</w:t>
            </w:r>
            <w:r w:rsidR="00CA313E">
              <w:rPr>
                <w:noProof/>
                <w:webHidden/>
              </w:rPr>
              <w:tab/>
            </w:r>
            <w:r>
              <w:rPr>
                <w:noProof/>
                <w:webHidden/>
              </w:rPr>
              <w:fldChar w:fldCharType="begin"/>
            </w:r>
            <w:r w:rsidR="00CA313E">
              <w:rPr>
                <w:noProof/>
                <w:webHidden/>
              </w:rPr>
              <w:instrText xml:space="preserve"> PAGEREF _Toc196905136 \h </w:instrText>
            </w:r>
            <w:r>
              <w:rPr>
                <w:noProof/>
                <w:webHidden/>
              </w:rPr>
            </w:r>
            <w:r>
              <w:rPr>
                <w:noProof/>
                <w:webHidden/>
              </w:rPr>
              <w:fldChar w:fldCharType="separate"/>
            </w:r>
            <w:r w:rsidR="0084338D">
              <w:rPr>
                <w:noProof/>
                <w:webHidden/>
              </w:rPr>
              <w:t>86</w:t>
            </w:r>
            <w:r>
              <w:rPr>
                <w:noProof/>
                <w:webHidden/>
              </w:rPr>
              <w:fldChar w:fldCharType="end"/>
            </w:r>
          </w:hyperlink>
        </w:p>
        <w:p w:rsidR="00CA313E" w:rsidRDefault="00646D05">
          <w:pPr>
            <w:pStyle w:val="Spistreci2"/>
            <w:tabs>
              <w:tab w:val="left" w:pos="960"/>
              <w:tab w:val="right" w:leader="dot" w:pos="9062"/>
            </w:tabs>
            <w:rPr>
              <w:rFonts w:eastAsiaTheme="minorEastAsia"/>
              <w:noProof/>
              <w:sz w:val="24"/>
              <w:szCs w:val="24"/>
              <w:lang w:eastAsia="pl-PL"/>
            </w:rPr>
          </w:pPr>
          <w:hyperlink w:anchor="_Toc196905137" w:history="1">
            <w:r w:rsidR="00CA313E" w:rsidRPr="00DC2D22">
              <w:rPr>
                <w:rStyle w:val="Hipercze"/>
                <w:noProof/>
              </w:rPr>
              <w:t>4.1.</w:t>
            </w:r>
            <w:r w:rsidR="00CA313E">
              <w:rPr>
                <w:rFonts w:eastAsiaTheme="minorEastAsia"/>
                <w:noProof/>
                <w:sz w:val="24"/>
                <w:szCs w:val="24"/>
                <w:lang w:eastAsia="pl-PL"/>
              </w:rPr>
              <w:tab/>
            </w:r>
            <w:r w:rsidR="00CA313E" w:rsidRPr="00DC2D22">
              <w:rPr>
                <w:rStyle w:val="Hipercze"/>
                <w:noProof/>
              </w:rPr>
              <w:t>Porównanie obszarów funkcjonalnych</w:t>
            </w:r>
            <w:r w:rsidR="00CA313E">
              <w:rPr>
                <w:noProof/>
                <w:webHidden/>
              </w:rPr>
              <w:tab/>
            </w:r>
            <w:r>
              <w:rPr>
                <w:noProof/>
                <w:webHidden/>
              </w:rPr>
              <w:fldChar w:fldCharType="begin"/>
            </w:r>
            <w:r w:rsidR="00CA313E">
              <w:rPr>
                <w:noProof/>
                <w:webHidden/>
              </w:rPr>
              <w:instrText xml:space="preserve"> PAGEREF _Toc196905137 \h </w:instrText>
            </w:r>
            <w:r>
              <w:rPr>
                <w:noProof/>
                <w:webHidden/>
              </w:rPr>
            </w:r>
            <w:r>
              <w:rPr>
                <w:noProof/>
                <w:webHidden/>
              </w:rPr>
              <w:fldChar w:fldCharType="separate"/>
            </w:r>
            <w:r w:rsidR="0084338D">
              <w:rPr>
                <w:noProof/>
                <w:webHidden/>
              </w:rPr>
              <w:t>87</w:t>
            </w:r>
            <w:r>
              <w:rPr>
                <w:noProof/>
                <w:webHidden/>
              </w:rPr>
              <w:fldChar w:fldCharType="end"/>
            </w:r>
          </w:hyperlink>
        </w:p>
        <w:p w:rsidR="00CA313E" w:rsidRDefault="00646D05">
          <w:pPr>
            <w:pStyle w:val="Spistreci2"/>
            <w:tabs>
              <w:tab w:val="left" w:pos="960"/>
              <w:tab w:val="right" w:leader="dot" w:pos="9062"/>
            </w:tabs>
            <w:rPr>
              <w:rFonts w:eastAsiaTheme="minorEastAsia"/>
              <w:noProof/>
              <w:sz w:val="24"/>
              <w:szCs w:val="24"/>
              <w:lang w:eastAsia="pl-PL"/>
            </w:rPr>
          </w:pPr>
          <w:hyperlink w:anchor="_Toc196905138" w:history="1">
            <w:r w:rsidR="00CA313E" w:rsidRPr="00DC2D22">
              <w:rPr>
                <w:rStyle w:val="Hipercze"/>
                <w:noProof/>
              </w:rPr>
              <w:t>4.2.</w:t>
            </w:r>
            <w:r w:rsidR="00CA313E">
              <w:rPr>
                <w:rFonts w:eastAsiaTheme="minorEastAsia"/>
                <w:noProof/>
                <w:sz w:val="24"/>
                <w:szCs w:val="24"/>
                <w:lang w:eastAsia="pl-PL"/>
              </w:rPr>
              <w:tab/>
            </w:r>
            <w:r w:rsidR="00CA313E" w:rsidRPr="00DC2D22">
              <w:rPr>
                <w:rStyle w:val="Hipercze"/>
                <w:noProof/>
              </w:rPr>
              <w:t>Wnioski</w:t>
            </w:r>
            <w:r w:rsidR="00CA313E">
              <w:rPr>
                <w:noProof/>
                <w:webHidden/>
              </w:rPr>
              <w:tab/>
            </w:r>
            <w:r>
              <w:rPr>
                <w:noProof/>
                <w:webHidden/>
              </w:rPr>
              <w:fldChar w:fldCharType="begin"/>
            </w:r>
            <w:r w:rsidR="00CA313E">
              <w:rPr>
                <w:noProof/>
                <w:webHidden/>
              </w:rPr>
              <w:instrText xml:space="preserve"> PAGEREF _Toc196905138 \h </w:instrText>
            </w:r>
            <w:r>
              <w:rPr>
                <w:noProof/>
                <w:webHidden/>
              </w:rPr>
            </w:r>
            <w:r>
              <w:rPr>
                <w:noProof/>
                <w:webHidden/>
              </w:rPr>
              <w:fldChar w:fldCharType="separate"/>
            </w:r>
            <w:r w:rsidR="0084338D">
              <w:rPr>
                <w:noProof/>
                <w:webHidden/>
              </w:rPr>
              <w:t>127</w:t>
            </w:r>
            <w:r>
              <w:rPr>
                <w:noProof/>
                <w:webHidden/>
              </w:rPr>
              <w:fldChar w:fldCharType="end"/>
            </w:r>
          </w:hyperlink>
        </w:p>
        <w:p w:rsidR="00CA313E" w:rsidRDefault="00646D05">
          <w:pPr>
            <w:pStyle w:val="Spistreci1"/>
            <w:tabs>
              <w:tab w:val="right" w:leader="dot" w:pos="9062"/>
            </w:tabs>
            <w:rPr>
              <w:rFonts w:eastAsiaTheme="minorEastAsia"/>
              <w:noProof/>
              <w:sz w:val="24"/>
              <w:szCs w:val="24"/>
              <w:lang w:eastAsia="pl-PL"/>
            </w:rPr>
          </w:pPr>
          <w:hyperlink w:anchor="_Toc196905139" w:history="1">
            <w:r w:rsidR="00CA313E" w:rsidRPr="00DC2D22">
              <w:rPr>
                <w:rStyle w:val="Hipercze"/>
                <w:noProof/>
              </w:rPr>
              <w:t>5. Spis rysunków, tabel, wykresów</w:t>
            </w:r>
            <w:r w:rsidR="00CA313E">
              <w:rPr>
                <w:noProof/>
                <w:webHidden/>
              </w:rPr>
              <w:tab/>
            </w:r>
            <w:r>
              <w:rPr>
                <w:noProof/>
                <w:webHidden/>
              </w:rPr>
              <w:fldChar w:fldCharType="begin"/>
            </w:r>
            <w:r w:rsidR="00CA313E">
              <w:rPr>
                <w:noProof/>
                <w:webHidden/>
              </w:rPr>
              <w:instrText xml:space="preserve"> PAGEREF _Toc196905139 \h </w:instrText>
            </w:r>
            <w:r>
              <w:rPr>
                <w:noProof/>
                <w:webHidden/>
              </w:rPr>
            </w:r>
            <w:r>
              <w:rPr>
                <w:noProof/>
                <w:webHidden/>
              </w:rPr>
              <w:fldChar w:fldCharType="separate"/>
            </w:r>
            <w:r w:rsidR="0084338D">
              <w:rPr>
                <w:noProof/>
                <w:webHidden/>
              </w:rPr>
              <w:t>129</w:t>
            </w:r>
            <w:r>
              <w:rPr>
                <w:noProof/>
                <w:webHidden/>
              </w:rPr>
              <w:fldChar w:fldCharType="end"/>
            </w:r>
          </w:hyperlink>
        </w:p>
        <w:p w:rsidR="00DD5DD5" w:rsidRDefault="00646D05" w:rsidP="00A31037">
          <w:pPr>
            <w:rPr>
              <w:b/>
              <w:bCs/>
            </w:rPr>
          </w:pPr>
          <w:r>
            <w:rPr>
              <w:b/>
              <w:bCs/>
            </w:rPr>
            <w:fldChar w:fldCharType="end"/>
          </w:r>
        </w:p>
      </w:sdtContent>
    </w:sdt>
    <w:p w:rsidR="00DD5DD5" w:rsidRDefault="00DD5DD5">
      <w:pPr>
        <w:spacing w:after="160" w:line="259" w:lineRule="auto"/>
        <w:jc w:val="left"/>
        <w:rPr>
          <w:b/>
          <w:bCs/>
        </w:rPr>
      </w:pPr>
      <w:r>
        <w:rPr>
          <w:b/>
          <w:bCs/>
        </w:rPr>
        <w:br w:type="page"/>
      </w:r>
    </w:p>
    <w:p w:rsidR="00D5571F" w:rsidRDefault="00D5571F" w:rsidP="00D5571F">
      <w:pPr>
        <w:pStyle w:val="Nagwek1"/>
        <w:numPr>
          <w:ilvl w:val="0"/>
          <w:numId w:val="0"/>
        </w:numPr>
      </w:pPr>
      <w:bookmarkStart w:id="0" w:name="_Toc196905119"/>
      <w:bookmarkStart w:id="1" w:name="_Hlk195007198"/>
      <w:r>
        <w:lastRenderedPageBreak/>
        <w:t>Wykaz skrótów</w:t>
      </w:r>
      <w:bookmarkEnd w:id="0"/>
    </w:p>
    <w:tbl>
      <w:tblPr>
        <w:tblStyle w:val="Tabela-Siatka"/>
        <w:tblW w:w="0" w:type="auto"/>
        <w:tblLook w:val="04A0"/>
      </w:tblPr>
      <w:tblGrid>
        <w:gridCol w:w="4531"/>
        <w:gridCol w:w="4531"/>
      </w:tblGrid>
      <w:tr w:rsidR="00D5571F" w:rsidTr="00D5571F">
        <w:trPr>
          <w:tblHeader/>
        </w:trPr>
        <w:tc>
          <w:tcPr>
            <w:tcW w:w="4531" w:type="dxa"/>
            <w:shd w:val="clear" w:color="auto" w:fill="F3CD42" w:themeFill="accent2"/>
          </w:tcPr>
          <w:p w:rsidR="00D5571F" w:rsidRDefault="00D5571F" w:rsidP="00D5571F">
            <w:pPr>
              <w:spacing w:after="160" w:line="240" w:lineRule="auto"/>
              <w:jc w:val="left"/>
              <w:rPr>
                <w:b/>
                <w:bCs/>
              </w:rPr>
            </w:pPr>
            <w:r>
              <w:rPr>
                <w:b/>
                <w:bCs/>
              </w:rPr>
              <w:t>Skrót</w:t>
            </w:r>
          </w:p>
        </w:tc>
        <w:tc>
          <w:tcPr>
            <w:tcW w:w="4531" w:type="dxa"/>
            <w:shd w:val="clear" w:color="auto" w:fill="F3CD42" w:themeFill="accent2"/>
          </w:tcPr>
          <w:p w:rsidR="00D5571F" w:rsidRDefault="00D5571F" w:rsidP="00D5571F">
            <w:pPr>
              <w:spacing w:after="160" w:line="240" w:lineRule="auto"/>
              <w:jc w:val="left"/>
              <w:rPr>
                <w:b/>
                <w:bCs/>
              </w:rPr>
            </w:pPr>
            <w:r>
              <w:rPr>
                <w:b/>
                <w:bCs/>
              </w:rPr>
              <w:t>Pełna nazwa</w:t>
            </w:r>
          </w:p>
        </w:tc>
      </w:tr>
      <w:tr w:rsidR="00D5571F" w:rsidTr="00220F9D">
        <w:tc>
          <w:tcPr>
            <w:tcW w:w="4531" w:type="dxa"/>
          </w:tcPr>
          <w:p w:rsidR="00D5571F" w:rsidRDefault="00D5571F" w:rsidP="00D5571F">
            <w:pPr>
              <w:spacing w:line="240" w:lineRule="auto"/>
              <w:rPr>
                <w:b/>
                <w:bCs/>
              </w:rPr>
            </w:pPr>
            <w:r>
              <w:rPr>
                <w:b/>
                <w:bCs/>
              </w:rPr>
              <w:t>AI</w:t>
            </w:r>
          </w:p>
        </w:tc>
        <w:tc>
          <w:tcPr>
            <w:tcW w:w="4531" w:type="dxa"/>
          </w:tcPr>
          <w:p w:rsidR="00D5571F" w:rsidRPr="00DD5DD5" w:rsidRDefault="00D5571F" w:rsidP="00D5571F">
            <w:pPr>
              <w:spacing w:line="240" w:lineRule="auto"/>
            </w:pPr>
            <w:proofErr w:type="spellStart"/>
            <w:r w:rsidRPr="00817C87">
              <w:t>Artificial</w:t>
            </w:r>
            <w:proofErr w:type="spellEnd"/>
            <w:r w:rsidRPr="00817C87">
              <w:t xml:space="preserve"> </w:t>
            </w:r>
            <w:proofErr w:type="spellStart"/>
            <w:r w:rsidRPr="00817C87">
              <w:t>Intelligence</w:t>
            </w:r>
            <w:proofErr w:type="spellEnd"/>
          </w:p>
        </w:tc>
      </w:tr>
      <w:tr w:rsidR="00D5571F" w:rsidTr="00220F9D">
        <w:tc>
          <w:tcPr>
            <w:tcW w:w="4531" w:type="dxa"/>
          </w:tcPr>
          <w:p w:rsidR="00D5571F" w:rsidRDefault="00D5571F" w:rsidP="00D5571F">
            <w:pPr>
              <w:spacing w:line="240" w:lineRule="auto"/>
              <w:rPr>
                <w:b/>
                <w:bCs/>
              </w:rPr>
            </w:pPr>
            <w:r>
              <w:rPr>
                <w:b/>
                <w:bCs/>
              </w:rPr>
              <w:t>BMA</w:t>
            </w:r>
          </w:p>
        </w:tc>
        <w:tc>
          <w:tcPr>
            <w:tcW w:w="4531" w:type="dxa"/>
          </w:tcPr>
          <w:p w:rsidR="00D5571F" w:rsidRPr="00DD5DD5" w:rsidRDefault="00D5571F" w:rsidP="00D5571F">
            <w:pPr>
              <w:spacing w:line="240" w:lineRule="auto"/>
            </w:pPr>
            <w:r w:rsidRPr="00DD5DD5">
              <w:t>Brneński Obszar Metropolitalny</w:t>
            </w:r>
          </w:p>
        </w:tc>
      </w:tr>
      <w:tr w:rsidR="00D5571F" w:rsidTr="00220F9D">
        <w:tc>
          <w:tcPr>
            <w:tcW w:w="4531" w:type="dxa"/>
          </w:tcPr>
          <w:p w:rsidR="00D5571F" w:rsidRDefault="00D5571F" w:rsidP="00D5571F">
            <w:pPr>
              <w:spacing w:line="240" w:lineRule="auto"/>
              <w:rPr>
                <w:b/>
                <w:bCs/>
              </w:rPr>
            </w:pPr>
            <w:r w:rsidRPr="000A151D">
              <w:rPr>
                <w:b/>
                <w:bCs/>
              </w:rPr>
              <w:t>BRT</w:t>
            </w:r>
          </w:p>
        </w:tc>
        <w:tc>
          <w:tcPr>
            <w:tcW w:w="4531" w:type="dxa"/>
          </w:tcPr>
          <w:p w:rsidR="00D5571F" w:rsidRPr="00DD5DD5" w:rsidRDefault="00D5571F" w:rsidP="00D5571F">
            <w:pPr>
              <w:spacing w:line="240" w:lineRule="auto"/>
            </w:pPr>
            <w:r w:rsidRPr="000A151D">
              <w:t xml:space="preserve">Bus </w:t>
            </w:r>
            <w:proofErr w:type="spellStart"/>
            <w:r w:rsidRPr="000A151D">
              <w:t>Rapid</w:t>
            </w:r>
            <w:proofErr w:type="spellEnd"/>
            <w:r w:rsidRPr="000A151D">
              <w:t xml:space="preserve"> Transit </w:t>
            </w:r>
          </w:p>
        </w:tc>
      </w:tr>
      <w:tr w:rsidR="00D5571F" w:rsidTr="00220F9D">
        <w:tc>
          <w:tcPr>
            <w:tcW w:w="4531" w:type="dxa"/>
          </w:tcPr>
          <w:p w:rsidR="00D5571F" w:rsidRDefault="00D5571F" w:rsidP="00D5571F">
            <w:pPr>
              <w:spacing w:line="240" w:lineRule="auto"/>
              <w:rPr>
                <w:b/>
                <w:bCs/>
              </w:rPr>
            </w:pPr>
            <w:r>
              <w:rPr>
                <w:b/>
                <w:bCs/>
              </w:rPr>
              <w:t>CPK</w:t>
            </w:r>
          </w:p>
        </w:tc>
        <w:tc>
          <w:tcPr>
            <w:tcW w:w="4531" w:type="dxa"/>
          </w:tcPr>
          <w:p w:rsidR="00D5571F" w:rsidRPr="00A5237B" w:rsidRDefault="00D5571F" w:rsidP="00D5571F">
            <w:pPr>
              <w:spacing w:line="240" w:lineRule="auto"/>
            </w:pPr>
            <w:r>
              <w:t>Centralny Port Komunikacyjny</w:t>
            </w:r>
          </w:p>
        </w:tc>
      </w:tr>
      <w:tr w:rsidR="00D5571F" w:rsidTr="00220F9D">
        <w:tc>
          <w:tcPr>
            <w:tcW w:w="4531" w:type="dxa"/>
          </w:tcPr>
          <w:p w:rsidR="00D5571F" w:rsidRDefault="00D5571F" w:rsidP="00D5571F">
            <w:pPr>
              <w:spacing w:line="240" w:lineRule="auto"/>
              <w:rPr>
                <w:b/>
                <w:bCs/>
              </w:rPr>
            </w:pPr>
            <w:r>
              <w:rPr>
                <w:b/>
                <w:bCs/>
              </w:rPr>
              <w:t>CUPT</w:t>
            </w:r>
          </w:p>
        </w:tc>
        <w:tc>
          <w:tcPr>
            <w:tcW w:w="4531" w:type="dxa"/>
          </w:tcPr>
          <w:p w:rsidR="00D5571F" w:rsidRPr="00DD5DD5" w:rsidRDefault="00D5571F" w:rsidP="00D5571F">
            <w:pPr>
              <w:spacing w:line="240" w:lineRule="auto"/>
            </w:pPr>
            <w:r w:rsidRPr="00A5237B">
              <w:t>Centrum Unijnych Projektów Transportowych</w:t>
            </w:r>
          </w:p>
        </w:tc>
      </w:tr>
      <w:tr w:rsidR="00D5571F" w:rsidTr="00220F9D">
        <w:tc>
          <w:tcPr>
            <w:tcW w:w="4531" w:type="dxa"/>
          </w:tcPr>
          <w:p w:rsidR="00D5571F" w:rsidRDefault="00D5571F" w:rsidP="00D5571F">
            <w:pPr>
              <w:spacing w:line="240" w:lineRule="auto"/>
              <w:rPr>
                <w:b/>
                <w:bCs/>
              </w:rPr>
            </w:pPr>
            <w:r w:rsidRPr="004F7E1A">
              <w:rPr>
                <w:b/>
                <w:bCs/>
              </w:rPr>
              <w:t>EEN</w:t>
            </w:r>
          </w:p>
        </w:tc>
        <w:tc>
          <w:tcPr>
            <w:tcW w:w="4531" w:type="dxa"/>
          </w:tcPr>
          <w:p w:rsidR="00D5571F" w:rsidRPr="00DD5DD5" w:rsidRDefault="00D5571F" w:rsidP="00D5571F">
            <w:pPr>
              <w:spacing w:line="240" w:lineRule="auto"/>
            </w:pPr>
            <w:proofErr w:type="spellStart"/>
            <w:r w:rsidRPr="00BF4E3D">
              <w:t>Enterprise</w:t>
            </w:r>
            <w:proofErr w:type="spellEnd"/>
            <w:r w:rsidRPr="00BF4E3D">
              <w:t xml:space="preserve"> Europe Network</w:t>
            </w:r>
          </w:p>
        </w:tc>
      </w:tr>
      <w:tr w:rsidR="00D5571F" w:rsidTr="00220F9D">
        <w:tc>
          <w:tcPr>
            <w:tcW w:w="4531" w:type="dxa"/>
          </w:tcPr>
          <w:p w:rsidR="00D5571F" w:rsidRDefault="00D5571F" w:rsidP="00D5571F">
            <w:pPr>
              <w:spacing w:line="240" w:lineRule="auto"/>
              <w:rPr>
                <w:b/>
                <w:bCs/>
              </w:rPr>
            </w:pPr>
            <w:r>
              <w:rPr>
                <w:b/>
                <w:bCs/>
              </w:rPr>
              <w:t>EFRR</w:t>
            </w:r>
          </w:p>
        </w:tc>
        <w:tc>
          <w:tcPr>
            <w:tcW w:w="4531" w:type="dxa"/>
          </w:tcPr>
          <w:p w:rsidR="00D5571F" w:rsidRPr="00DD5DD5" w:rsidRDefault="00D5571F" w:rsidP="00D5571F">
            <w:pPr>
              <w:spacing w:line="240" w:lineRule="auto"/>
            </w:pPr>
            <w:r w:rsidRPr="00DD5DD5">
              <w:t>Europejski Fundusz Rozwoju Regionalnego</w:t>
            </w:r>
          </w:p>
        </w:tc>
      </w:tr>
      <w:tr w:rsidR="00D5571F" w:rsidTr="00220F9D">
        <w:tc>
          <w:tcPr>
            <w:tcW w:w="4531" w:type="dxa"/>
          </w:tcPr>
          <w:p w:rsidR="00D5571F" w:rsidRDefault="00D5571F" w:rsidP="00D5571F">
            <w:pPr>
              <w:spacing w:line="240" w:lineRule="auto"/>
              <w:rPr>
                <w:b/>
                <w:bCs/>
              </w:rPr>
            </w:pPr>
            <w:r w:rsidRPr="00A5237B">
              <w:rPr>
                <w:b/>
                <w:bCs/>
              </w:rPr>
              <w:t>FEDS 2021-2027</w:t>
            </w:r>
          </w:p>
        </w:tc>
        <w:tc>
          <w:tcPr>
            <w:tcW w:w="4531" w:type="dxa"/>
          </w:tcPr>
          <w:p w:rsidR="00D5571F" w:rsidRPr="00DD5DD5" w:rsidRDefault="00D5571F" w:rsidP="00D5571F">
            <w:pPr>
              <w:spacing w:after="0" w:line="240" w:lineRule="auto"/>
            </w:pPr>
            <w:r>
              <w:t>Fundusze Europejskie dla Dolnego Śląska 2021-2027</w:t>
            </w:r>
          </w:p>
        </w:tc>
      </w:tr>
      <w:tr w:rsidR="00D5571F" w:rsidTr="00220F9D">
        <w:tc>
          <w:tcPr>
            <w:tcW w:w="4531" w:type="dxa"/>
          </w:tcPr>
          <w:p w:rsidR="00D5571F" w:rsidRDefault="00D5571F" w:rsidP="00D5571F">
            <w:pPr>
              <w:spacing w:line="240" w:lineRule="auto"/>
              <w:rPr>
                <w:b/>
                <w:bCs/>
              </w:rPr>
            </w:pPr>
            <w:proofErr w:type="spellStart"/>
            <w:r>
              <w:rPr>
                <w:b/>
                <w:bCs/>
              </w:rPr>
              <w:t>FEnIKS</w:t>
            </w:r>
            <w:proofErr w:type="spellEnd"/>
          </w:p>
        </w:tc>
        <w:tc>
          <w:tcPr>
            <w:tcW w:w="4531" w:type="dxa"/>
          </w:tcPr>
          <w:p w:rsidR="00D5571F" w:rsidRPr="00DD5DD5" w:rsidRDefault="00D5571F" w:rsidP="00D5571F">
            <w:pPr>
              <w:spacing w:line="240" w:lineRule="auto"/>
            </w:pPr>
            <w:r w:rsidRPr="00DD5DD5">
              <w:t>Fundusze Europejskie na Infrastrukturę, Klimat, Środowisko 2021-2027</w:t>
            </w:r>
          </w:p>
        </w:tc>
      </w:tr>
      <w:tr w:rsidR="00D5571F" w:rsidTr="00220F9D">
        <w:tc>
          <w:tcPr>
            <w:tcW w:w="4531" w:type="dxa"/>
          </w:tcPr>
          <w:p w:rsidR="00D5571F" w:rsidRDefault="00D5571F" w:rsidP="00D5571F">
            <w:pPr>
              <w:spacing w:line="240" w:lineRule="auto"/>
              <w:rPr>
                <w:b/>
                <w:bCs/>
              </w:rPr>
            </w:pPr>
            <w:r>
              <w:rPr>
                <w:b/>
                <w:bCs/>
              </w:rPr>
              <w:t>FERC</w:t>
            </w:r>
          </w:p>
        </w:tc>
        <w:tc>
          <w:tcPr>
            <w:tcW w:w="4531" w:type="dxa"/>
          </w:tcPr>
          <w:p w:rsidR="00D5571F" w:rsidRPr="00817C87" w:rsidRDefault="00D5571F" w:rsidP="00D5571F">
            <w:pPr>
              <w:spacing w:line="240" w:lineRule="auto"/>
            </w:pPr>
            <w:r w:rsidRPr="00817C87">
              <w:t xml:space="preserve">Program Fundusze Europejskie na Rozwój Cyfrowy </w:t>
            </w:r>
          </w:p>
        </w:tc>
      </w:tr>
      <w:tr w:rsidR="00D5571F" w:rsidTr="00220F9D">
        <w:tc>
          <w:tcPr>
            <w:tcW w:w="4531" w:type="dxa"/>
          </w:tcPr>
          <w:p w:rsidR="00D5571F" w:rsidRDefault="00D5571F" w:rsidP="00D5571F">
            <w:pPr>
              <w:spacing w:line="240" w:lineRule="auto"/>
              <w:rPr>
                <w:b/>
                <w:bCs/>
              </w:rPr>
            </w:pPr>
            <w:r>
              <w:rPr>
                <w:b/>
                <w:bCs/>
              </w:rPr>
              <w:t>FERS</w:t>
            </w:r>
          </w:p>
        </w:tc>
        <w:tc>
          <w:tcPr>
            <w:tcW w:w="4531" w:type="dxa"/>
          </w:tcPr>
          <w:p w:rsidR="00D5571F" w:rsidRPr="00DD5DD5" w:rsidRDefault="00D5571F" w:rsidP="00D5571F">
            <w:pPr>
              <w:spacing w:line="240" w:lineRule="auto"/>
            </w:pPr>
            <w:r w:rsidRPr="00817C87">
              <w:t>Program Fundusze Europejskie dla Rozwoju Społecznego 2021-2027</w:t>
            </w:r>
          </w:p>
        </w:tc>
      </w:tr>
      <w:tr w:rsidR="00D5571F" w:rsidTr="00220F9D">
        <w:tc>
          <w:tcPr>
            <w:tcW w:w="4531" w:type="dxa"/>
          </w:tcPr>
          <w:p w:rsidR="00D5571F" w:rsidRDefault="00D5571F" w:rsidP="00D5571F">
            <w:pPr>
              <w:spacing w:line="240" w:lineRule="auto"/>
              <w:rPr>
                <w:b/>
                <w:bCs/>
              </w:rPr>
            </w:pPr>
            <w:r w:rsidRPr="00817C87">
              <w:rPr>
                <w:b/>
                <w:bCs/>
              </w:rPr>
              <w:t>GOZ</w:t>
            </w:r>
          </w:p>
        </w:tc>
        <w:tc>
          <w:tcPr>
            <w:tcW w:w="4531" w:type="dxa"/>
          </w:tcPr>
          <w:p w:rsidR="00D5571F" w:rsidRDefault="00D5571F" w:rsidP="00D5571F">
            <w:pPr>
              <w:spacing w:line="240" w:lineRule="auto"/>
            </w:pPr>
            <w:r w:rsidRPr="00817C87">
              <w:t>Gospodarka o obiegu zamkniętym</w:t>
            </w:r>
          </w:p>
        </w:tc>
      </w:tr>
      <w:tr w:rsidR="00D5571F" w:rsidTr="00220F9D">
        <w:tc>
          <w:tcPr>
            <w:tcW w:w="4531" w:type="dxa"/>
          </w:tcPr>
          <w:p w:rsidR="00D5571F" w:rsidRDefault="00D5571F" w:rsidP="00D5571F">
            <w:pPr>
              <w:spacing w:line="240" w:lineRule="auto"/>
              <w:rPr>
                <w:b/>
                <w:bCs/>
              </w:rPr>
            </w:pPr>
            <w:r>
              <w:rPr>
                <w:b/>
                <w:bCs/>
              </w:rPr>
              <w:t>GUS</w:t>
            </w:r>
          </w:p>
        </w:tc>
        <w:tc>
          <w:tcPr>
            <w:tcW w:w="4531" w:type="dxa"/>
          </w:tcPr>
          <w:p w:rsidR="00D5571F" w:rsidRPr="00DD5DD5" w:rsidRDefault="00D5571F" w:rsidP="00D5571F">
            <w:pPr>
              <w:spacing w:line="240" w:lineRule="auto"/>
            </w:pPr>
            <w:r>
              <w:t>Główny Urząd Statystyczny</w:t>
            </w:r>
          </w:p>
        </w:tc>
      </w:tr>
      <w:tr w:rsidR="00D5571F" w:rsidTr="00220F9D">
        <w:tc>
          <w:tcPr>
            <w:tcW w:w="4531" w:type="dxa"/>
          </w:tcPr>
          <w:p w:rsidR="00D5571F" w:rsidRDefault="00D5571F" w:rsidP="00D5571F">
            <w:pPr>
              <w:spacing w:line="240" w:lineRule="auto"/>
              <w:rPr>
                <w:b/>
                <w:bCs/>
              </w:rPr>
            </w:pPr>
            <w:r>
              <w:rPr>
                <w:b/>
                <w:bCs/>
              </w:rPr>
              <w:t>KDP</w:t>
            </w:r>
          </w:p>
        </w:tc>
        <w:tc>
          <w:tcPr>
            <w:tcW w:w="4531" w:type="dxa"/>
          </w:tcPr>
          <w:p w:rsidR="00D5571F" w:rsidRPr="00DD5DD5" w:rsidRDefault="00D5571F" w:rsidP="00D5571F">
            <w:pPr>
              <w:spacing w:line="240" w:lineRule="auto"/>
            </w:pPr>
            <w:r>
              <w:t>Kolej Dużych Prędkości</w:t>
            </w:r>
          </w:p>
        </w:tc>
      </w:tr>
      <w:tr w:rsidR="00D5571F" w:rsidTr="00220F9D">
        <w:tc>
          <w:tcPr>
            <w:tcW w:w="4531" w:type="dxa"/>
          </w:tcPr>
          <w:p w:rsidR="00D5571F" w:rsidRDefault="00D5571F" w:rsidP="00D5571F">
            <w:pPr>
              <w:spacing w:line="240" w:lineRule="auto"/>
              <w:rPr>
                <w:b/>
                <w:bCs/>
              </w:rPr>
            </w:pPr>
            <w:r>
              <w:rPr>
                <w:b/>
                <w:bCs/>
              </w:rPr>
              <w:t>KPO</w:t>
            </w:r>
          </w:p>
        </w:tc>
        <w:tc>
          <w:tcPr>
            <w:tcW w:w="4531" w:type="dxa"/>
          </w:tcPr>
          <w:p w:rsidR="00D5571F" w:rsidRDefault="00D5571F" w:rsidP="00D5571F">
            <w:pPr>
              <w:spacing w:line="240" w:lineRule="auto"/>
            </w:pPr>
            <w:r w:rsidRPr="00A5237B">
              <w:t>Krajowy Plan Odbudowy i Zwiększania Odporności</w:t>
            </w:r>
          </w:p>
        </w:tc>
      </w:tr>
      <w:tr w:rsidR="00D5571F" w:rsidTr="00220F9D">
        <w:tc>
          <w:tcPr>
            <w:tcW w:w="4531" w:type="dxa"/>
          </w:tcPr>
          <w:p w:rsidR="00D5571F" w:rsidRDefault="00D5571F" w:rsidP="00D5571F">
            <w:pPr>
              <w:spacing w:line="240" w:lineRule="auto"/>
              <w:rPr>
                <w:b/>
                <w:bCs/>
              </w:rPr>
            </w:pPr>
            <w:r w:rsidRPr="00A5237B">
              <w:rPr>
                <w:b/>
                <w:bCs/>
              </w:rPr>
              <w:t>KSRR 2030</w:t>
            </w:r>
          </w:p>
        </w:tc>
        <w:tc>
          <w:tcPr>
            <w:tcW w:w="4531" w:type="dxa"/>
          </w:tcPr>
          <w:p w:rsidR="00D5571F" w:rsidRDefault="00D5571F" w:rsidP="00D5571F">
            <w:pPr>
              <w:spacing w:line="240" w:lineRule="auto"/>
            </w:pPr>
            <w:r w:rsidRPr="004A6C5C">
              <w:t>Krajowa Strategia Rozwoju Regionalnego 2030</w:t>
            </w:r>
          </w:p>
        </w:tc>
      </w:tr>
      <w:tr w:rsidR="00D5571F" w:rsidTr="00220F9D">
        <w:tc>
          <w:tcPr>
            <w:tcW w:w="4531" w:type="dxa"/>
          </w:tcPr>
          <w:p w:rsidR="00D5571F" w:rsidRDefault="00D5571F" w:rsidP="00D5571F">
            <w:pPr>
              <w:spacing w:line="240" w:lineRule="auto"/>
              <w:rPr>
                <w:b/>
                <w:bCs/>
              </w:rPr>
            </w:pPr>
            <w:r>
              <w:rPr>
                <w:b/>
                <w:bCs/>
              </w:rPr>
              <w:t>IATA</w:t>
            </w:r>
          </w:p>
        </w:tc>
        <w:tc>
          <w:tcPr>
            <w:tcW w:w="4531" w:type="dxa"/>
          </w:tcPr>
          <w:p w:rsidR="00D5571F" w:rsidRPr="007461CE" w:rsidRDefault="00D5571F" w:rsidP="00D5571F">
            <w:pPr>
              <w:spacing w:line="240" w:lineRule="auto"/>
            </w:pPr>
            <w:r w:rsidRPr="00A5237B">
              <w:t xml:space="preserve">International Air Transport </w:t>
            </w:r>
            <w:proofErr w:type="spellStart"/>
            <w:r w:rsidRPr="00A5237B">
              <w:t>Association</w:t>
            </w:r>
            <w:proofErr w:type="spellEnd"/>
          </w:p>
        </w:tc>
      </w:tr>
      <w:tr w:rsidR="00D5571F" w:rsidTr="00220F9D">
        <w:tc>
          <w:tcPr>
            <w:tcW w:w="4531" w:type="dxa"/>
          </w:tcPr>
          <w:p w:rsidR="00D5571F" w:rsidRDefault="00D5571F" w:rsidP="00D5571F">
            <w:pPr>
              <w:spacing w:line="240" w:lineRule="auto"/>
              <w:rPr>
                <w:b/>
                <w:bCs/>
              </w:rPr>
            </w:pPr>
            <w:r w:rsidRPr="00817C87">
              <w:rPr>
                <w:b/>
                <w:bCs/>
              </w:rPr>
              <w:t>IOB</w:t>
            </w:r>
          </w:p>
        </w:tc>
        <w:tc>
          <w:tcPr>
            <w:tcW w:w="4531" w:type="dxa"/>
          </w:tcPr>
          <w:p w:rsidR="00D5571F" w:rsidRDefault="00D5571F" w:rsidP="00D5571F">
            <w:pPr>
              <w:spacing w:line="240" w:lineRule="auto"/>
            </w:pPr>
            <w:r>
              <w:t>Instytucje otoczenia biznesu</w:t>
            </w:r>
          </w:p>
        </w:tc>
      </w:tr>
      <w:tr w:rsidR="00D5571F" w:rsidTr="00220F9D">
        <w:tc>
          <w:tcPr>
            <w:tcW w:w="4531" w:type="dxa"/>
          </w:tcPr>
          <w:p w:rsidR="00D5571F" w:rsidRDefault="00D5571F" w:rsidP="00D5571F">
            <w:pPr>
              <w:spacing w:line="240" w:lineRule="auto"/>
              <w:rPr>
                <w:b/>
                <w:bCs/>
              </w:rPr>
            </w:pPr>
            <w:r>
              <w:rPr>
                <w:b/>
                <w:bCs/>
              </w:rPr>
              <w:t>IT</w:t>
            </w:r>
          </w:p>
        </w:tc>
        <w:tc>
          <w:tcPr>
            <w:tcW w:w="4531" w:type="dxa"/>
          </w:tcPr>
          <w:p w:rsidR="00D5571F" w:rsidRPr="00A5237B" w:rsidRDefault="00D5571F" w:rsidP="00D5571F">
            <w:pPr>
              <w:spacing w:line="240" w:lineRule="auto"/>
            </w:pPr>
            <w:proofErr w:type="spellStart"/>
            <w:r>
              <w:t>I</w:t>
            </w:r>
            <w:r w:rsidRPr="000A151D">
              <w:t>nformation</w:t>
            </w:r>
            <w:proofErr w:type="spellEnd"/>
            <w:r w:rsidRPr="000A151D">
              <w:t xml:space="preserve"> </w:t>
            </w:r>
            <w:r>
              <w:t>T</w:t>
            </w:r>
            <w:r w:rsidRPr="000A151D">
              <w:t>echnology</w:t>
            </w:r>
          </w:p>
        </w:tc>
      </w:tr>
      <w:tr w:rsidR="00D5571F" w:rsidTr="00220F9D">
        <w:tc>
          <w:tcPr>
            <w:tcW w:w="4531" w:type="dxa"/>
          </w:tcPr>
          <w:p w:rsidR="00D5571F" w:rsidRDefault="00D5571F" w:rsidP="00D5571F">
            <w:pPr>
              <w:spacing w:line="240" w:lineRule="auto"/>
              <w:rPr>
                <w:b/>
                <w:bCs/>
              </w:rPr>
            </w:pPr>
            <w:r w:rsidRPr="000A151D">
              <w:rPr>
                <w:b/>
                <w:bCs/>
              </w:rPr>
              <w:t>ITS</w:t>
            </w:r>
          </w:p>
        </w:tc>
        <w:tc>
          <w:tcPr>
            <w:tcW w:w="4531" w:type="dxa"/>
          </w:tcPr>
          <w:p w:rsidR="00D5571F" w:rsidRDefault="00D5571F" w:rsidP="00D5571F">
            <w:pPr>
              <w:spacing w:line="240" w:lineRule="auto"/>
            </w:pPr>
            <w:proofErr w:type="spellStart"/>
            <w:r w:rsidRPr="000A151D">
              <w:t>Intelligent</w:t>
            </w:r>
            <w:proofErr w:type="spellEnd"/>
            <w:r w:rsidRPr="000A151D">
              <w:t xml:space="preserve"> </w:t>
            </w:r>
            <w:proofErr w:type="spellStart"/>
            <w:r w:rsidRPr="000A151D">
              <w:t>Transportation</w:t>
            </w:r>
            <w:proofErr w:type="spellEnd"/>
            <w:r w:rsidRPr="000A151D">
              <w:t xml:space="preserve"> Systems</w:t>
            </w:r>
          </w:p>
        </w:tc>
      </w:tr>
      <w:tr w:rsidR="00D5571F" w:rsidTr="00220F9D">
        <w:tc>
          <w:tcPr>
            <w:tcW w:w="4531" w:type="dxa"/>
          </w:tcPr>
          <w:p w:rsidR="00D5571F" w:rsidRPr="000A151D" w:rsidRDefault="00D5571F" w:rsidP="00D5571F">
            <w:pPr>
              <w:spacing w:line="240" w:lineRule="auto"/>
              <w:rPr>
                <w:b/>
                <w:bCs/>
              </w:rPr>
            </w:pPr>
            <w:r w:rsidRPr="000A151D">
              <w:rPr>
                <w:b/>
                <w:bCs/>
              </w:rPr>
              <w:t>IZ FEDS 2021-2027</w:t>
            </w:r>
          </w:p>
        </w:tc>
        <w:tc>
          <w:tcPr>
            <w:tcW w:w="4531" w:type="dxa"/>
          </w:tcPr>
          <w:p w:rsidR="00D5571F" w:rsidRPr="000A151D" w:rsidRDefault="00D5571F" w:rsidP="00D5571F">
            <w:pPr>
              <w:spacing w:line="240" w:lineRule="auto"/>
            </w:pPr>
            <w:r>
              <w:t>Instytucja Zarządzająca Programem Fundusze Europejskie dla Dolnego Śląska 2021-2027</w:t>
            </w:r>
          </w:p>
        </w:tc>
      </w:tr>
      <w:tr w:rsidR="00D5571F" w:rsidTr="00220F9D">
        <w:tc>
          <w:tcPr>
            <w:tcW w:w="4531" w:type="dxa"/>
          </w:tcPr>
          <w:p w:rsidR="00D5571F" w:rsidRPr="000A151D" w:rsidRDefault="00D5571F" w:rsidP="00D5571F">
            <w:pPr>
              <w:spacing w:line="240" w:lineRule="auto"/>
              <w:rPr>
                <w:b/>
                <w:bCs/>
              </w:rPr>
            </w:pPr>
            <w:r w:rsidRPr="00817C87">
              <w:rPr>
                <w:b/>
                <w:bCs/>
              </w:rPr>
              <w:t>JST</w:t>
            </w:r>
          </w:p>
        </w:tc>
        <w:tc>
          <w:tcPr>
            <w:tcW w:w="4531" w:type="dxa"/>
          </w:tcPr>
          <w:p w:rsidR="00D5571F" w:rsidRDefault="00D5571F" w:rsidP="00D5571F">
            <w:pPr>
              <w:spacing w:line="240" w:lineRule="auto"/>
            </w:pPr>
            <w:r>
              <w:t>Jednostki samorządu terytorialnego</w:t>
            </w:r>
          </w:p>
        </w:tc>
      </w:tr>
      <w:tr w:rsidR="00D5571F" w:rsidRPr="002F1BDE" w:rsidTr="00220F9D">
        <w:tc>
          <w:tcPr>
            <w:tcW w:w="4531" w:type="dxa"/>
          </w:tcPr>
          <w:p w:rsidR="00D5571F" w:rsidRDefault="00D5571F" w:rsidP="00D5571F">
            <w:pPr>
              <w:spacing w:line="240" w:lineRule="auto"/>
              <w:rPr>
                <w:b/>
                <w:bCs/>
              </w:rPr>
            </w:pPr>
            <w:r w:rsidRPr="004F7E1A">
              <w:rPr>
                <w:b/>
                <w:bCs/>
              </w:rPr>
              <w:t>LGBTIQ+</w:t>
            </w:r>
          </w:p>
        </w:tc>
        <w:tc>
          <w:tcPr>
            <w:tcW w:w="4531" w:type="dxa"/>
          </w:tcPr>
          <w:p w:rsidR="00D5571F" w:rsidRPr="002F1BDE" w:rsidRDefault="00D5571F" w:rsidP="00D5571F">
            <w:pPr>
              <w:spacing w:line="240" w:lineRule="auto"/>
              <w:rPr>
                <w:lang w:val="en-US"/>
              </w:rPr>
            </w:pPr>
            <w:r w:rsidRPr="002F1BDE">
              <w:rPr>
                <w:lang w:val="en-US"/>
              </w:rPr>
              <w:t>Lesbian, Gay, Bisexual, Trans, Intersex and Queer</w:t>
            </w:r>
          </w:p>
        </w:tc>
      </w:tr>
      <w:tr w:rsidR="00D5571F" w:rsidTr="00220F9D">
        <w:tc>
          <w:tcPr>
            <w:tcW w:w="4531" w:type="dxa"/>
          </w:tcPr>
          <w:p w:rsidR="00D5571F" w:rsidRDefault="00D5571F" w:rsidP="00D5571F">
            <w:pPr>
              <w:spacing w:line="240" w:lineRule="auto"/>
              <w:rPr>
                <w:b/>
                <w:bCs/>
              </w:rPr>
            </w:pPr>
            <w:r>
              <w:rPr>
                <w:b/>
                <w:bCs/>
              </w:rPr>
              <w:t>LGD</w:t>
            </w:r>
          </w:p>
        </w:tc>
        <w:tc>
          <w:tcPr>
            <w:tcW w:w="4531" w:type="dxa"/>
          </w:tcPr>
          <w:p w:rsidR="00D5571F" w:rsidRPr="007461CE" w:rsidRDefault="00D5571F" w:rsidP="00D5571F">
            <w:pPr>
              <w:spacing w:line="240" w:lineRule="auto"/>
            </w:pPr>
            <w:r>
              <w:t>Lokalne Grupy Działania</w:t>
            </w:r>
          </w:p>
        </w:tc>
      </w:tr>
      <w:tr w:rsidR="00D5571F" w:rsidTr="00220F9D">
        <w:tc>
          <w:tcPr>
            <w:tcW w:w="4531" w:type="dxa"/>
          </w:tcPr>
          <w:p w:rsidR="00D5571F" w:rsidRDefault="00D5571F" w:rsidP="00D5571F">
            <w:pPr>
              <w:spacing w:line="240" w:lineRule="auto"/>
              <w:rPr>
                <w:b/>
                <w:bCs/>
              </w:rPr>
            </w:pPr>
            <w:r>
              <w:rPr>
                <w:b/>
                <w:bCs/>
              </w:rPr>
              <w:t>MICE</w:t>
            </w:r>
          </w:p>
        </w:tc>
        <w:tc>
          <w:tcPr>
            <w:tcW w:w="4531" w:type="dxa"/>
          </w:tcPr>
          <w:p w:rsidR="00D5571F" w:rsidRPr="00DD5DD5" w:rsidRDefault="00D5571F" w:rsidP="00D5571F">
            <w:pPr>
              <w:spacing w:line="240" w:lineRule="auto"/>
            </w:pPr>
            <w:proofErr w:type="spellStart"/>
            <w:r w:rsidRPr="007461CE">
              <w:t>Meetings</w:t>
            </w:r>
            <w:proofErr w:type="spellEnd"/>
            <w:r w:rsidRPr="007461CE">
              <w:t xml:space="preserve">, </w:t>
            </w:r>
            <w:proofErr w:type="spellStart"/>
            <w:r w:rsidRPr="007461CE">
              <w:t>Incentives</w:t>
            </w:r>
            <w:proofErr w:type="spellEnd"/>
            <w:r w:rsidRPr="007461CE">
              <w:t xml:space="preserve">, </w:t>
            </w:r>
            <w:proofErr w:type="spellStart"/>
            <w:r w:rsidRPr="007461CE">
              <w:t>Conferences</w:t>
            </w:r>
            <w:proofErr w:type="spellEnd"/>
            <w:r w:rsidRPr="007461CE">
              <w:t xml:space="preserve">, </w:t>
            </w:r>
            <w:proofErr w:type="spellStart"/>
            <w:r w:rsidRPr="007461CE">
              <w:t>Exhibitions</w:t>
            </w:r>
            <w:proofErr w:type="spellEnd"/>
          </w:p>
        </w:tc>
      </w:tr>
      <w:tr w:rsidR="00D5571F" w:rsidTr="00220F9D">
        <w:tc>
          <w:tcPr>
            <w:tcW w:w="4531" w:type="dxa"/>
          </w:tcPr>
          <w:p w:rsidR="00D5571F" w:rsidRDefault="00D5571F" w:rsidP="00D5571F">
            <w:pPr>
              <w:spacing w:line="240" w:lineRule="auto"/>
              <w:rPr>
                <w:b/>
                <w:bCs/>
              </w:rPr>
            </w:pPr>
            <w:r w:rsidRPr="005B69D4">
              <w:rPr>
                <w:b/>
                <w:bCs/>
                <w:color w:val="000000" w:themeColor="text1"/>
              </w:rPr>
              <w:t>MŚP</w:t>
            </w:r>
          </w:p>
        </w:tc>
        <w:tc>
          <w:tcPr>
            <w:tcW w:w="4531" w:type="dxa"/>
          </w:tcPr>
          <w:p w:rsidR="00D5571F" w:rsidRPr="007461CE" w:rsidRDefault="00D5571F" w:rsidP="00D5571F">
            <w:pPr>
              <w:spacing w:line="240" w:lineRule="auto"/>
            </w:pPr>
            <w:r>
              <w:t>Małe, średnie przedsiębiorstwa</w:t>
            </w:r>
          </w:p>
        </w:tc>
      </w:tr>
      <w:tr w:rsidR="00D5571F" w:rsidTr="00220F9D">
        <w:tc>
          <w:tcPr>
            <w:tcW w:w="4531" w:type="dxa"/>
          </w:tcPr>
          <w:p w:rsidR="00D5571F" w:rsidRDefault="00D5571F" w:rsidP="00D5571F">
            <w:pPr>
              <w:spacing w:line="240" w:lineRule="auto"/>
              <w:rPr>
                <w:b/>
                <w:bCs/>
              </w:rPr>
            </w:pPr>
            <w:r>
              <w:rPr>
                <w:b/>
                <w:bCs/>
              </w:rPr>
              <w:t>NATO</w:t>
            </w:r>
          </w:p>
        </w:tc>
        <w:tc>
          <w:tcPr>
            <w:tcW w:w="4531" w:type="dxa"/>
          </w:tcPr>
          <w:p w:rsidR="00D5571F" w:rsidRPr="007461CE" w:rsidRDefault="00D5571F" w:rsidP="00D5571F">
            <w:pPr>
              <w:spacing w:line="240" w:lineRule="auto"/>
            </w:pPr>
            <w:r w:rsidRPr="00A5237B">
              <w:t xml:space="preserve">North </w:t>
            </w:r>
            <w:proofErr w:type="spellStart"/>
            <w:r w:rsidRPr="00A5237B">
              <w:t>Atlantic</w:t>
            </w:r>
            <w:proofErr w:type="spellEnd"/>
            <w:r w:rsidRPr="00A5237B">
              <w:t xml:space="preserve"> </w:t>
            </w:r>
            <w:proofErr w:type="spellStart"/>
            <w:r w:rsidRPr="00A5237B">
              <w:t>Treaty</w:t>
            </w:r>
            <w:proofErr w:type="spellEnd"/>
            <w:r w:rsidRPr="00A5237B">
              <w:t xml:space="preserve"> </w:t>
            </w:r>
            <w:proofErr w:type="spellStart"/>
            <w:r w:rsidRPr="00A5237B">
              <w:t>Organization</w:t>
            </w:r>
            <w:proofErr w:type="spellEnd"/>
          </w:p>
        </w:tc>
      </w:tr>
      <w:tr w:rsidR="00D5571F" w:rsidTr="00220F9D">
        <w:tc>
          <w:tcPr>
            <w:tcW w:w="4531" w:type="dxa"/>
          </w:tcPr>
          <w:p w:rsidR="00D5571F" w:rsidRDefault="00D5571F" w:rsidP="00D5571F">
            <w:pPr>
              <w:spacing w:line="240" w:lineRule="auto"/>
              <w:rPr>
                <w:b/>
                <w:bCs/>
              </w:rPr>
            </w:pPr>
            <w:proofErr w:type="spellStart"/>
            <w:r w:rsidRPr="000A151D">
              <w:rPr>
                <w:b/>
                <w:bCs/>
              </w:rPr>
              <w:lastRenderedPageBreak/>
              <w:t>NFOŚiGW</w:t>
            </w:r>
            <w:proofErr w:type="spellEnd"/>
          </w:p>
        </w:tc>
        <w:tc>
          <w:tcPr>
            <w:tcW w:w="4531" w:type="dxa"/>
          </w:tcPr>
          <w:p w:rsidR="00D5571F" w:rsidRPr="00A5237B" w:rsidRDefault="00D5571F" w:rsidP="00D5571F">
            <w:pPr>
              <w:spacing w:line="240" w:lineRule="auto"/>
            </w:pPr>
            <w:r w:rsidRPr="000A151D">
              <w:t>Narodowy Fundusz Ochrony Środowiska i</w:t>
            </w:r>
            <w:r>
              <w:t> </w:t>
            </w:r>
            <w:r w:rsidRPr="000A151D">
              <w:t>Gospodarki Wodnej</w:t>
            </w:r>
          </w:p>
        </w:tc>
      </w:tr>
      <w:tr w:rsidR="00D5571F" w:rsidRPr="002F1BDE" w:rsidTr="00220F9D">
        <w:tc>
          <w:tcPr>
            <w:tcW w:w="4531" w:type="dxa"/>
          </w:tcPr>
          <w:p w:rsidR="00D5571F" w:rsidRDefault="00D5571F" w:rsidP="00D5571F">
            <w:pPr>
              <w:spacing w:line="240" w:lineRule="auto"/>
              <w:rPr>
                <w:b/>
                <w:bCs/>
              </w:rPr>
            </w:pPr>
            <w:r>
              <w:rPr>
                <w:b/>
                <w:bCs/>
              </w:rPr>
              <w:t>OECD</w:t>
            </w:r>
          </w:p>
        </w:tc>
        <w:tc>
          <w:tcPr>
            <w:tcW w:w="4531" w:type="dxa"/>
          </w:tcPr>
          <w:p w:rsidR="00D5571F" w:rsidRPr="002F1BDE" w:rsidRDefault="00D5571F" w:rsidP="00D5571F">
            <w:pPr>
              <w:spacing w:line="240" w:lineRule="auto"/>
              <w:rPr>
                <w:lang w:val="en-US"/>
              </w:rPr>
            </w:pPr>
            <w:proofErr w:type="spellStart"/>
            <w:r w:rsidRPr="002F1BDE">
              <w:rPr>
                <w:lang w:val="en-US"/>
              </w:rPr>
              <w:t>Organisation</w:t>
            </w:r>
            <w:proofErr w:type="spellEnd"/>
            <w:r w:rsidRPr="002F1BDE">
              <w:rPr>
                <w:lang w:val="en-US"/>
              </w:rPr>
              <w:t xml:space="preserve"> for Economic Co-operation and Development</w:t>
            </w:r>
          </w:p>
        </w:tc>
      </w:tr>
      <w:tr w:rsidR="00D5571F" w:rsidTr="00220F9D">
        <w:tc>
          <w:tcPr>
            <w:tcW w:w="4531" w:type="dxa"/>
          </w:tcPr>
          <w:p w:rsidR="00D5571F" w:rsidRPr="00DD5DD5" w:rsidRDefault="00D5571F" w:rsidP="00D5571F">
            <w:pPr>
              <w:spacing w:line="240" w:lineRule="auto"/>
              <w:rPr>
                <w:b/>
                <w:bCs/>
              </w:rPr>
            </w:pPr>
            <w:r>
              <w:rPr>
                <w:b/>
                <w:bCs/>
              </w:rPr>
              <w:t>OSI</w:t>
            </w:r>
          </w:p>
        </w:tc>
        <w:tc>
          <w:tcPr>
            <w:tcW w:w="4531" w:type="dxa"/>
          </w:tcPr>
          <w:p w:rsidR="00D5571F" w:rsidRPr="00DD5DD5" w:rsidRDefault="00D5571F" w:rsidP="00D5571F">
            <w:pPr>
              <w:spacing w:line="240" w:lineRule="auto"/>
            </w:pPr>
            <w:r>
              <w:t>Obszar strategicznej interwencji</w:t>
            </w:r>
          </w:p>
        </w:tc>
      </w:tr>
      <w:tr w:rsidR="00D5571F" w:rsidTr="00220F9D">
        <w:tc>
          <w:tcPr>
            <w:tcW w:w="4531" w:type="dxa"/>
          </w:tcPr>
          <w:p w:rsidR="00D5571F" w:rsidRDefault="00D5571F" w:rsidP="00D5571F">
            <w:pPr>
              <w:spacing w:line="240" w:lineRule="auto"/>
              <w:rPr>
                <w:b/>
                <w:bCs/>
              </w:rPr>
            </w:pPr>
            <w:r w:rsidRPr="00DD5DD5">
              <w:rPr>
                <w:b/>
                <w:bCs/>
              </w:rPr>
              <w:t>OF</w:t>
            </w:r>
          </w:p>
        </w:tc>
        <w:tc>
          <w:tcPr>
            <w:tcW w:w="4531" w:type="dxa"/>
          </w:tcPr>
          <w:p w:rsidR="00D5571F" w:rsidRPr="00DD5DD5" w:rsidRDefault="00D5571F" w:rsidP="00D5571F">
            <w:pPr>
              <w:spacing w:line="240" w:lineRule="auto"/>
            </w:pPr>
            <w:r w:rsidRPr="00DD5DD5">
              <w:t>Obszar funkcjonalny</w:t>
            </w:r>
          </w:p>
        </w:tc>
      </w:tr>
      <w:tr w:rsidR="00D5571F" w:rsidTr="00220F9D">
        <w:tc>
          <w:tcPr>
            <w:tcW w:w="4531" w:type="dxa"/>
          </w:tcPr>
          <w:p w:rsidR="00D5571F" w:rsidRPr="00DD5DD5" w:rsidRDefault="00D5571F" w:rsidP="00D5571F">
            <w:pPr>
              <w:spacing w:line="240" w:lineRule="auto"/>
              <w:rPr>
                <w:b/>
                <w:bCs/>
              </w:rPr>
            </w:pPr>
            <w:r>
              <w:rPr>
                <w:b/>
                <w:bCs/>
              </w:rPr>
              <w:t>OZE</w:t>
            </w:r>
          </w:p>
        </w:tc>
        <w:tc>
          <w:tcPr>
            <w:tcW w:w="4531" w:type="dxa"/>
          </w:tcPr>
          <w:p w:rsidR="00D5571F" w:rsidRPr="00DD5DD5" w:rsidRDefault="00D5571F" w:rsidP="00D5571F">
            <w:pPr>
              <w:spacing w:line="240" w:lineRule="auto"/>
            </w:pPr>
            <w:r>
              <w:t>Odnawialne źródła energii</w:t>
            </w:r>
          </w:p>
        </w:tc>
      </w:tr>
      <w:tr w:rsidR="00D5571F" w:rsidTr="00220F9D">
        <w:tc>
          <w:tcPr>
            <w:tcW w:w="4531" w:type="dxa"/>
          </w:tcPr>
          <w:p w:rsidR="00D5571F" w:rsidRDefault="00D5571F" w:rsidP="00D5571F">
            <w:pPr>
              <w:spacing w:line="240" w:lineRule="auto"/>
              <w:rPr>
                <w:b/>
                <w:bCs/>
              </w:rPr>
            </w:pPr>
            <w:r w:rsidRPr="00A5237B">
              <w:rPr>
                <w:b/>
                <w:bCs/>
              </w:rPr>
              <w:t>PEP2040</w:t>
            </w:r>
          </w:p>
        </w:tc>
        <w:tc>
          <w:tcPr>
            <w:tcW w:w="4531" w:type="dxa"/>
          </w:tcPr>
          <w:p w:rsidR="00D5571F" w:rsidRPr="00DD5DD5" w:rsidRDefault="00D5571F" w:rsidP="00D5571F">
            <w:pPr>
              <w:spacing w:line="240" w:lineRule="auto"/>
            </w:pPr>
            <w:r>
              <w:t>P</w:t>
            </w:r>
            <w:r w:rsidRPr="00E35079">
              <w:t>olityk</w:t>
            </w:r>
            <w:r>
              <w:t>a</w:t>
            </w:r>
            <w:r w:rsidRPr="00E35079">
              <w:t xml:space="preserve"> energetyczn</w:t>
            </w:r>
            <w:r>
              <w:t>a</w:t>
            </w:r>
            <w:r w:rsidRPr="00E35079">
              <w:t xml:space="preserve"> Polski do 2040 r.</w:t>
            </w:r>
          </w:p>
        </w:tc>
      </w:tr>
      <w:tr w:rsidR="00D5571F" w:rsidTr="00220F9D">
        <w:tc>
          <w:tcPr>
            <w:tcW w:w="4531" w:type="dxa"/>
          </w:tcPr>
          <w:p w:rsidR="00D5571F" w:rsidRDefault="00D5571F" w:rsidP="00D5571F">
            <w:pPr>
              <w:spacing w:line="240" w:lineRule="auto"/>
              <w:rPr>
                <w:b/>
                <w:bCs/>
              </w:rPr>
            </w:pPr>
            <w:r>
              <w:rPr>
                <w:b/>
                <w:bCs/>
              </w:rPr>
              <w:t>PFRON</w:t>
            </w:r>
          </w:p>
        </w:tc>
        <w:tc>
          <w:tcPr>
            <w:tcW w:w="4531" w:type="dxa"/>
          </w:tcPr>
          <w:p w:rsidR="00D5571F" w:rsidRDefault="00D5571F" w:rsidP="00D5571F">
            <w:pPr>
              <w:spacing w:line="240" w:lineRule="auto"/>
              <w:rPr>
                <w:b/>
                <w:bCs/>
              </w:rPr>
            </w:pPr>
            <w:r w:rsidRPr="00DD5DD5">
              <w:t>Państwowy Fundusz Rehabilitacji Osób Niepełnosprawnyc</w:t>
            </w:r>
            <w:r>
              <w:t>h</w:t>
            </w:r>
          </w:p>
        </w:tc>
      </w:tr>
      <w:tr w:rsidR="00D5571F" w:rsidTr="00220F9D">
        <w:tc>
          <w:tcPr>
            <w:tcW w:w="4531" w:type="dxa"/>
          </w:tcPr>
          <w:p w:rsidR="00D5571F" w:rsidRDefault="00D5571F" w:rsidP="00D5571F">
            <w:pPr>
              <w:spacing w:line="240" w:lineRule="auto"/>
              <w:rPr>
                <w:b/>
                <w:bCs/>
              </w:rPr>
            </w:pPr>
            <w:proofErr w:type="spellStart"/>
            <w:r w:rsidRPr="000A151D">
              <w:rPr>
                <w:b/>
                <w:bCs/>
              </w:rPr>
              <w:t>P&amp;R</w:t>
            </w:r>
            <w:proofErr w:type="spellEnd"/>
          </w:p>
        </w:tc>
        <w:tc>
          <w:tcPr>
            <w:tcW w:w="4531" w:type="dxa"/>
          </w:tcPr>
          <w:p w:rsidR="00D5571F" w:rsidRPr="00DD5DD5" w:rsidRDefault="00D5571F" w:rsidP="00D5571F">
            <w:pPr>
              <w:spacing w:line="240" w:lineRule="auto"/>
            </w:pPr>
            <w:r w:rsidRPr="000A151D">
              <w:t xml:space="preserve">Park &amp; </w:t>
            </w:r>
            <w:proofErr w:type="spellStart"/>
            <w:r w:rsidRPr="000A151D">
              <w:t>Ride</w:t>
            </w:r>
            <w:proofErr w:type="spellEnd"/>
          </w:p>
        </w:tc>
      </w:tr>
      <w:tr w:rsidR="00D5571F" w:rsidTr="00220F9D">
        <w:tc>
          <w:tcPr>
            <w:tcW w:w="4531" w:type="dxa"/>
          </w:tcPr>
          <w:p w:rsidR="00D5571F" w:rsidRDefault="00D5571F" w:rsidP="00D5571F">
            <w:pPr>
              <w:spacing w:line="240" w:lineRule="auto"/>
              <w:rPr>
                <w:b/>
                <w:bCs/>
              </w:rPr>
            </w:pPr>
            <w:r w:rsidRPr="000A151D">
              <w:rPr>
                <w:b/>
                <w:bCs/>
              </w:rPr>
              <w:t>RRF</w:t>
            </w:r>
          </w:p>
        </w:tc>
        <w:tc>
          <w:tcPr>
            <w:tcW w:w="4531" w:type="dxa"/>
          </w:tcPr>
          <w:p w:rsidR="00D5571F" w:rsidRPr="00DD5DD5" w:rsidRDefault="00D5571F" w:rsidP="00D5571F">
            <w:pPr>
              <w:spacing w:line="240" w:lineRule="auto"/>
            </w:pPr>
            <w:proofErr w:type="spellStart"/>
            <w:r w:rsidRPr="000A151D">
              <w:t>Recovery</w:t>
            </w:r>
            <w:proofErr w:type="spellEnd"/>
            <w:r w:rsidRPr="000A151D">
              <w:t xml:space="preserve"> and </w:t>
            </w:r>
            <w:proofErr w:type="spellStart"/>
            <w:r w:rsidRPr="000A151D">
              <w:t>Resilience</w:t>
            </w:r>
            <w:proofErr w:type="spellEnd"/>
            <w:r w:rsidRPr="000A151D">
              <w:t xml:space="preserve"> </w:t>
            </w:r>
            <w:proofErr w:type="spellStart"/>
            <w:r w:rsidRPr="000A151D">
              <w:t>Facility</w:t>
            </w:r>
            <w:proofErr w:type="spellEnd"/>
          </w:p>
        </w:tc>
      </w:tr>
      <w:tr w:rsidR="00D5571F" w:rsidTr="00220F9D">
        <w:tc>
          <w:tcPr>
            <w:tcW w:w="4531" w:type="dxa"/>
          </w:tcPr>
          <w:p w:rsidR="00D5571F" w:rsidRDefault="00D5571F" w:rsidP="00D5571F">
            <w:pPr>
              <w:spacing w:line="240" w:lineRule="auto"/>
              <w:rPr>
                <w:b/>
                <w:bCs/>
              </w:rPr>
            </w:pPr>
            <w:r>
              <w:rPr>
                <w:b/>
                <w:bCs/>
              </w:rPr>
              <w:t>SMR</w:t>
            </w:r>
          </w:p>
        </w:tc>
        <w:tc>
          <w:tcPr>
            <w:tcW w:w="4531" w:type="dxa"/>
          </w:tcPr>
          <w:p w:rsidR="00D5571F" w:rsidRPr="00DD5DD5" w:rsidRDefault="00D5571F" w:rsidP="00D5571F">
            <w:pPr>
              <w:spacing w:line="240" w:lineRule="auto"/>
            </w:pPr>
            <w:proofErr w:type="spellStart"/>
            <w:r w:rsidRPr="00A5237B">
              <w:t>Small</w:t>
            </w:r>
            <w:proofErr w:type="spellEnd"/>
            <w:r w:rsidRPr="00A5237B">
              <w:t xml:space="preserve"> </w:t>
            </w:r>
            <w:proofErr w:type="spellStart"/>
            <w:r w:rsidRPr="00A5237B">
              <w:t>Modular</w:t>
            </w:r>
            <w:proofErr w:type="spellEnd"/>
            <w:r w:rsidRPr="00A5237B">
              <w:t xml:space="preserve"> </w:t>
            </w:r>
            <w:proofErr w:type="spellStart"/>
            <w:r w:rsidRPr="00A5237B">
              <w:t>Reactor</w:t>
            </w:r>
            <w:proofErr w:type="spellEnd"/>
          </w:p>
        </w:tc>
      </w:tr>
      <w:tr w:rsidR="00D5571F" w:rsidTr="00220F9D">
        <w:tc>
          <w:tcPr>
            <w:tcW w:w="4531" w:type="dxa"/>
          </w:tcPr>
          <w:p w:rsidR="00D5571F" w:rsidRDefault="00D5571F" w:rsidP="00D5571F">
            <w:pPr>
              <w:spacing w:line="240" w:lineRule="auto"/>
              <w:rPr>
                <w:b/>
                <w:bCs/>
              </w:rPr>
            </w:pPr>
            <w:r w:rsidRPr="00817C87">
              <w:rPr>
                <w:b/>
                <w:bCs/>
              </w:rPr>
              <w:t>SUMP</w:t>
            </w:r>
          </w:p>
        </w:tc>
        <w:tc>
          <w:tcPr>
            <w:tcW w:w="4531" w:type="dxa"/>
          </w:tcPr>
          <w:p w:rsidR="00D5571F" w:rsidRPr="00A5237B" w:rsidRDefault="00D5571F" w:rsidP="00D5571F">
            <w:pPr>
              <w:spacing w:line="240" w:lineRule="auto"/>
            </w:pPr>
            <w:proofErr w:type="spellStart"/>
            <w:r w:rsidRPr="00817C87">
              <w:t>Sustainable</w:t>
            </w:r>
            <w:proofErr w:type="spellEnd"/>
            <w:r w:rsidRPr="00817C87">
              <w:t xml:space="preserve"> Urban </w:t>
            </w:r>
            <w:proofErr w:type="spellStart"/>
            <w:r w:rsidRPr="00817C87">
              <w:t>Mobility</w:t>
            </w:r>
            <w:proofErr w:type="spellEnd"/>
            <w:r w:rsidRPr="00817C87">
              <w:t xml:space="preserve"> </w:t>
            </w:r>
            <w:proofErr w:type="spellStart"/>
            <w:r w:rsidRPr="00817C87">
              <w:t>Plans</w:t>
            </w:r>
            <w:proofErr w:type="spellEnd"/>
          </w:p>
        </w:tc>
      </w:tr>
      <w:tr w:rsidR="00D5571F" w:rsidTr="00220F9D">
        <w:tc>
          <w:tcPr>
            <w:tcW w:w="4531" w:type="dxa"/>
          </w:tcPr>
          <w:p w:rsidR="00D5571F" w:rsidRDefault="00D5571F" w:rsidP="00D5571F">
            <w:pPr>
              <w:spacing w:line="240" w:lineRule="auto"/>
              <w:rPr>
                <w:b/>
                <w:bCs/>
              </w:rPr>
            </w:pPr>
            <w:proofErr w:type="spellStart"/>
            <w:r w:rsidRPr="00817C87">
              <w:rPr>
                <w:b/>
                <w:bCs/>
              </w:rPr>
              <w:t>TEN-T</w:t>
            </w:r>
            <w:proofErr w:type="spellEnd"/>
          </w:p>
        </w:tc>
        <w:tc>
          <w:tcPr>
            <w:tcW w:w="4531" w:type="dxa"/>
          </w:tcPr>
          <w:p w:rsidR="00D5571F" w:rsidRPr="000A151D" w:rsidRDefault="00D5571F" w:rsidP="00D5571F">
            <w:pPr>
              <w:spacing w:line="240" w:lineRule="auto"/>
            </w:pPr>
            <w:proofErr w:type="spellStart"/>
            <w:r w:rsidRPr="00817C87">
              <w:t>Trans-European</w:t>
            </w:r>
            <w:proofErr w:type="spellEnd"/>
            <w:r w:rsidRPr="00817C87">
              <w:t xml:space="preserve"> Transport Network</w:t>
            </w:r>
          </w:p>
        </w:tc>
      </w:tr>
      <w:tr w:rsidR="00D5571F" w:rsidTr="00220F9D">
        <w:tc>
          <w:tcPr>
            <w:tcW w:w="4531" w:type="dxa"/>
          </w:tcPr>
          <w:p w:rsidR="00D5571F" w:rsidRDefault="00D5571F" w:rsidP="00D5571F">
            <w:pPr>
              <w:spacing w:line="240" w:lineRule="auto"/>
              <w:rPr>
                <w:b/>
                <w:bCs/>
              </w:rPr>
            </w:pPr>
            <w:r>
              <w:rPr>
                <w:b/>
                <w:bCs/>
              </w:rPr>
              <w:t>TIK</w:t>
            </w:r>
          </w:p>
        </w:tc>
        <w:tc>
          <w:tcPr>
            <w:tcW w:w="4531" w:type="dxa"/>
          </w:tcPr>
          <w:p w:rsidR="00D5571F" w:rsidRPr="000A151D" w:rsidRDefault="00D5571F" w:rsidP="00D5571F">
            <w:pPr>
              <w:spacing w:line="240" w:lineRule="auto"/>
            </w:pPr>
            <w:r>
              <w:t>Technologie informacyjno-komunikacyjne</w:t>
            </w:r>
          </w:p>
        </w:tc>
      </w:tr>
      <w:tr w:rsidR="00D5571F" w:rsidTr="00220F9D">
        <w:tc>
          <w:tcPr>
            <w:tcW w:w="4531" w:type="dxa"/>
          </w:tcPr>
          <w:p w:rsidR="00D5571F" w:rsidRDefault="00D5571F" w:rsidP="00D5571F">
            <w:pPr>
              <w:spacing w:line="240" w:lineRule="auto"/>
              <w:rPr>
                <w:b/>
                <w:bCs/>
              </w:rPr>
            </w:pPr>
            <w:r>
              <w:rPr>
                <w:b/>
                <w:bCs/>
              </w:rPr>
              <w:t>TBS</w:t>
            </w:r>
          </w:p>
        </w:tc>
        <w:tc>
          <w:tcPr>
            <w:tcW w:w="4531" w:type="dxa"/>
          </w:tcPr>
          <w:p w:rsidR="00D5571F" w:rsidRPr="007461CE" w:rsidRDefault="00D5571F" w:rsidP="00D5571F">
            <w:pPr>
              <w:spacing w:line="240" w:lineRule="auto"/>
            </w:pPr>
            <w:r w:rsidRPr="000A151D">
              <w:t>Towarzystwo budownictwa społecznego</w:t>
            </w:r>
          </w:p>
        </w:tc>
      </w:tr>
      <w:tr w:rsidR="00D5571F" w:rsidTr="00220F9D">
        <w:tc>
          <w:tcPr>
            <w:tcW w:w="4531" w:type="dxa"/>
          </w:tcPr>
          <w:p w:rsidR="00D5571F" w:rsidRDefault="00D5571F" w:rsidP="00D5571F">
            <w:pPr>
              <w:spacing w:line="240" w:lineRule="auto"/>
              <w:rPr>
                <w:b/>
                <w:bCs/>
              </w:rPr>
            </w:pPr>
            <w:proofErr w:type="spellStart"/>
            <w:r>
              <w:rPr>
                <w:b/>
                <w:bCs/>
              </w:rPr>
              <w:t>WrOF</w:t>
            </w:r>
            <w:proofErr w:type="spellEnd"/>
          </w:p>
        </w:tc>
        <w:tc>
          <w:tcPr>
            <w:tcW w:w="4531" w:type="dxa"/>
          </w:tcPr>
          <w:p w:rsidR="00D5571F" w:rsidRPr="007461CE" w:rsidRDefault="00D5571F" w:rsidP="00D5571F">
            <w:pPr>
              <w:spacing w:line="240" w:lineRule="auto"/>
            </w:pPr>
            <w:r w:rsidRPr="007461CE">
              <w:t>Wrocławski Obszar Funkcjonalny</w:t>
            </w:r>
          </w:p>
        </w:tc>
      </w:tr>
      <w:tr w:rsidR="00D5571F" w:rsidTr="00220F9D">
        <w:tc>
          <w:tcPr>
            <w:tcW w:w="4531" w:type="dxa"/>
          </w:tcPr>
          <w:p w:rsidR="00D5571F" w:rsidRDefault="00D5571F" w:rsidP="00D5571F">
            <w:pPr>
              <w:spacing w:line="240" w:lineRule="auto"/>
              <w:rPr>
                <w:b/>
                <w:bCs/>
              </w:rPr>
            </w:pPr>
            <w:r>
              <w:rPr>
                <w:b/>
                <w:bCs/>
              </w:rPr>
              <w:t>ZIT</w:t>
            </w:r>
          </w:p>
        </w:tc>
        <w:tc>
          <w:tcPr>
            <w:tcW w:w="4531" w:type="dxa"/>
          </w:tcPr>
          <w:p w:rsidR="00D5571F" w:rsidRPr="007461CE" w:rsidRDefault="00D5571F" w:rsidP="00D5571F">
            <w:pPr>
              <w:spacing w:line="240" w:lineRule="auto"/>
            </w:pPr>
            <w:r>
              <w:t>Zintegrowane Inwestycje Terytorialne</w:t>
            </w:r>
          </w:p>
        </w:tc>
      </w:tr>
    </w:tbl>
    <w:p w:rsidR="009944B5" w:rsidRDefault="009944B5">
      <w:pPr>
        <w:spacing w:after="160" w:line="259" w:lineRule="auto"/>
        <w:jc w:val="left"/>
        <w:rPr>
          <w:rFonts w:asciiTheme="majorHAnsi" w:eastAsiaTheme="majorEastAsia" w:hAnsiTheme="majorHAnsi" w:cstheme="majorBidi"/>
          <w:color w:val="1E7DBF" w:themeColor="accent1"/>
          <w:sz w:val="40"/>
          <w:szCs w:val="40"/>
        </w:rPr>
      </w:pPr>
      <w:r>
        <w:br w:type="page"/>
      </w:r>
    </w:p>
    <w:p w:rsidR="00AD3564" w:rsidRDefault="00AD3564" w:rsidP="00AD3564">
      <w:pPr>
        <w:pStyle w:val="Nagwek1"/>
        <w:numPr>
          <w:ilvl w:val="0"/>
          <w:numId w:val="0"/>
        </w:numPr>
      </w:pPr>
      <w:bookmarkStart w:id="2" w:name="_Toc196905120"/>
      <w:bookmarkEnd w:id="1"/>
      <w:r w:rsidRPr="007B0851">
        <w:lastRenderedPageBreak/>
        <w:t>1</w:t>
      </w:r>
      <w:r>
        <w:t xml:space="preserve">. </w:t>
      </w:r>
      <w:r w:rsidRPr="007B0851">
        <w:t>Ocen</w:t>
      </w:r>
      <w:r>
        <w:t>a</w:t>
      </w:r>
      <w:r w:rsidRPr="007B0851">
        <w:t xml:space="preserve"> uwarunkowań lokalizacyjnych </w:t>
      </w:r>
      <w:proofErr w:type="spellStart"/>
      <w:r w:rsidRPr="007B0851">
        <w:t>WrOF</w:t>
      </w:r>
      <w:bookmarkEnd w:id="2"/>
      <w:proofErr w:type="spellEnd"/>
    </w:p>
    <w:p w:rsidR="002116E0" w:rsidRDefault="000E5D9A" w:rsidP="00AD3564">
      <w:r>
        <w:t>Wrocławki Obszar Funkcjonalny (</w:t>
      </w:r>
      <w:proofErr w:type="spellStart"/>
      <w:r>
        <w:t>WrOF</w:t>
      </w:r>
      <w:proofErr w:type="spellEnd"/>
      <w:r>
        <w:t xml:space="preserve">) położony jest w południowo-zachodniej Polsce, w województwie dolnośląskim. </w:t>
      </w:r>
      <w:r w:rsidR="002116E0" w:rsidRPr="002116E0">
        <w:t xml:space="preserve">W </w:t>
      </w:r>
      <w:r w:rsidR="002116E0">
        <w:t xml:space="preserve">obecnym kształcie </w:t>
      </w:r>
      <w:proofErr w:type="spellStart"/>
      <w:r w:rsidR="002116E0" w:rsidRPr="002116E0">
        <w:t>WrOF</w:t>
      </w:r>
      <w:proofErr w:type="spellEnd"/>
      <w:r w:rsidR="002116E0" w:rsidRPr="002116E0">
        <w:t xml:space="preserve"> odnosi się do obszaru </w:t>
      </w:r>
      <w:r w:rsidR="002116E0">
        <w:t xml:space="preserve">obejmującego 19 gmin, które współpracującą ze sobą w ramach </w:t>
      </w:r>
      <w:r w:rsidR="002116E0" w:rsidRPr="002116E0">
        <w:t>Z</w:t>
      </w:r>
      <w:r w:rsidR="002116E0">
        <w:t>integrowanych Inwestycji Terytorialnych (ZIT).</w:t>
      </w:r>
    </w:p>
    <w:p w:rsidR="000E5D9A" w:rsidRDefault="000E5D9A" w:rsidP="00AD3564">
      <w:r>
        <w:t>Bliskość krajów Europy Zachodniej oraz poprawiające się powiązania komunikacyjne, stanowią istotny atut rozwoju</w:t>
      </w:r>
      <w:r w:rsidR="003C04C9">
        <w:t xml:space="preserve"> </w:t>
      </w:r>
      <w:proofErr w:type="spellStart"/>
      <w:r w:rsidR="003C04C9">
        <w:t>WrOF</w:t>
      </w:r>
      <w:proofErr w:type="spellEnd"/>
      <w:r>
        <w:t xml:space="preserve">. Warto jednak podkreślić, iż do kluczowych czynników rozwoju </w:t>
      </w:r>
      <w:proofErr w:type="spellStart"/>
      <w:r>
        <w:t>WrOF</w:t>
      </w:r>
      <w:proofErr w:type="spellEnd"/>
      <w:r>
        <w:t xml:space="preserve"> należy zaliczyć </w:t>
      </w:r>
      <w:r w:rsidR="003C04C9">
        <w:t>również</w:t>
      </w:r>
      <w:r>
        <w:t xml:space="preserve"> zasoby wewnętrzne, w tym kapitał ludzki. Wrocław i </w:t>
      </w:r>
      <w:proofErr w:type="spellStart"/>
      <w:r>
        <w:t>WrOF</w:t>
      </w:r>
      <w:proofErr w:type="spellEnd"/>
      <w:r>
        <w:t xml:space="preserve"> jest przestrzenią atrakcyjną do życia dla młodych mieszkańców. </w:t>
      </w:r>
      <w:r w:rsidR="003C04C9">
        <w:t>Mieszka tutaj około 1 mln osób, s</w:t>
      </w:r>
      <w:r>
        <w:t>tudiuje ponad 100 tys. osób. Tworzy to warunki do funkcjonowania i</w:t>
      </w:r>
      <w:r w:rsidR="00766D8B">
        <w:t> </w:t>
      </w:r>
      <w:r>
        <w:t>rozwoju innowacyjnych i</w:t>
      </w:r>
      <w:r w:rsidR="003C04C9">
        <w:t> </w:t>
      </w:r>
      <w:r>
        <w:t xml:space="preserve">konkurencyjnych branż gospodarki. </w:t>
      </w:r>
    </w:p>
    <w:p w:rsidR="003C04C9" w:rsidRDefault="003C04C9" w:rsidP="00AD3564">
      <w:proofErr w:type="spellStart"/>
      <w:r>
        <w:t>WrOF</w:t>
      </w:r>
      <w:proofErr w:type="spellEnd"/>
      <w:r>
        <w:t xml:space="preserve"> charakteryzuje różnorodność potencjałów. Oprócz korzystnego położenia w układzie powiązań międzynarodowych i regionalnych, stanowi ważny węzeł komunikacyjny, gdzie krzyżują się szlaki komunikacyjne biegnące ze wschodu na zachód Europy oraz z południa na północ kontynentu. Budowa autostrad i dróg ekspresowych w istotnym zakresie wzmacnia potencjał lokalizacyjny </w:t>
      </w:r>
      <w:proofErr w:type="spellStart"/>
      <w:r>
        <w:t>WrOF</w:t>
      </w:r>
      <w:proofErr w:type="spellEnd"/>
      <w:r>
        <w:t>. Położenie na skrzyżowaniu szlaków komunikacyjnych sprzyja rozwojowi funkcji logistycznych.</w:t>
      </w:r>
    </w:p>
    <w:p w:rsidR="008C7373" w:rsidRDefault="008C7373" w:rsidP="00AD3564">
      <w:r>
        <w:t xml:space="preserve">Rozbudowa układu komunikacyjnego kraju zakłada poprawę dostępności do południowej granicy kraju w województwie dolnośląskim. Tym samym oczekuje się poprawy dostępności komunikacyjnej do Czech, jak też krajów Europy Środkowej. Obecnie </w:t>
      </w:r>
      <w:proofErr w:type="spellStart"/>
      <w:r>
        <w:t>WrOF</w:t>
      </w:r>
      <w:proofErr w:type="spellEnd"/>
      <w:r>
        <w:t xml:space="preserve"> jest dobrze skomunikowany z regionami południowej Polski oraz ze wschodnimi landami Niemiec. </w:t>
      </w:r>
      <w:r w:rsidR="00766D8B" w:rsidRPr="00766D8B">
        <w:t>Inwestycje w drogi ekspresowe S3 i S5 znacząco poprawiły  dostęp do Poznania oraz dostępność wybrzeża Morza Bałtyckiego, w tym portów w Szczecinie, Gdańsku i Gdyni</w:t>
      </w:r>
      <w:r>
        <w:t xml:space="preserve">. Budowa drogi ekspresowej S8 poprawiła skomunikowanie </w:t>
      </w:r>
      <w:proofErr w:type="spellStart"/>
      <w:r>
        <w:t>WrOF</w:t>
      </w:r>
      <w:proofErr w:type="spellEnd"/>
      <w:r>
        <w:t xml:space="preserve"> z centralną Polską, </w:t>
      </w:r>
      <w:r w:rsidR="0013615C">
        <w:t>w</w:t>
      </w:r>
      <w:r>
        <w:t xml:space="preserve"> tym z Łodzią i</w:t>
      </w:r>
      <w:r w:rsidR="003405A0">
        <w:t> </w:t>
      </w:r>
      <w:r>
        <w:t>Warszawą. Oczekuje się, iż</w:t>
      </w:r>
      <w:r w:rsidR="0013615C">
        <w:t> </w:t>
      </w:r>
      <w:r>
        <w:t>komponent kolejowy projektu CPK poprawi atrakcyjność transportu kolejowego w skali całego kraju.</w:t>
      </w:r>
    </w:p>
    <w:p w:rsidR="003C04C9" w:rsidRDefault="003C04C9">
      <w:pPr>
        <w:spacing w:after="160" w:line="259" w:lineRule="auto"/>
        <w:jc w:val="left"/>
        <w:rPr>
          <w:iCs/>
          <w:color w:val="363735" w:themeColor="accent3"/>
          <w:sz w:val="20"/>
          <w:szCs w:val="18"/>
        </w:rPr>
      </w:pPr>
      <w:r>
        <w:br w:type="page"/>
      </w:r>
    </w:p>
    <w:p w:rsidR="008C7373" w:rsidRDefault="008C7373" w:rsidP="003405A0">
      <w:pPr>
        <w:pStyle w:val="Legenda"/>
      </w:pPr>
      <w:bookmarkStart w:id="3" w:name="_Toc196905054"/>
      <w:r>
        <w:lastRenderedPageBreak/>
        <w:t xml:space="preserve">Mapa </w:t>
      </w:r>
      <w:r w:rsidR="00646D05">
        <w:fldChar w:fldCharType="begin"/>
      </w:r>
      <w:r>
        <w:instrText xml:space="preserve"> SEQ Mapa \* ARABIC </w:instrText>
      </w:r>
      <w:r w:rsidR="00646D05">
        <w:fldChar w:fldCharType="separate"/>
      </w:r>
      <w:r w:rsidR="0084338D">
        <w:rPr>
          <w:noProof/>
        </w:rPr>
        <w:t>1</w:t>
      </w:r>
      <w:r w:rsidR="00646D05">
        <w:fldChar w:fldCharType="end"/>
      </w:r>
      <w:r>
        <w:t xml:space="preserve">. Położenie </w:t>
      </w:r>
      <w:proofErr w:type="spellStart"/>
      <w:r>
        <w:t>WrOF</w:t>
      </w:r>
      <w:proofErr w:type="spellEnd"/>
      <w:r>
        <w:t xml:space="preserve"> na tle części Europy Środkowej</w:t>
      </w:r>
      <w:bookmarkEnd w:id="3"/>
    </w:p>
    <w:p w:rsidR="008C7373" w:rsidRDefault="008C7373" w:rsidP="00AD3564">
      <w:r>
        <w:rPr>
          <w:noProof/>
          <w:lang w:eastAsia="pl-PL"/>
        </w:rPr>
        <w:drawing>
          <wp:inline distT="0" distB="0" distL="0" distR="0">
            <wp:extent cx="5760720" cy="4076700"/>
            <wp:effectExtent l="0" t="0" r="0" b="0"/>
            <wp:docPr id="1393145721" name="Obraz 5" descr="Obraz zawierający mapa, tekst, atlas&#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145721" name="Obraz 5" descr="Obraz zawierający mapa, tekst, atlas&#10;&#10;Zawartość wygenerowana przez sztuczną inteligencję może być niepoprawna."/>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4076700"/>
                    </a:xfrm>
                    <a:prstGeom prst="rect">
                      <a:avLst/>
                    </a:prstGeom>
                    <a:noFill/>
                    <a:ln>
                      <a:noFill/>
                    </a:ln>
                  </pic:spPr>
                </pic:pic>
              </a:graphicData>
            </a:graphic>
          </wp:inline>
        </w:drawing>
      </w:r>
    </w:p>
    <w:p w:rsidR="008C7373" w:rsidRDefault="008C7373" w:rsidP="00D62CBB">
      <w:pPr>
        <w:pStyle w:val="rdo"/>
      </w:pPr>
      <w:r>
        <w:t>Źródło: opracowanie własne</w:t>
      </w:r>
    </w:p>
    <w:p w:rsidR="008C7373" w:rsidRDefault="008C7373" w:rsidP="008C7373">
      <w:r>
        <w:t xml:space="preserve">Zgodnie z polityką przestrzenną kraju i województwa </w:t>
      </w:r>
      <w:proofErr w:type="spellStart"/>
      <w:r w:rsidR="003C04C9">
        <w:t>WrOF</w:t>
      </w:r>
      <w:proofErr w:type="spellEnd"/>
      <w:r w:rsidR="003C04C9">
        <w:t xml:space="preserve"> </w:t>
      </w:r>
      <w:r>
        <w:t>obejmuje miasto wojewódzkie Wrocław oraz powiązane z nim funkcjonalnie i przestrzennie sąsiadujące obszary. Strefę oddziaływania wyznaczają w dużym stopniu powiązania gospodarcze i społeczne</w:t>
      </w:r>
      <w:r w:rsidR="009462BC">
        <w:t>.</w:t>
      </w:r>
      <w:r>
        <w:t xml:space="preserve"> Nie bez znaczenia są tutaj powiązania transportowe. Podmiejską strefę Wrocławia charakteryzują dynamiczne przemiany urbanizacyjne. Strefa oddziaływań funkcjonalnych Wrocławia poszerza się, co ukazano m. in. w diagnozie delimitacyjnej. Dynamiczny rozwój obszaru wynika z rozwoju gospodarczego kraju, jak też regionu. Duża dynamika rozwoju gospodarczego Polski jest obserwowana od około dwóch dekad. Impulsem było wstąpienie Polski do Unii Europejskiej, co otworzyło przede wszystkim szanse na rozwój przedsiębiorczości.</w:t>
      </w:r>
    </w:p>
    <w:p w:rsidR="003C04C9" w:rsidRDefault="003C04C9" w:rsidP="003C04C9">
      <w:r>
        <w:t xml:space="preserve">Atutem </w:t>
      </w:r>
      <w:proofErr w:type="spellStart"/>
      <w:r>
        <w:t>WrOF</w:t>
      </w:r>
      <w:proofErr w:type="spellEnd"/>
      <w:r>
        <w:t xml:space="preserve"> jest potencjał przyrodniczy, który decyduje o rozwoju rolnictwa. Znajdują się tu jedne z najlepszych w kraju warunków dla rolnictwa, które związane są z bardzo dobrą żyznością gleb, korzystnym klimatem i </w:t>
      </w:r>
      <w:r w:rsidR="0013615C">
        <w:t xml:space="preserve">korzystnym </w:t>
      </w:r>
      <w:r>
        <w:t>ukształtowaniem terenu.</w:t>
      </w:r>
    </w:p>
    <w:p w:rsidR="008C7373" w:rsidRDefault="00785C17" w:rsidP="00AD3564">
      <w:proofErr w:type="spellStart"/>
      <w:r>
        <w:t>WrOF</w:t>
      </w:r>
      <w:proofErr w:type="spellEnd"/>
      <w:r>
        <w:t xml:space="preserve"> s</w:t>
      </w:r>
      <w:r w:rsidR="003C04C9">
        <w:t>woim zasięgiem obejmuje gminy położone łącznie w 6 powiatach województwa dolnośląskiego: średzkim, trzebnickim, oleśnickim, oławskim, wrocławskim oraz</w:t>
      </w:r>
      <w:r>
        <w:t xml:space="preserve"> w</w:t>
      </w:r>
      <w:r w:rsidR="003C04C9">
        <w:t xml:space="preserve"> powiecie miasto Wrocław. Obserwuje się tu jedn</w:t>
      </w:r>
      <w:r>
        <w:t>e</w:t>
      </w:r>
      <w:r w:rsidR="003C04C9">
        <w:t xml:space="preserve"> z najdynamiczniejszych procesów rozwoju gospodarczego i </w:t>
      </w:r>
      <w:r w:rsidR="003C04C9">
        <w:lastRenderedPageBreak/>
        <w:t>urbanizacyjnego w skali regionu. Należy prognozować, iż rozbudowa układu drogowego, w szczególności w kierunku południowym od Wrocławia, może wpłynąć na poszerzenie i intensyfikację powiązań funkcjonalnych.</w:t>
      </w:r>
    </w:p>
    <w:p w:rsidR="003955A4" w:rsidRDefault="00903F5C" w:rsidP="003405A0">
      <w:pPr>
        <w:pStyle w:val="Legenda"/>
      </w:pPr>
      <w:bookmarkStart w:id="4" w:name="_Toc196905055"/>
      <w:r>
        <w:t xml:space="preserve">Mapa </w:t>
      </w:r>
      <w:r w:rsidR="00646D05">
        <w:fldChar w:fldCharType="begin"/>
      </w:r>
      <w:r>
        <w:instrText xml:space="preserve"> SEQ Mapa \* ARABIC </w:instrText>
      </w:r>
      <w:r w:rsidR="00646D05">
        <w:fldChar w:fldCharType="separate"/>
      </w:r>
      <w:r w:rsidR="0084338D">
        <w:rPr>
          <w:noProof/>
        </w:rPr>
        <w:t>2</w:t>
      </w:r>
      <w:r w:rsidR="00646D05">
        <w:fldChar w:fldCharType="end"/>
      </w:r>
      <w:r>
        <w:t xml:space="preserve">. Zasięg </w:t>
      </w:r>
      <w:proofErr w:type="spellStart"/>
      <w:r>
        <w:t>WrOF</w:t>
      </w:r>
      <w:proofErr w:type="spellEnd"/>
      <w:r>
        <w:t xml:space="preserve"> na tle województwa dolnośląskiego</w:t>
      </w:r>
      <w:bookmarkEnd w:id="4"/>
    </w:p>
    <w:p w:rsidR="003955A4" w:rsidRDefault="003955A4" w:rsidP="00AD3564">
      <w:r>
        <w:rPr>
          <w:noProof/>
          <w:lang w:eastAsia="pl-PL"/>
        </w:rPr>
        <w:drawing>
          <wp:inline distT="0" distB="0" distL="0" distR="0">
            <wp:extent cx="5760720" cy="4076700"/>
            <wp:effectExtent l="19050" t="19050" r="11430" b="19050"/>
            <wp:docPr id="561493237" name="Obraz 2" descr="Obraz zawierający mapa, tekst, atlas&#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493237" name="Obraz 2" descr="Obraz zawierający mapa, tekst, atlas&#10;&#10;Zawartość wygenerowana przez sztuczną inteligencję może być niepoprawna."/>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4076700"/>
                    </a:xfrm>
                    <a:prstGeom prst="rect">
                      <a:avLst/>
                    </a:prstGeom>
                    <a:noFill/>
                    <a:ln>
                      <a:solidFill>
                        <a:schemeClr val="tx1"/>
                      </a:solidFill>
                    </a:ln>
                  </pic:spPr>
                </pic:pic>
              </a:graphicData>
            </a:graphic>
          </wp:inline>
        </w:drawing>
      </w:r>
    </w:p>
    <w:p w:rsidR="00F3429E" w:rsidRDefault="00903F5C" w:rsidP="00D62CBB">
      <w:pPr>
        <w:pStyle w:val="rdo"/>
      </w:pPr>
      <w:r>
        <w:t>Źródło: opracowanie własne</w:t>
      </w:r>
    </w:p>
    <w:p w:rsidR="00B2158A" w:rsidRDefault="003C04C9" w:rsidP="00AD3564">
      <w:r>
        <w:t xml:space="preserve">Zgodnie z Planem zagospodarowania przestrzennego województwa dolnośląskiego strukturę osadniczą </w:t>
      </w:r>
      <w:proofErr w:type="spellStart"/>
      <w:r>
        <w:t>WrOF</w:t>
      </w:r>
      <w:proofErr w:type="spellEnd"/>
      <w:r>
        <w:t xml:space="preserve"> tworzą: ośrodek wojewódzki Wrocław oraz ośrodki lokalne I stopnia, II stopnia</w:t>
      </w:r>
      <w:r w:rsidR="00917ED2">
        <w:t xml:space="preserve"> i </w:t>
      </w:r>
      <w:r>
        <w:t>III stopnia.</w:t>
      </w:r>
      <w:r w:rsidR="003405A0">
        <w:rPr>
          <w:rStyle w:val="Odwoanieprzypisudolnego"/>
        </w:rPr>
        <w:footnoteReference w:id="1"/>
      </w:r>
    </w:p>
    <w:p w:rsidR="00785C17" w:rsidRDefault="003C04C9" w:rsidP="00AD3564">
      <w:r>
        <w:t>Do ośrodków lokalnych I stopnia</w:t>
      </w:r>
      <w:r w:rsidR="00785C17">
        <w:t xml:space="preserve"> zalicza się miasta Oławę i Oleśnicę. Są to miasta powiatowe, które posiadają szereg ważnych funkcji w ujęciu ponadlokalnym. Ośrodkiem lokalnym II stopnia jest miasto Trzebnica. Jest to ośrodek miejski wyraźnie mniejszy pod względem liczby mieszkańców od Oławy i Oleśnicy. Ośrodki lokalne III stopnia </w:t>
      </w:r>
      <w:r w:rsidR="00917ED2">
        <w:t>to</w:t>
      </w:r>
      <w:r w:rsidR="00785C17">
        <w:t xml:space="preserve"> siedziby gminy </w:t>
      </w:r>
      <w:r w:rsidR="00917ED2">
        <w:t xml:space="preserve">pozostałych </w:t>
      </w:r>
      <w:proofErr w:type="spellStart"/>
      <w:r w:rsidR="00785C17">
        <w:t>WrOF</w:t>
      </w:r>
      <w:proofErr w:type="spellEnd"/>
      <w:r w:rsidR="00785C17">
        <w:t>.</w:t>
      </w:r>
    </w:p>
    <w:p w:rsidR="00785C17" w:rsidRDefault="00785C17">
      <w:pPr>
        <w:spacing w:after="160" w:line="259" w:lineRule="auto"/>
        <w:jc w:val="left"/>
      </w:pPr>
      <w:r>
        <w:br w:type="page"/>
      </w:r>
    </w:p>
    <w:p w:rsidR="003C04C9" w:rsidRDefault="00785C17" w:rsidP="003405A0">
      <w:pPr>
        <w:pStyle w:val="Legenda"/>
      </w:pPr>
      <w:bookmarkStart w:id="5" w:name="_Toc196905056"/>
      <w:r>
        <w:lastRenderedPageBreak/>
        <w:t xml:space="preserve">Mapa </w:t>
      </w:r>
      <w:r w:rsidR="00646D05">
        <w:fldChar w:fldCharType="begin"/>
      </w:r>
      <w:r>
        <w:instrText xml:space="preserve"> SEQ Mapa \* ARABIC </w:instrText>
      </w:r>
      <w:r w:rsidR="00646D05">
        <w:fldChar w:fldCharType="separate"/>
      </w:r>
      <w:r w:rsidR="0084338D">
        <w:rPr>
          <w:noProof/>
        </w:rPr>
        <w:t>3</w:t>
      </w:r>
      <w:r w:rsidR="00646D05">
        <w:fldChar w:fldCharType="end"/>
      </w:r>
      <w:r>
        <w:t xml:space="preserve">. Struktura osadnicza </w:t>
      </w:r>
      <w:proofErr w:type="spellStart"/>
      <w:r>
        <w:t>WrOF</w:t>
      </w:r>
      <w:bookmarkEnd w:id="5"/>
      <w:proofErr w:type="spellEnd"/>
    </w:p>
    <w:p w:rsidR="00D62CBB" w:rsidRDefault="00917ED2" w:rsidP="00D62CBB">
      <w:pPr>
        <w:pStyle w:val="rdo"/>
      </w:pPr>
      <w:r>
        <w:rPr>
          <w:noProof/>
          <w:lang w:eastAsia="pl-PL"/>
        </w:rPr>
        <w:drawing>
          <wp:inline distT="0" distB="0" distL="0" distR="0">
            <wp:extent cx="3762375" cy="5316761"/>
            <wp:effectExtent l="19050" t="19050" r="9525" b="17780"/>
            <wp:docPr id="2088645965" name="Obraz 6" descr="Obraz zawierający mapa, atlas, tekst&#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45965" name="Obraz 6" descr="Obraz zawierający mapa, atlas, tekst&#10;&#10;Zawartość wygenerowana przez sztuczną inteligencję może być niepoprawna."/>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74833" cy="5334366"/>
                    </a:xfrm>
                    <a:prstGeom prst="rect">
                      <a:avLst/>
                    </a:prstGeom>
                    <a:noFill/>
                    <a:ln>
                      <a:solidFill>
                        <a:schemeClr val="tx1"/>
                      </a:solidFill>
                    </a:ln>
                  </pic:spPr>
                </pic:pic>
              </a:graphicData>
            </a:graphic>
          </wp:inline>
        </w:drawing>
      </w:r>
    </w:p>
    <w:p w:rsidR="00785C17" w:rsidRPr="00D62CBB" w:rsidRDefault="00785C17" w:rsidP="00D62CBB">
      <w:pPr>
        <w:pStyle w:val="rdo"/>
      </w:pPr>
      <w:r w:rsidRPr="00D62CBB">
        <w:t>Źródło: opracowanie własne</w:t>
      </w:r>
    </w:p>
    <w:p w:rsidR="008250E9" w:rsidRDefault="00917ED2" w:rsidP="008250E9">
      <w:r>
        <w:t>W ujęciu regionalnym</w:t>
      </w:r>
      <w:r w:rsidR="008250E9">
        <w:t>, zgodnie z zapisami Strategii Rozwoju Województwa Dolnośląskiego 2030,</w:t>
      </w:r>
      <w:r>
        <w:t xml:space="preserve"> jednym z obszarów funkcjonalnych</w:t>
      </w:r>
      <w:r w:rsidR="008250E9">
        <w:t xml:space="preserve"> województwa</w:t>
      </w:r>
      <w:r>
        <w:t xml:space="preserve"> </w:t>
      </w:r>
      <w:r w:rsidR="008250E9">
        <w:t xml:space="preserve">jest obszar cenny przyrodniczo. </w:t>
      </w:r>
      <w:proofErr w:type="spellStart"/>
      <w:r w:rsidR="008250E9">
        <w:t>WrOF</w:t>
      </w:r>
      <w:proofErr w:type="spellEnd"/>
      <w:r w:rsidR="008250E9">
        <w:t xml:space="preserve"> położony jest w zasięgu tego obszaru. Priorytetem dla tego obszaru jest ochrona przyrody, w tym zachowanie bioróżnorodności i zachowanie spójności przyrodniczej korytarzy ekologicznych. Obszar funkcjonalny cenny przyrodniczo pokrywa się z siecią obszarów chronionych Natura 2000 oraz z korytarzami ekologicznymi. Warto również podkreślić, iż system korytarzy ekologicznych w obrębie </w:t>
      </w:r>
      <w:proofErr w:type="spellStart"/>
      <w:r w:rsidR="008250E9">
        <w:t>WrOF</w:t>
      </w:r>
      <w:proofErr w:type="spellEnd"/>
      <w:r w:rsidR="008250E9">
        <w:t xml:space="preserve"> opiera się w szczególności na dolinach rzek. </w:t>
      </w:r>
    </w:p>
    <w:p w:rsidR="008250E9" w:rsidRDefault="008250E9">
      <w:pPr>
        <w:spacing w:after="160" w:line="259" w:lineRule="auto"/>
        <w:jc w:val="left"/>
      </w:pPr>
      <w:r>
        <w:br w:type="page"/>
      </w:r>
    </w:p>
    <w:p w:rsidR="00B2158A" w:rsidRDefault="008250E9" w:rsidP="003405A0">
      <w:pPr>
        <w:pStyle w:val="Legenda"/>
      </w:pPr>
      <w:bookmarkStart w:id="6" w:name="_Toc196905057"/>
      <w:r>
        <w:lastRenderedPageBreak/>
        <w:t xml:space="preserve">Mapa </w:t>
      </w:r>
      <w:r w:rsidR="00646D05">
        <w:fldChar w:fldCharType="begin"/>
      </w:r>
      <w:r>
        <w:instrText xml:space="preserve"> SEQ Mapa \* ARABIC </w:instrText>
      </w:r>
      <w:r w:rsidR="00646D05">
        <w:fldChar w:fldCharType="separate"/>
      </w:r>
      <w:r w:rsidR="0084338D">
        <w:rPr>
          <w:noProof/>
        </w:rPr>
        <w:t>4</w:t>
      </w:r>
      <w:r w:rsidR="00646D05">
        <w:fldChar w:fldCharType="end"/>
      </w:r>
      <w:r>
        <w:t xml:space="preserve">. </w:t>
      </w:r>
      <w:proofErr w:type="spellStart"/>
      <w:r w:rsidR="00C034B6">
        <w:t>WrOF</w:t>
      </w:r>
      <w:proofErr w:type="spellEnd"/>
      <w:r w:rsidR="00C034B6">
        <w:t xml:space="preserve"> na tle p</w:t>
      </w:r>
      <w:r w:rsidR="000A7FD2">
        <w:t>owiąza</w:t>
      </w:r>
      <w:r w:rsidR="00C034B6">
        <w:t>ń</w:t>
      </w:r>
      <w:r w:rsidR="000A7FD2">
        <w:t xml:space="preserve"> przyrodnicz</w:t>
      </w:r>
      <w:r w:rsidR="00C034B6">
        <w:t>ych</w:t>
      </w:r>
      <w:bookmarkEnd w:id="6"/>
    </w:p>
    <w:p w:rsidR="000A7FD2" w:rsidRDefault="000A7FD2">
      <w:pPr>
        <w:spacing w:after="160" w:line="259" w:lineRule="auto"/>
        <w:jc w:val="left"/>
      </w:pPr>
      <w:r>
        <w:rPr>
          <w:noProof/>
          <w:lang w:eastAsia="pl-PL"/>
        </w:rPr>
        <w:drawing>
          <wp:inline distT="0" distB="0" distL="0" distR="0">
            <wp:extent cx="5760720" cy="4076700"/>
            <wp:effectExtent l="0" t="0" r="0" b="0"/>
            <wp:docPr id="544623618" name="Obraz 4" descr="Obraz zawierający mapa, tekst, atlas&#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623618" name="Obraz 4" descr="Obraz zawierający mapa, tekst, atlas&#10;&#10;Zawartość wygenerowana przez sztuczną inteligencję może być niepoprawna."/>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4076700"/>
                    </a:xfrm>
                    <a:prstGeom prst="rect">
                      <a:avLst/>
                    </a:prstGeom>
                    <a:noFill/>
                    <a:ln>
                      <a:noFill/>
                    </a:ln>
                  </pic:spPr>
                </pic:pic>
              </a:graphicData>
            </a:graphic>
          </wp:inline>
        </w:drawing>
      </w:r>
    </w:p>
    <w:p w:rsidR="008250E9" w:rsidRDefault="008250E9" w:rsidP="00D62CBB">
      <w:pPr>
        <w:pStyle w:val="rdo"/>
      </w:pPr>
      <w:r>
        <w:t>Źródło: opracowanie własne</w:t>
      </w:r>
    </w:p>
    <w:p w:rsidR="00AD3564" w:rsidRDefault="00AD3564">
      <w:pPr>
        <w:spacing w:after="160" w:line="259" w:lineRule="auto"/>
        <w:jc w:val="left"/>
      </w:pPr>
      <w:r>
        <w:br w:type="page"/>
      </w:r>
    </w:p>
    <w:p w:rsidR="00AD3564" w:rsidRDefault="00AD3564" w:rsidP="00AD3564">
      <w:pPr>
        <w:pStyle w:val="Nagwek1"/>
        <w:numPr>
          <w:ilvl w:val="0"/>
          <w:numId w:val="0"/>
        </w:numPr>
        <w:ind w:left="360"/>
      </w:pPr>
      <w:bookmarkStart w:id="7" w:name="_Toc196905121"/>
      <w:r w:rsidRPr="007B0851">
        <w:lastRenderedPageBreak/>
        <w:t>2</w:t>
      </w:r>
      <w:r w:rsidR="008B55DE">
        <w:t xml:space="preserve">. </w:t>
      </w:r>
      <w:r w:rsidRPr="007B0851">
        <w:t>Identyfikacj</w:t>
      </w:r>
      <w:r>
        <w:t>a</w:t>
      </w:r>
      <w:r w:rsidRPr="007B0851">
        <w:t xml:space="preserve"> zewnętrznych procesów zmian społeczno-gospodarczych</w:t>
      </w:r>
      <w:bookmarkEnd w:id="7"/>
    </w:p>
    <w:p w:rsidR="00AD3564" w:rsidRPr="00AD3564" w:rsidRDefault="008B55DE" w:rsidP="008B55DE">
      <w:pPr>
        <w:pStyle w:val="Nagwek2"/>
        <w:numPr>
          <w:ilvl w:val="0"/>
          <w:numId w:val="0"/>
        </w:numPr>
        <w:ind w:left="993" w:hanging="851"/>
      </w:pPr>
      <w:bookmarkStart w:id="8" w:name="_Toc196905122"/>
      <w:r>
        <w:t>2.1. Zmiany demograficzne</w:t>
      </w:r>
      <w:bookmarkEnd w:id="8"/>
    </w:p>
    <w:p w:rsidR="00AD3564" w:rsidRDefault="00AD3564" w:rsidP="00AD3564">
      <w:proofErr w:type="spellStart"/>
      <w:r>
        <w:t>WrOF</w:t>
      </w:r>
      <w:proofErr w:type="spellEnd"/>
      <w:r>
        <w:t xml:space="preserve"> jest przestrzenią, dla której GUS prognozuje wzrost liczby mieszkańców. Będzie on w</w:t>
      </w:r>
      <w:r w:rsidR="007A0856">
        <w:t> </w:t>
      </w:r>
      <w:r>
        <w:t>głównej</w:t>
      </w:r>
      <w:r w:rsidR="00913199">
        <w:t xml:space="preserve"> mierze</w:t>
      </w:r>
      <w:r>
        <w:t xml:space="preserve"> dotyczył gmin podmiejskich względem Wrocławia, zlokalizowanych w</w:t>
      </w:r>
      <w:r w:rsidR="003405A0">
        <w:t> </w:t>
      </w:r>
      <w:r>
        <w:t xml:space="preserve">powiecie wrocławskim, trzebnickim, średzkim. Zakłada się również wzrost liczby mieszkańców Wrocławia. W pozostałej części województwa dolnośląskiego zakłada się znaczący spadek liczby mieszkańców. GUS prognozuje przy tym wzrost odsetka osób w wieku poprodukcyjnym również na obszarze </w:t>
      </w:r>
      <w:proofErr w:type="spellStart"/>
      <w:r>
        <w:t>WrOF</w:t>
      </w:r>
      <w:proofErr w:type="spellEnd"/>
      <w:r>
        <w:t>, jak też w przestrzeni całego kraju.</w:t>
      </w:r>
    </w:p>
    <w:p w:rsidR="006C569F" w:rsidRDefault="006C569F" w:rsidP="00AD3564">
      <w:r>
        <w:t>Prognoz</w:t>
      </w:r>
      <w:r w:rsidR="00C95F7C">
        <w:t>y</w:t>
      </w:r>
      <w:r w:rsidR="00A64898">
        <w:t xml:space="preserve"> demograficzne</w:t>
      </w:r>
      <w:r>
        <w:t xml:space="preserve"> GUS wskazują na znaczące</w:t>
      </w:r>
      <w:r w:rsidR="00A64898">
        <w:t xml:space="preserve"> spadki</w:t>
      </w:r>
      <w:r>
        <w:t xml:space="preserve"> </w:t>
      </w:r>
      <w:r w:rsidR="00C95F7C">
        <w:t xml:space="preserve">liczby </w:t>
      </w:r>
      <w:r>
        <w:t>ludności kraju</w:t>
      </w:r>
      <w:r w:rsidR="00C95F7C">
        <w:t xml:space="preserve"> </w:t>
      </w:r>
      <w:r w:rsidR="00A64898">
        <w:t>w odniesieniu do</w:t>
      </w:r>
      <w:r w:rsidR="00C95F7C">
        <w:t xml:space="preserve"> ekonomicznych grup wieku</w:t>
      </w:r>
      <w:r>
        <w:t>. W</w:t>
      </w:r>
      <w:r w:rsidR="00C95F7C">
        <w:t> </w:t>
      </w:r>
      <w:r>
        <w:t xml:space="preserve">perspektywie długoterminowej w 2060 r. ludność w wieku przedprodukcyjnym </w:t>
      </w:r>
      <w:r w:rsidR="00C95F7C">
        <w:t xml:space="preserve">zmniejszy się do 5,3 mln </w:t>
      </w:r>
      <w:r>
        <w:t>wobec 6,9</w:t>
      </w:r>
      <w:r w:rsidR="000F64C7">
        <w:t xml:space="preserve"> mln</w:t>
      </w:r>
      <w:r>
        <w:t xml:space="preserve"> w 2025 r. </w:t>
      </w:r>
      <w:r w:rsidR="00C95F7C">
        <w:t>Liczba l</w:t>
      </w:r>
      <w:r>
        <w:t>udności w wieku produkcyjnym zmniejszy się z 21,4</w:t>
      </w:r>
      <w:r w:rsidR="00C95F7C">
        <w:t xml:space="preserve"> mln d</w:t>
      </w:r>
      <w:r w:rsidR="000F64C7">
        <w:t>o</w:t>
      </w:r>
      <w:r w:rsidR="00C95F7C">
        <w:t xml:space="preserve"> 16,8 </w:t>
      </w:r>
      <w:proofErr w:type="spellStart"/>
      <w:r w:rsidR="00C95F7C">
        <w:t>mln</w:t>
      </w:r>
      <w:proofErr w:type="spellEnd"/>
      <w:r w:rsidR="00C95F7C">
        <w:t>. Prognozuje się przy tym wzrost liczby osób w</w:t>
      </w:r>
      <w:r w:rsidR="00A64898">
        <w:t> </w:t>
      </w:r>
      <w:r w:rsidR="00C95F7C">
        <w:t>wieku poprodukcyjnym z 9,0</w:t>
      </w:r>
      <w:r w:rsidR="000F64C7">
        <w:t xml:space="preserve"> mln</w:t>
      </w:r>
      <w:r w:rsidR="00C95F7C">
        <w:t xml:space="preserve"> do 10,8 </w:t>
      </w:r>
      <w:proofErr w:type="spellStart"/>
      <w:r w:rsidR="00C95F7C">
        <w:t>mln</w:t>
      </w:r>
      <w:proofErr w:type="spellEnd"/>
      <w:r w:rsidR="00C95F7C">
        <w:t>. Ta prognoza jest w obecnej chwili najbardziej prawdopodobnym scenariuszem. Wynika ona z obecnej struktury wiekowej ludności kraju i</w:t>
      </w:r>
      <w:r w:rsidR="00A64898">
        <w:t> </w:t>
      </w:r>
      <w:r w:rsidR="00C95F7C">
        <w:t>bardzo niskich wskaźników urodzeń. Zwiększenie dzietności może tylko w pewnym stopniu zniwelować prognozowany ubytek ludności kraju, gdyż obecne pokolenie będące w wieku reprodukcyjnym urodzone jest już w niżu demograficznym. W związku z tym w ruchu naturalnym ludności w Polsce w dłuższej perspektywie czasu prognozuje się wyraźną przewagę zgonów nad urodzeniami. Taki stan rzeczy doprowadzi do znaczącego spadku ludności kraju.</w:t>
      </w:r>
    </w:p>
    <w:p w:rsidR="003F09F0" w:rsidRDefault="003F09F0">
      <w:pPr>
        <w:spacing w:after="160" w:line="259" w:lineRule="auto"/>
        <w:jc w:val="left"/>
        <w:rPr>
          <w:iCs/>
          <w:color w:val="363735" w:themeColor="accent3"/>
          <w:sz w:val="20"/>
          <w:szCs w:val="18"/>
        </w:rPr>
      </w:pPr>
      <w:bookmarkStart w:id="9" w:name="_Toc189834259"/>
      <w:r>
        <w:br w:type="page"/>
      </w:r>
    </w:p>
    <w:p w:rsidR="006C569F" w:rsidRDefault="006C569F" w:rsidP="003405A0">
      <w:pPr>
        <w:pStyle w:val="Legenda"/>
      </w:pPr>
      <w:bookmarkStart w:id="10" w:name="_Toc197678815"/>
      <w:r>
        <w:lastRenderedPageBreak/>
        <w:t xml:space="preserve">Wykres </w:t>
      </w:r>
      <w:r w:rsidR="00646D05">
        <w:fldChar w:fldCharType="begin"/>
      </w:r>
      <w:r>
        <w:instrText xml:space="preserve"> SEQ Wykres \* ARABIC </w:instrText>
      </w:r>
      <w:r w:rsidR="00646D05">
        <w:fldChar w:fldCharType="separate"/>
      </w:r>
      <w:r w:rsidR="0084338D">
        <w:rPr>
          <w:noProof/>
        </w:rPr>
        <w:t>1</w:t>
      </w:r>
      <w:r w:rsidR="00646D05">
        <w:fldChar w:fldCharType="end"/>
      </w:r>
      <w:r>
        <w:t>. Prognozowana liczba ludności rezydującej (w mln) według ekonomicznych grup wieku w poszczególnych latach</w:t>
      </w:r>
      <w:bookmarkEnd w:id="9"/>
      <w:r>
        <w:t xml:space="preserve"> w Polsce</w:t>
      </w:r>
      <w:bookmarkEnd w:id="10"/>
    </w:p>
    <w:p w:rsidR="006C569F" w:rsidRDefault="006C569F" w:rsidP="006C569F">
      <w:r>
        <w:rPr>
          <w:noProof/>
          <w:lang w:eastAsia="pl-PL"/>
        </w:rPr>
        <w:drawing>
          <wp:inline distT="0" distB="0" distL="0" distR="0">
            <wp:extent cx="5784112" cy="2409825"/>
            <wp:effectExtent l="0" t="0" r="7620" b="9525"/>
            <wp:docPr id="555447287" name="Wykres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9418A3EE-343B-3F46-0BC0-D7F4575F6C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F09F0" w:rsidRDefault="006C569F" w:rsidP="006B284E">
      <w:pPr>
        <w:pStyle w:val="rdo"/>
      </w:pPr>
      <w:r>
        <w:t>Źródło: opracowanie własne na podstawie danych GUS</w:t>
      </w:r>
      <w:bookmarkStart w:id="11" w:name="_Toc189834260"/>
      <w:r w:rsidR="0013615C">
        <w:t xml:space="preserve"> (dostęp 30.01.2025)</w:t>
      </w:r>
    </w:p>
    <w:p w:rsidR="00C95F7C" w:rsidRDefault="00C95F7C" w:rsidP="003405A0">
      <w:pPr>
        <w:pStyle w:val="Legenda"/>
      </w:pPr>
      <w:bookmarkStart w:id="12" w:name="_Toc197678816"/>
      <w:r>
        <w:t xml:space="preserve">Wykres </w:t>
      </w:r>
      <w:r w:rsidR="00646D05">
        <w:fldChar w:fldCharType="begin"/>
      </w:r>
      <w:r>
        <w:instrText xml:space="preserve"> SEQ Wykres \* ARABIC </w:instrText>
      </w:r>
      <w:r w:rsidR="00646D05">
        <w:fldChar w:fldCharType="separate"/>
      </w:r>
      <w:r w:rsidR="0084338D">
        <w:rPr>
          <w:noProof/>
        </w:rPr>
        <w:t>2</w:t>
      </w:r>
      <w:r w:rsidR="00646D05">
        <w:fldChar w:fldCharType="end"/>
      </w:r>
      <w:r>
        <w:t>. Prognoza liczby urodzeń oraz zgonów (w tys. w poszczególnych latach)</w:t>
      </w:r>
      <w:bookmarkEnd w:id="11"/>
      <w:bookmarkEnd w:id="12"/>
    </w:p>
    <w:p w:rsidR="00C95F7C" w:rsidRDefault="00C95F7C" w:rsidP="00C95F7C">
      <w:r>
        <w:rPr>
          <w:noProof/>
          <w:lang w:eastAsia="pl-PL"/>
        </w:rPr>
        <w:drawing>
          <wp:inline distT="0" distB="0" distL="0" distR="0">
            <wp:extent cx="5783580" cy="2286000"/>
            <wp:effectExtent l="0" t="0" r="7620" b="0"/>
            <wp:docPr id="1236664689" name="Wykres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CB8DFEBB-33BE-5E4B-4D85-0181BF8B79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95F7C" w:rsidRPr="009D195B" w:rsidRDefault="00C95F7C" w:rsidP="006B284E">
      <w:pPr>
        <w:pStyle w:val="rdo"/>
      </w:pPr>
      <w:r>
        <w:t>Źródło: opracowanie własne na podstawie danych GUS</w:t>
      </w:r>
      <w:r w:rsidR="0013615C">
        <w:t xml:space="preserve"> (dostęp 30.01.2025)</w:t>
      </w:r>
    </w:p>
    <w:p w:rsidR="00C95F7C" w:rsidRDefault="00C95F7C" w:rsidP="00AD3564">
      <w:r>
        <w:t>Kwestie demograficzn</w:t>
      </w:r>
      <w:r w:rsidR="00AB1304">
        <w:t>e</w:t>
      </w:r>
      <w:r>
        <w:t xml:space="preserve"> należy uznać za jedne z kluczowych wyzwań rozwoju kraju, czego wyrazem jest przyjęta przez </w:t>
      </w:r>
      <w:r w:rsidRPr="00C95F7C">
        <w:t>Rad</w:t>
      </w:r>
      <w:r>
        <w:t>ę</w:t>
      </w:r>
      <w:r w:rsidRPr="00C95F7C">
        <w:t xml:space="preserve"> Ministrów krajow</w:t>
      </w:r>
      <w:r w:rsidR="00AB1304">
        <w:t>a</w:t>
      </w:r>
      <w:r w:rsidRPr="00C95F7C">
        <w:t xml:space="preserve"> Strategi</w:t>
      </w:r>
      <w:r w:rsidR="00AB1304">
        <w:t>a</w:t>
      </w:r>
      <w:r w:rsidRPr="00C95F7C">
        <w:t xml:space="preserve"> Demograficzn</w:t>
      </w:r>
      <w:r w:rsidR="00AB1304">
        <w:t>a</w:t>
      </w:r>
      <w:r w:rsidRPr="00C95F7C">
        <w:t xml:space="preserve"> 2040. </w:t>
      </w:r>
      <w:r>
        <w:t>G</w:t>
      </w:r>
      <w:r w:rsidRPr="00C95F7C">
        <w:t xml:space="preserve">łównym </w:t>
      </w:r>
      <w:r>
        <w:t>je</w:t>
      </w:r>
      <w:r w:rsidR="00AB1304">
        <w:t>j</w:t>
      </w:r>
      <w:r>
        <w:t xml:space="preserve"> </w:t>
      </w:r>
      <w:r w:rsidRPr="00C95F7C">
        <w:t>założeniem jest wyjście przez Polskę z tzw. pułapki niskiej dzietności i zbliżenie się do poziomu gwarantującego zastępowalność pokoleń.</w:t>
      </w:r>
      <w:r w:rsidR="000F64C7">
        <w:t xml:space="preserve"> Należy przy tym podkreślić, iż wyjście z pułapki niskiej dzietności będzie procesem rozłożonym w długiej perspektywie czasu, a pozytywne efekty realizowanych działań odczuwalne będą za mniej więcej dwie dekady.</w:t>
      </w:r>
    </w:p>
    <w:p w:rsidR="00C95F7C" w:rsidRDefault="00AB1304" w:rsidP="00AD3564">
      <w:r>
        <w:t>Krajowa Strategia Demograficzna 2040 opiera się na trzech filarach: wzmocnieniu rodziny, znoszeniu barier dla rodziców chcących mieć dzieci, podniesieniu jakości zarządzania i</w:t>
      </w:r>
      <w:r w:rsidR="006B284E">
        <w:t> </w:t>
      </w:r>
      <w:r>
        <w:t xml:space="preserve">wdrażania polityk. Stawia zadania zarówno dla szczebla centralnego, jak też samorządowego. Istotne będzie przy tym </w:t>
      </w:r>
      <w:r>
        <w:lastRenderedPageBreak/>
        <w:t>podtrzymanie rozwoju gospodarczego i ekonomicznego kraju, gdyż szereg zaplanowanych działań zależy od zdolności ich finansowania. Wydaje się, że w tym kontekście Polska posiada możliwości podtrzymania wzrostu gospodarczego kraju.</w:t>
      </w:r>
    </w:p>
    <w:p w:rsidR="00AB1304" w:rsidRDefault="00AB1304" w:rsidP="003405A0">
      <w:pPr>
        <w:pStyle w:val="Legenda"/>
      </w:pPr>
      <w:bookmarkStart w:id="13" w:name="_Toc189834220"/>
      <w:bookmarkStart w:id="14" w:name="_Toc196905065"/>
      <w:r>
        <w:t xml:space="preserve">Tabela </w:t>
      </w:r>
      <w:r w:rsidR="00646D05">
        <w:fldChar w:fldCharType="begin"/>
      </w:r>
      <w:r>
        <w:instrText xml:space="preserve"> SEQ Tabela \* ARABIC </w:instrText>
      </w:r>
      <w:r w:rsidR="00646D05">
        <w:fldChar w:fldCharType="separate"/>
      </w:r>
      <w:r w:rsidR="0084338D">
        <w:rPr>
          <w:noProof/>
        </w:rPr>
        <w:t>1</w:t>
      </w:r>
      <w:r w:rsidR="00646D05">
        <w:fldChar w:fldCharType="end"/>
      </w:r>
      <w:r>
        <w:t>. Kierunki interwencji Strategii Demograficznej 2040</w:t>
      </w:r>
      <w:bookmarkEnd w:id="13"/>
      <w:bookmarkEnd w:id="14"/>
    </w:p>
    <w:tbl>
      <w:tblPr>
        <w:tblStyle w:val="Tabela-Siatka"/>
        <w:tblW w:w="0" w:type="auto"/>
        <w:tblLook w:val="0420"/>
      </w:tblPr>
      <w:tblGrid>
        <w:gridCol w:w="2518"/>
        <w:gridCol w:w="6544"/>
      </w:tblGrid>
      <w:tr w:rsidR="00AB1304" w:rsidRPr="009D195B" w:rsidTr="00A31037">
        <w:tc>
          <w:tcPr>
            <w:tcW w:w="2518" w:type="dxa"/>
            <w:shd w:val="clear" w:color="auto" w:fill="F3CD42" w:themeFill="accent2"/>
          </w:tcPr>
          <w:p w:rsidR="00AB1304" w:rsidRPr="009D195B" w:rsidRDefault="00AB1304" w:rsidP="00A31037">
            <w:pPr>
              <w:spacing w:line="276" w:lineRule="auto"/>
            </w:pPr>
            <w:r w:rsidRPr="009D195B">
              <w:t>Kierunki interwencji</w:t>
            </w:r>
          </w:p>
        </w:tc>
        <w:tc>
          <w:tcPr>
            <w:tcW w:w="6544" w:type="dxa"/>
            <w:shd w:val="clear" w:color="auto" w:fill="F3CD42" w:themeFill="accent2"/>
          </w:tcPr>
          <w:p w:rsidR="00AB1304" w:rsidRPr="009D195B" w:rsidRDefault="00AB1304" w:rsidP="00A31037">
            <w:pPr>
              <w:spacing w:line="276" w:lineRule="auto"/>
            </w:pPr>
            <w:r w:rsidRPr="009D195B">
              <w:t>Działania</w:t>
            </w:r>
          </w:p>
        </w:tc>
      </w:tr>
      <w:tr w:rsidR="00AB1304" w:rsidRPr="009D195B" w:rsidTr="00A31037">
        <w:tc>
          <w:tcPr>
            <w:tcW w:w="2518" w:type="dxa"/>
            <w:shd w:val="clear" w:color="auto" w:fill="auto"/>
          </w:tcPr>
          <w:p w:rsidR="00AB1304" w:rsidRPr="009D195B" w:rsidRDefault="00AB1304" w:rsidP="00A31037">
            <w:pPr>
              <w:spacing w:line="276" w:lineRule="auto"/>
              <w:jc w:val="left"/>
            </w:pPr>
            <w:r w:rsidRPr="009D195B">
              <w:t>Wzmocnienie rodziny</w:t>
            </w:r>
          </w:p>
        </w:tc>
        <w:tc>
          <w:tcPr>
            <w:tcW w:w="6544" w:type="dxa"/>
          </w:tcPr>
          <w:p w:rsidR="00AB1304" w:rsidRDefault="00AB1304" w:rsidP="00A31037">
            <w:pPr>
              <w:pStyle w:val="Akapitzlist"/>
              <w:numPr>
                <w:ilvl w:val="0"/>
                <w:numId w:val="6"/>
              </w:numPr>
              <w:spacing w:after="0" w:line="276" w:lineRule="auto"/>
              <w:jc w:val="left"/>
            </w:pPr>
            <w:r w:rsidRPr="009D195B">
              <w:t xml:space="preserve">zabezpieczenie finansowe rodzin; </w:t>
            </w:r>
          </w:p>
          <w:p w:rsidR="00AB1304" w:rsidRDefault="00AB1304" w:rsidP="00A31037">
            <w:pPr>
              <w:pStyle w:val="Akapitzlist"/>
              <w:numPr>
                <w:ilvl w:val="0"/>
                <w:numId w:val="6"/>
              </w:numPr>
              <w:spacing w:after="0" w:line="276" w:lineRule="auto"/>
              <w:jc w:val="left"/>
            </w:pPr>
            <w:r w:rsidRPr="009D195B">
              <w:t xml:space="preserve">wsparcie w zaspokojeniu potrzeb mieszkaniowych rodzin; wsparcie trwałości rodzin; </w:t>
            </w:r>
          </w:p>
          <w:p w:rsidR="00AB1304" w:rsidRDefault="00AB1304" w:rsidP="00A31037">
            <w:pPr>
              <w:pStyle w:val="Akapitzlist"/>
              <w:numPr>
                <w:ilvl w:val="0"/>
                <w:numId w:val="6"/>
              </w:numPr>
              <w:spacing w:after="0" w:line="276" w:lineRule="auto"/>
              <w:jc w:val="left"/>
            </w:pPr>
            <w:r w:rsidRPr="009D195B">
              <w:t xml:space="preserve">popularyzacja kultury sprzyjającej rodzinie; </w:t>
            </w:r>
          </w:p>
          <w:p w:rsidR="00AB1304" w:rsidRPr="009D195B" w:rsidRDefault="00AB1304" w:rsidP="00A31037">
            <w:pPr>
              <w:pStyle w:val="Akapitzlist"/>
              <w:numPr>
                <w:ilvl w:val="0"/>
                <w:numId w:val="6"/>
              </w:numPr>
              <w:spacing w:after="0" w:line="276" w:lineRule="auto"/>
              <w:jc w:val="left"/>
            </w:pPr>
            <w:r w:rsidRPr="009D195B">
              <w:t>wzmocnienie współpracy z organizacjami pozarządowymi i</w:t>
            </w:r>
            <w:r w:rsidR="00A31037">
              <w:t> </w:t>
            </w:r>
            <w:r w:rsidRPr="009D195B">
              <w:t>innymi podmiotami działającymi na rzecz rodziny</w:t>
            </w:r>
            <w:r>
              <w:t>.</w:t>
            </w:r>
          </w:p>
        </w:tc>
      </w:tr>
      <w:tr w:rsidR="00AB1304" w:rsidRPr="009D195B" w:rsidTr="00A31037">
        <w:tc>
          <w:tcPr>
            <w:tcW w:w="2518" w:type="dxa"/>
            <w:shd w:val="clear" w:color="auto" w:fill="auto"/>
          </w:tcPr>
          <w:p w:rsidR="00AB1304" w:rsidRPr="009D195B" w:rsidRDefault="00AB1304" w:rsidP="00A31037">
            <w:pPr>
              <w:spacing w:line="276" w:lineRule="auto"/>
              <w:jc w:val="left"/>
            </w:pPr>
            <w:r w:rsidRPr="009D195B">
              <w:t>Znoszenie barier dla rodziców chcących mieć dzieci</w:t>
            </w:r>
          </w:p>
        </w:tc>
        <w:tc>
          <w:tcPr>
            <w:tcW w:w="6544" w:type="dxa"/>
          </w:tcPr>
          <w:p w:rsidR="00AB1304" w:rsidRDefault="00AB1304" w:rsidP="00A31037">
            <w:pPr>
              <w:pStyle w:val="Akapitzlist"/>
              <w:numPr>
                <w:ilvl w:val="0"/>
                <w:numId w:val="6"/>
              </w:numPr>
              <w:spacing w:after="0" w:line="276" w:lineRule="auto"/>
              <w:jc w:val="left"/>
            </w:pPr>
            <w:r w:rsidRPr="009D195B">
              <w:t xml:space="preserve">rozwój form opieki nad dziećmi; </w:t>
            </w:r>
          </w:p>
          <w:p w:rsidR="00AB1304" w:rsidRDefault="00AB1304" w:rsidP="00A31037">
            <w:pPr>
              <w:pStyle w:val="Akapitzlist"/>
              <w:numPr>
                <w:ilvl w:val="0"/>
                <w:numId w:val="6"/>
              </w:numPr>
              <w:spacing w:after="0" w:line="276" w:lineRule="auto"/>
              <w:jc w:val="left"/>
            </w:pPr>
            <w:r w:rsidRPr="009D195B">
              <w:t xml:space="preserve">rozwój rynku pracy przyjaznego rodzinie; </w:t>
            </w:r>
          </w:p>
          <w:p w:rsidR="00AB1304" w:rsidRDefault="00AB1304" w:rsidP="00A31037">
            <w:pPr>
              <w:pStyle w:val="Akapitzlist"/>
              <w:numPr>
                <w:ilvl w:val="0"/>
                <w:numId w:val="6"/>
              </w:numPr>
              <w:spacing w:after="0" w:line="276" w:lineRule="auto"/>
              <w:jc w:val="left"/>
            </w:pPr>
            <w:r w:rsidRPr="009D195B">
              <w:t xml:space="preserve">poprawa jakości i organizacji edukacji; </w:t>
            </w:r>
          </w:p>
          <w:p w:rsidR="00AB1304" w:rsidRDefault="00AB1304" w:rsidP="00A31037">
            <w:pPr>
              <w:pStyle w:val="Akapitzlist"/>
              <w:numPr>
                <w:ilvl w:val="0"/>
                <w:numId w:val="6"/>
              </w:numPr>
              <w:spacing w:after="0" w:line="276" w:lineRule="auto"/>
              <w:jc w:val="left"/>
            </w:pPr>
            <w:r w:rsidRPr="009D195B">
              <w:t xml:space="preserve">rozwój opieki zdrowotnej; </w:t>
            </w:r>
          </w:p>
          <w:p w:rsidR="00AB1304" w:rsidRPr="009D195B" w:rsidRDefault="00AB1304" w:rsidP="00A31037">
            <w:pPr>
              <w:pStyle w:val="Akapitzlist"/>
              <w:numPr>
                <w:ilvl w:val="0"/>
                <w:numId w:val="6"/>
              </w:numPr>
              <w:spacing w:after="0" w:line="276" w:lineRule="auto"/>
              <w:jc w:val="left"/>
            </w:pPr>
            <w:r w:rsidRPr="009D195B">
              <w:t>rozwój infrastruktury i usług potrzebnych rodzinom</w:t>
            </w:r>
            <w:r>
              <w:t>.</w:t>
            </w:r>
          </w:p>
        </w:tc>
      </w:tr>
      <w:tr w:rsidR="00AB1304" w:rsidRPr="009D195B" w:rsidTr="00A31037">
        <w:tc>
          <w:tcPr>
            <w:tcW w:w="2518" w:type="dxa"/>
            <w:shd w:val="clear" w:color="auto" w:fill="auto"/>
          </w:tcPr>
          <w:p w:rsidR="00AB1304" w:rsidRPr="009D195B" w:rsidRDefault="00AB1304" w:rsidP="00A31037">
            <w:pPr>
              <w:spacing w:line="276" w:lineRule="auto"/>
              <w:jc w:val="left"/>
            </w:pPr>
            <w:r w:rsidRPr="009D195B">
              <w:t>Podniesienie jakości zarządzania i wdrażania polityk</w:t>
            </w:r>
          </w:p>
        </w:tc>
        <w:tc>
          <w:tcPr>
            <w:tcW w:w="6544" w:type="dxa"/>
          </w:tcPr>
          <w:p w:rsidR="00AB1304" w:rsidRDefault="00AB1304" w:rsidP="00A31037">
            <w:pPr>
              <w:pStyle w:val="Akapitzlist"/>
              <w:numPr>
                <w:ilvl w:val="0"/>
                <w:numId w:val="6"/>
              </w:numPr>
              <w:spacing w:after="0" w:line="276" w:lineRule="auto"/>
              <w:jc w:val="left"/>
            </w:pPr>
            <w:r w:rsidRPr="009D195B">
              <w:t>podniesienie jakości zarządzania i wdrażania polityk na szczeblu centralnym</w:t>
            </w:r>
            <w:r w:rsidR="00305126">
              <w:t>;</w:t>
            </w:r>
          </w:p>
          <w:p w:rsidR="00305126" w:rsidRDefault="00305126" w:rsidP="00A31037">
            <w:pPr>
              <w:pStyle w:val="Akapitzlist"/>
              <w:numPr>
                <w:ilvl w:val="0"/>
                <w:numId w:val="6"/>
              </w:numPr>
              <w:spacing w:after="0" w:line="276" w:lineRule="auto"/>
              <w:jc w:val="left"/>
            </w:pPr>
            <w:r w:rsidRPr="009D195B">
              <w:t>podniesienie jakości zarządzania i wdrażania polityk na szczeblu samorządowym</w:t>
            </w:r>
            <w:r>
              <w:t>, w tym:</w:t>
            </w:r>
          </w:p>
          <w:p w:rsidR="00305126" w:rsidRDefault="00305126" w:rsidP="00A31037">
            <w:pPr>
              <w:pStyle w:val="Akapitzlist"/>
              <w:numPr>
                <w:ilvl w:val="1"/>
                <w:numId w:val="6"/>
              </w:numPr>
              <w:spacing w:after="0" w:line="276" w:lineRule="auto"/>
              <w:jc w:val="left"/>
            </w:pPr>
            <w:r>
              <w:t>w</w:t>
            </w:r>
            <w:r w:rsidRPr="00305126">
              <w:t>ypracowanie zaleceń do tworzenia lokalnych strategii na rzecz rodziny</w:t>
            </w:r>
            <w:r>
              <w:t>;</w:t>
            </w:r>
          </w:p>
          <w:p w:rsidR="00305126" w:rsidRDefault="00305126" w:rsidP="00A31037">
            <w:pPr>
              <w:pStyle w:val="Akapitzlist"/>
              <w:numPr>
                <w:ilvl w:val="1"/>
                <w:numId w:val="6"/>
              </w:numPr>
              <w:spacing w:after="0" w:line="276" w:lineRule="auto"/>
              <w:jc w:val="left"/>
            </w:pPr>
            <w:r>
              <w:t>u</w:t>
            </w:r>
            <w:r w:rsidRPr="00305126">
              <w:t>powszechnianie dobrych praktyk (Biała Księga)</w:t>
            </w:r>
            <w:r>
              <w:t>;</w:t>
            </w:r>
          </w:p>
          <w:p w:rsidR="00305126" w:rsidRDefault="00305126" w:rsidP="00A31037">
            <w:pPr>
              <w:pStyle w:val="Akapitzlist"/>
              <w:numPr>
                <w:ilvl w:val="1"/>
                <w:numId w:val="6"/>
              </w:numPr>
              <w:spacing w:after="0" w:line="276" w:lineRule="auto"/>
              <w:jc w:val="left"/>
            </w:pPr>
            <w:r>
              <w:t>w</w:t>
            </w:r>
            <w:r w:rsidRPr="00305126">
              <w:t>spieranie powstawania i rozwoju lokalnych inicjatyw tworzących kulturę sprzyjającą rodzinie i</w:t>
            </w:r>
            <w:r w:rsidR="00A31037">
              <w:t> </w:t>
            </w:r>
            <w:r w:rsidRPr="00305126">
              <w:t>budujących tożsamość lokalną</w:t>
            </w:r>
            <w:r>
              <w:t>;</w:t>
            </w:r>
          </w:p>
          <w:p w:rsidR="00305126" w:rsidRDefault="00305126" w:rsidP="00A31037">
            <w:pPr>
              <w:pStyle w:val="Akapitzlist"/>
              <w:numPr>
                <w:ilvl w:val="1"/>
                <w:numId w:val="6"/>
              </w:numPr>
              <w:spacing w:after="0" w:line="276" w:lineRule="auto"/>
              <w:jc w:val="left"/>
            </w:pPr>
            <w:r>
              <w:t>i</w:t>
            </w:r>
            <w:r w:rsidRPr="00305126">
              <w:t>nicjowanie i animowanie współpracy i</w:t>
            </w:r>
            <w:r>
              <w:t> </w:t>
            </w:r>
            <w:r w:rsidRPr="00305126">
              <w:t>partnerstwa na obszarach powiązanych wyzwaniami demograficznymi</w:t>
            </w:r>
            <w:r>
              <w:t>;</w:t>
            </w:r>
          </w:p>
          <w:p w:rsidR="00305126" w:rsidRDefault="00305126" w:rsidP="00A31037">
            <w:pPr>
              <w:pStyle w:val="Akapitzlist"/>
              <w:numPr>
                <w:ilvl w:val="1"/>
                <w:numId w:val="6"/>
              </w:numPr>
              <w:spacing w:after="0" w:line="276" w:lineRule="auto"/>
              <w:jc w:val="left"/>
            </w:pPr>
            <w:r>
              <w:t>p</w:t>
            </w:r>
            <w:r w:rsidRPr="00305126">
              <w:t>odnoszenie kwalifikacji kadr samorządowych w</w:t>
            </w:r>
            <w:r w:rsidR="00A31037">
              <w:t> </w:t>
            </w:r>
            <w:r w:rsidRPr="00305126">
              <w:t>zakresie rozwiązywania problemów demograficznych, w tym współpraca z Narodowym Instytutem Samorządu Terytorialnego</w:t>
            </w:r>
            <w:r>
              <w:t>;</w:t>
            </w:r>
          </w:p>
          <w:p w:rsidR="00305126" w:rsidRPr="009D195B" w:rsidRDefault="00305126" w:rsidP="00A31037">
            <w:pPr>
              <w:pStyle w:val="Akapitzlist"/>
              <w:numPr>
                <w:ilvl w:val="1"/>
                <w:numId w:val="6"/>
              </w:numPr>
              <w:spacing w:after="0" w:line="276" w:lineRule="auto"/>
              <w:jc w:val="left"/>
            </w:pPr>
            <w:r>
              <w:t>w</w:t>
            </w:r>
            <w:r w:rsidRPr="00305126">
              <w:t>łączanie w planowanie i realizację działań na rzecz zmian demograficznych aktywnych lokalnie podmiotów publicznych, organizacji pozarządowych, ruchów obywatelskich, związków wyznaniowych, związków zawodowych, pracodawców i ich zrzeszeń oraz instytucji naukowych</w:t>
            </w:r>
            <w:r>
              <w:t>.</w:t>
            </w:r>
          </w:p>
        </w:tc>
      </w:tr>
    </w:tbl>
    <w:p w:rsidR="00305126" w:rsidRDefault="00AB1304" w:rsidP="00305126">
      <w:pPr>
        <w:pStyle w:val="rdo"/>
      </w:pPr>
      <w:r>
        <w:t>Źródło: Strategia Demograficzna 2040</w:t>
      </w:r>
      <w:r w:rsidR="0013615C">
        <w:t xml:space="preserve"> (dostęp 30.01.2025)</w:t>
      </w:r>
    </w:p>
    <w:p w:rsidR="00F539AB" w:rsidRDefault="00F539AB" w:rsidP="00AD3564">
      <w:r>
        <w:lastRenderedPageBreak/>
        <w:t xml:space="preserve">Jak już zauważono, </w:t>
      </w:r>
      <w:proofErr w:type="spellStart"/>
      <w:r>
        <w:t>WrOF</w:t>
      </w:r>
      <w:proofErr w:type="spellEnd"/>
      <w:r>
        <w:t xml:space="preserve"> będzie jedną z nielicznych przestrzeni kraju, w której prognozuje się wzrost liczby mieszkańców. W celu pogłębienia wiedzy nt. demografii </w:t>
      </w:r>
      <w:proofErr w:type="spellStart"/>
      <w:r>
        <w:t>WrOF</w:t>
      </w:r>
      <w:proofErr w:type="spellEnd"/>
      <w:r>
        <w:t xml:space="preserve"> w przyszłości sporządzono prognozę demograficzną.</w:t>
      </w:r>
    </w:p>
    <w:p w:rsidR="00CD7C63" w:rsidRDefault="00CD7C63" w:rsidP="00AD3564">
      <w:bookmarkStart w:id="15" w:name="_Hlk196844015"/>
      <w:r>
        <w:t xml:space="preserve">Prognozę demograficzną opracowano w oparciu o dane nt. stanu ludności </w:t>
      </w:r>
      <w:proofErr w:type="spellStart"/>
      <w:r>
        <w:t>WrOF</w:t>
      </w:r>
      <w:proofErr w:type="spellEnd"/>
      <w:r>
        <w:t xml:space="preserve"> dla 2013 i 2023 r. Wynika to z przyjętej medyki prognozowania stanu ludności w oparciu o najbardziej aktualne, dostępne dane GUS w podziale na grupy wieku. Prognozę oparto na algorytmie zmian stanu ludności, które uwzględniają zarówno migracje, jak też ruch naturalny. </w:t>
      </w:r>
    </w:p>
    <w:bookmarkEnd w:id="15"/>
    <w:p w:rsidR="00F203DA" w:rsidRPr="00F539AB" w:rsidRDefault="00F203DA" w:rsidP="00AD3564">
      <w:r w:rsidRPr="00F539AB">
        <w:t xml:space="preserve">Prognozę demograficzną opracowano na podstawie danych GUS w odniesieniu do danych prezentujących liczbę ludności w przedziałach wieku co 5 lat (0-4, 5-9, itd.). </w:t>
      </w:r>
      <w:r w:rsidR="003405A0">
        <w:t xml:space="preserve">Prognozę oparto na zmianach demograficznych, które zaszły w </w:t>
      </w:r>
      <w:proofErr w:type="spellStart"/>
      <w:r w:rsidR="003405A0">
        <w:t>WrOF</w:t>
      </w:r>
      <w:proofErr w:type="spellEnd"/>
      <w:r w:rsidR="003405A0">
        <w:t xml:space="preserve"> ostatniej dekadzie, tj. w latach 2013-2023. Z jednej strony jest to okres na tyle długi, aby określić trendy zmian demograficznych, w tym związanych z migracjami. Z drugiej strony umożliwia wykorzystanie danych statystycznych GUS, które podawane są dla grup wieku w odstępach 5 letnich. W prognozie z</w:t>
      </w:r>
      <w:r w:rsidRPr="00F539AB">
        <w:t>ałożono, że kategoria wieku 0-4 za 5</w:t>
      </w:r>
      <w:r w:rsidR="007A0856">
        <w:t xml:space="preserve"> </w:t>
      </w:r>
      <w:r w:rsidRPr="00F539AB">
        <w:t>lat przesunie się w całości do kategorii wieku 5-9, a za 10 lat do kategorii wieku 10-14. W prognozie uwzględniono również aktualne wskaźniki odnoszące się do ruchu naturalnego oraz migracji, tj. takie, które notowane były w okresie pomiędzy 2013 a 2023 rokiem</w:t>
      </w:r>
      <w:r w:rsidR="007014C1" w:rsidRPr="00F539AB">
        <w:t xml:space="preserve"> (prognozę skorygowano o odpowiedni wskaźnik zmiany pomiędzy grupami wieku </w:t>
      </w:r>
      <w:proofErr w:type="spellStart"/>
      <w:r w:rsidR="007014C1" w:rsidRPr="00F539AB">
        <w:t>uwzgledniający</w:t>
      </w:r>
      <w:proofErr w:type="spellEnd"/>
      <w:r w:rsidR="007014C1" w:rsidRPr="00F539AB">
        <w:t xml:space="preserve"> ruch naturalny i migracje)</w:t>
      </w:r>
      <w:r w:rsidRPr="00F539AB">
        <w:t>. W odniesieniu do liczby urodzeń założono podobne do obecnych</w:t>
      </w:r>
      <w:r w:rsidR="007014C1" w:rsidRPr="00F539AB">
        <w:t xml:space="preserve"> (czyli z</w:t>
      </w:r>
      <w:r w:rsidR="000D6BA9">
        <w:t> </w:t>
      </w:r>
      <w:r w:rsidR="007014C1" w:rsidRPr="00F539AB">
        <w:t>ostatniej dekady)</w:t>
      </w:r>
      <w:r w:rsidRPr="00F539AB">
        <w:t xml:space="preserve"> wskaźniki urodzeń. W tym celu obliczono proporcję liczby osób urodzonych w</w:t>
      </w:r>
      <w:r w:rsidR="007A0856">
        <w:t xml:space="preserve"> ostatniej</w:t>
      </w:r>
      <w:r w:rsidRPr="00F539AB">
        <w:t xml:space="preserve"> dekadzie, czyli osób w wieku 0-9, (tj. osób urodzonych w przedziale czasu pomiędzy 2013 a 2023) do liczby osób w wieku rozrodczym (</w:t>
      </w:r>
      <w:r w:rsidR="000E1B79" w:rsidRPr="00F539AB">
        <w:t xml:space="preserve">ze względu na poziom agregacji danych </w:t>
      </w:r>
      <w:r w:rsidR="000D6BA9">
        <w:t>do</w:t>
      </w:r>
      <w:r w:rsidR="000E1B79" w:rsidRPr="00F539AB">
        <w:t xml:space="preserve"> grup wieku przyjęto </w:t>
      </w:r>
      <w:r w:rsidRPr="00F539AB">
        <w:t>wiek 20-44). Na podstawie tej proporcji prognozowano liczbę</w:t>
      </w:r>
      <w:r w:rsidR="000E1B79" w:rsidRPr="00F539AB">
        <w:t xml:space="preserve"> przyszłych</w:t>
      </w:r>
      <w:r w:rsidRPr="00F539AB">
        <w:t xml:space="preserve"> mieszkańców w</w:t>
      </w:r>
      <w:r w:rsidR="000D6BA9">
        <w:t> </w:t>
      </w:r>
      <w:r w:rsidRPr="00F539AB">
        <w:t>kategoriach 0-4 i 5-9 w kolejnych dekadach.</w:t>
      </w:r>
      <w:r w:rsidR="0002730D">
        <w:t xml:space="preserve"> Warto podkreślić, iż prognoza nie uwzględnia aspektów przestrzennych, tj. dostępności terenów pod rozwój funkcji mieszkaniowych. Jest jedynie symulacj</w:t>
      </w:r>
      <w:r w:rsidR="00DA14AF">
        <w:t>ą</w:t>
      </w:r>
      <w:r w:rsidR="0002730D">
        <w:t xml:space="preserve"> matematyczną stanu ludności, przy założeniu, iż</w:t>
      </w:r>
      <w:r w:rsidR="006B284E">
        <w:t> </w:t>
      </w:r>
      <w:r w:rsidR="0002730D">
        <w:t xml:space="preserve">spełnione zostaną warunki do </w:t>
      </w:r>
      <w:r w:rsidR="000D6BA9">
        <w:t>wzrostu demograficznego w oparciu o czynniki naturalne i</w:t>
      </w:r>
      <w:r w:rsidR="003405A0">
        <w:t> </w:t>
      </w:r>
      <w:r w:rsidR="000D6BA9">
        <w:t>migracyjne.</w:t>
      </w:r>
    </w:p>
    <w:p w:rsidR="007014C1" w:rsidRPr="00F539AB" w:rsidRDefault="000E1B79" w:rsidP="00AD3564">
      <w:r w:rsidRPr="00F539AB">
        <w:t xml:space="preserve">Na potrzeby niniejszej diagnozy opracowano prognozę demograficzną </w:t>
      </w:r>
      <w:proofErr w:type="spellStart"/>
      <w:r w:rsidRPr="00F539AB">
        <w:t>WrOF</w:t>
      </w:r>
      <w:proofErr w:type="spellEnd"/>
      <w:r w:rsidRPr="00F539AB">
        <w:t xml:space="preserve"> w dwóch wariantach: najbardziej prawdopodobnym oraz optymistycznym. </w:t>
      </w:r>
      <w:r w:rsidR="00F203DA" w:rsidRPr="00F539AB">
        <w:t>Dwa przyjęte warianty ró</w:t>
      </w:r>
      <w:r w:rsidRPr="00F539AB">
        <w:t>żnią</w:t>
      </w:r>
      <w:r w:rsidR="00F203DA" w:rsidRPr="00F539AB">
        <w:t xml:space="preserve"> się między sobą w</w:t>
      </w:r>
      <w:r w:rsidRPr="00F539AB">
        <w:t>skaźnikiem</w:t>
      </w:r>
      <w:r w:rsidR="00F203DA" w:rsidRPr="00F539AB">
        <w:t xml:space="preserve"> zdolności przyciągania młodych osób</w:t>
      </w:r>
      <w:r w:rsidR="007014C1" w:rsidRPr="00F539AB">
        <w:t>. W</w:t>
      </w:r>
      <w:r w:rsidRPr="00F539AB">
        <w:t>arto zauważyć, iż</w:t>
      </w:r>
      <w:r w:rsidR="007014C1" w:rsidRPr="00F539AB">
        <w:t xml:space="preserve"> okresie od 2013 do 2023 r. </w:t>
      </w:r>
      <w:r w:rsidRPr="00F539AB">
        <w:t xml:space="preserve">w </w:t>
      </w:r>
      <w:proofErr w:type="spellStart"/>
      <w:r w:rsidRPr="00F539AB">
        <w:t>WrOF</w:t>
      </w:r>
      <w:proofErr w:type="spellEnd"/>
      <w:r w:rsidRPr="00F539AB">
        <w:t xml:space="preserve"> </w:t>
      </w:r>
      <w:r w:rsidR="007014C1" w:rsidRPr="00F539AB">
        <w:t>odnotowano znaczący przyrost liczby młodych osób</w:t>
      </w:r>
      <w:r w:rsidRPr="00F539AB">
        <w:t>:</w:t>
      </w:r>
    </w:p>
    <w:p w:rsidR="007014C1" w:rsidRPr="00F539AB" w:rsidRDefault="00F203DA" w:rsidP="005E7CCF">
      <w:pPr>
        <w:pStyle w:val="Akapitzlist"/>
        <w:numPr>
          <w:ilvl w:val="0"/>
          <w:numId w:val="6"/>
        </w:numPr>
      </w:pPr>
      <w:r w:rsidRPr="00F539AB">
        <w:t xml:space="preserve">W 2023 r. ludność z przedziału wiekowego od 25 do 29 r. życia była liczniejsza o 70% wobec ludności sprzed dekady, będącej w wieku od 15 do 19 r. życia w 2013 r. </w:t>
      </w:r>
    </w:p>
    <w:p w:rsidR="007014C1" w:rsidRPr="00F539AB" w:rsidRDefault="00F203DA" w:rsidP="005E7CCF">
      <w:pPr>
        <w:pStyle w:val="Akapitzlist"/>
        <w:numPr>
          <w:ilvl w:val="0"/>
          <w:numId w:val="6"/>
        </w:numPr>
      </w:pPr>
      <w:r w:rsidRPr="00F539AB">
        <w:lastRenderedPageBreak/>
        <w:t xml:space="preserve">W 2023 r. ludność z przedziału wiekowego od 30 do 34 r. życia była liczniejsza o 62% wobec ludności sprzed dekady, będącej w wieku </w:t>
      </w:r>
      <w:r w:rsidR="000E1B79" w:rsidRPr="00F539AB">
        <w:t xml:space="preserve">od </w:t>
      </w:r>
      <w:r w:rsidRPr="00F539AB">
        <w:t>20 do 24 r. życia</w:t>
      </w:r>
      <w:r w:rsidR="007014C1" w:rsidRPr="00F539AB">
        <w:t xml:space="preserve"> w 2013 r.</w:t>
      </w:r>
      <w:r w:rsidRPr="00F539AB">
        <w:t xml:space="preserve"> </w:t>
      </w:r>
    </w:p>
    <w:p w:rsidR="00F203DA" w:rsidRPr="00F539AB" w:rsidRDefault="007014C1" w:rsidP="005E7CCF">
      <w:pPr>
        <w:pStyle w:val="Akapitzlist"/>
        <w:numPr>
          <w:ilvl w:val="0"/>
          <w:numId w:val="6"/>
        </w:numPr>
      </w:pPr>
      <w:r w:rsidRPr="00F539AB">
        <w:t xml:space="preserve">W 2023 </w:t>
      </w:r>
      <w:r w:rsidR="000E1B79" w:rsidRPr="00F539AB">
        <w:t>r</w:t>
      </w:r>
      <w:r w:rsidRPr="00F539AB">
        <w:t>. ludność z przedziału wiekowego od 35-39 r. życia była liczniejsza o 24% wobec ludności sprzed dekady , będącej w wieku od 25 do 29 r. życia w 2013 r.</w:t>
      </w:r>
    </w:p>
    <w:p w:rsidR="007014C1" w:rsidRPr="00F539AB" w:rsidRDefault="007014C1" w:rsidP="007014C1">
      <w:r w:rsidRPr="00F539AB">
        <w:t>Powyższe dane wskazują na duży potencjał przyciągania młodych osób do zamieszkania w</w:t>
      </w:r>
      <w:r w:rsidR="003405A0">
        <w:t> </w:t>
      </w:r>
      <w:proofErr w:type="spellStart"/>
      <w:r w:rsidRPr="00F539AB">
        <w:t>WrOF</w:t>
      </w:r>
      <w:proofErr w:type="spellEnd"/>
      <w:r w:rsidRPr="00F539AB">
        <w:t xml:space="preserve">. W wariancie pozytywnym prognozy demograficznej założono, iż </w:t>
      </w:r>
      <w:proofErr w:type="spellStart"/>
      <w:r w:rsidRPr="00F539AB">
        <w:t>WrOF</w:t>
      </w:r>
      <w:proofErr w:type="spellEnd"/>
      <w:r w:rsidRPr="00F539AB">
        <w:t xml:space="preserve"> podtrzyma skalę przyciągania nowych, młodych mieszkańców. W wariancie realistycznym założono, iż ze względu na prognozowaną depopulację kraju, zdolność przyciągania nowych, młodych mieszkańców zdecydowanie spadnie. Założono</w:t>
      </w:r>
      <w:r w:rsidR="000E1B79" w:rsidRPr="00F539AB">
        <w:t xml:space="preserve"> do celów prognostycznych</w:t>
      </w:r>
      <w:r w:rsidRPr="00F539AB">
        <w:t>, iż w ujęciu liczbowym spadek ten wyniesie 50%</w:t>
      </w:r>
      <w:r w:rsidR="000E1B79" w:rsidRPr="00F539AB">
        <w:t>,</w:t>
      </w:r>
      <w:r w:rsidRPr="00F539AB">
        <w:t xml:space="preserve"> w stosunku do </w:t>
      </w:r>
      <w:r w:rsidR="000E1B79" w:rsidRPr="00F539AB">
        <w:t>okresu</w:t>
      </w:r>
      <w:r w:rsidRPr="00F539AB">
        <w:t xml:space="preserve"> od 2013 do 2023 r.</w:t>
      </w:r>
    </w:p>
    <w:p w:rsidR="00F203DA" w:rsidRPr="00724C99" w:rsidRDefault="0002730D" w:rsidP="00AD3564">
      <w:r w:rsidRPr="00724C99">
        <w:t>Kluczowe wyniki prognozy demograficznej są następujące</w:t>
      </w:r>
      <w:r w:rsidR="00F539AB" w:rsidRPr="00724C99">
        <w:t>:</w:t>
      </w:r>
    </w:p>
    <w:p w:rsidR="00F539AB" w:rsidRPr="00724C99" w:rsidRDefault="00F539AB" w:rsidP="005E7CCF">
      <w:pPr>
        <w:pStyle w:val="Akapitzlist"/>
        <w:numPr>
          <w:ilvl w:val="0"/>
          <w:numId w:val="7"/>
        </w:numPr>
      </w:pPr>
      <w:r w:rsidRPr="00724C99">
        <w:t xml:space="preserve">W obu wariantach, tj. optymistycznym i realnym prognozuje się wzrost ludności </w:t>
      </w:r>
      <w:proofErr w:type="spellStart"/>
      <w:r w:rsidRPr="00724C99">
        <w:t>WrOF</w:t>
      </w:r>
      <w:proofErr w:type="spellEnd"/>
      <w:r w:rsidRPr="00724C99">
        <w:t>, odpowiednio do 1,</w:t>
      </w:r>
      <w:r w:rsidR="008A01A8" w:rsidRPr="00724C99">
        <w:t>43</w:t>
      </w:r>
      <w:r w:rsidRPr="00724C99">
        <w:t xml:space="preserve"> mln i </w:t>
      </w:r>
      <w:r w:rsidR="008A01A8" w:rsidRPr="00724C99">
        <w:t>1,23 mln osób około 2050 r. W wariancie optymistycznym wzrost</w:t>
      </w:r>
      <w:r w:rsidR="00147ED2" w:rsidRPr="00724C99">
        <w:t xml:space="preserve"> liczby mieszkańców </w:t>
      </w:r>
      <w:proofErr w:type="spellStart"/>
      <w:r w:rsidR="00147ED2" w:rsidRPr="00724C99">
        <w:t>WrOF</w:t>
      </w:r>
      <w:proofErr w:type="spellEnd"/>
      <w:r w:rsidR="008A01A8" w:rsidRPr="00724C99">
        <w:t xml:space="preserve"> może</w:t>
      </w:r>
      <w:r w:rsidR="00147ED2" w:rsidRPr="00724C99">
        <w:t xml:space="preserve"> zatem</w:t>
      </w:r>
      <w:r w:rsidR="008A01A8" w:rsidRPr="00724C99">
        <w:t xml:space="preserve"> wynieść prawie 500 tys. osób, w wariancie realnym około 300 tys.</w:t>
      </w:r>
    </w:p>
    <w:p w:rsidR="008A01A8" w:rsidRPr="00724C99" w:rsidRDefault="008A01A8" w:rsidP="005E7CCF">
      <w:pPr>
        <w:pStyle w:val="Akapitzlist"/>
        <w:numPr>
          <w:ilvl w:val="0"/>
          <w:numId w:val="7"/>
        </w:numPr>
      </w:pPr>
      <w:r w:rsidRPr="00724C99">
        <w:t>W obu wariantach znacząco, bo około dwukrotnie w stosunku do 2023 r. wzrośnie w 2025 r. liczba osób najstarszych, tj. pow. 85 r. życia. Duża dynamika wzrost</w:t>
      </w:r>
      <w:r w:rsidR="00147ED2" w:rsidRPr="00724C99">
        <w:t>u</w:t>
      </w:r>
      <w:r w:rsidRPr="00724C99">
        <w:t xml:space="preserve"> osób w tej kategorii wiekowej nastąpi jeszcze przed 2033 r., po czym utrzymywać się będzie na mniej więcej stałym poziomie przez kolejne dekady,</w:t>
      </w:r>
    </w:p>
    <w:p w:rsidR="008A01A8" w:rsidRPr="00724C99" w:rsidRDefault="008A01A8" w:rsidP="005E7CCF">
      <w:pPr>
        <w:pStyle w:val="Akapitzlist"/>
        <w:numPr>
          <w:ilvl w:val="0"/>
          <w:numId w:val="7"/>
        </w:numPr>
      </w:pPr>
      <w:r w:rsidRPr="00724C99">
        <w:t>W obu wariantach znacząco wzrośnie liczba osób w wieku pow. 60 r. życia. Będzie to wzrost o około 130 tys. osób w perspektywie około 2050 r.</w:t>
      </w:r>
    </w:p>
    <w:p w:rsidR="008A01A8" w:rsidRPr="00724C99" w:rsidRDefault="008A01A8" w:rsidP="005E7CCF">
      <w:pPr>
        <w:pStyle w:val="Akapitzlist"/>
        <w:numPr>
          <w:ilvl w:val="0"/>
          <w:numId w:val="7"/>
        </w:numPr>
      </w:pPr>
      <w:r w:rsidRPr="00724C99">
        <w:t>W obu wariantach prognozuje się wzrost liczby osób w wieku produkcyjnym (przyjęto tu do celów</w:t>
      </w:r>
      <w:r w:rsidR="00147ED2" w:rsidRPr="00724C99">
        <w:t xml:space="preserve"> niniejszej</w:t>
      </w:r>
      <w:r w:rsidRPr="00724C99">
        <w:t xml:space="preserve"> prognozy wiek od 20 do 64 r. życia). W wariancie optymistycznym wzrost ten wyniesie pow. 200 tys. osób, w wariancie realnym już zdecydowanie mniej, bo około 70 tys. osób.</w:t>
      </w:r>
    </w:p>
    <w:p w:rsidR="008A01A8" w:rsidRPr="00724C99" w:rsidRDefault="00147ED2" w:rsidP="005E7CCF">
      <w:pPr>
        <w:pStyle w:val="Akapitzlist"/>
        <w:numPr>
          <w:ilvl w:val="0"/>
          <w:numId w:val="7"/>
        </w:numPr>
      </w:pPr>
      <w:r w:rsidRPr="00724C99">
        <w:t>W obu wariantach widoczn</w:t>
      </w:r>
      <w:r w:rsidR="000D6BA9">
        <w:t>a</w:t>
      </w:r>
      <w:r w:rsidRPr="00724C99">
        <w:t xml:space="preserve"> jest wyraźna dysproporcj</w:t>
      </w:r>
      <w:r w:rsidR="009E5DAE">
        <w:t>a</w:t>
      </w:r>
      <w:r w:rsidRPr="00724C99">
        <w:t xml:space="preserve"> pomiędzy licz</w:t>
      </w:r>
      <w:r w:rsidR="000D6BA9">
        <w:t>ebnością</w:t>
      </w:r>
      <w:r w:rsidRPr="00724C99">
        <w:t xml:space="preserve"> osób starszych i</w:t>
      </w:r>
      <w:r w:rsidR="000D6BA9">
        <w:t xml:space="preserve"> w </w:t>
      </w:r>
      <w:r w:rsidRPr="00724C99">
        <w:t>wieku produkcyjnym, a osób młodych i najmłodszych. W wariancie optymistycznym ludność w wieku rozrodczym (przyjęto tu do celów niniejszej prognozy wiek od 20 do 39 r. życia) zwiększy się w perspektywie około 2050 r. się mniej więcej</w:t>
      </w:r>
      <w:r w:rsidR="000D6BA9">
        <w:t xml:space="preserve"> o </w:t>
      </w:r>
      <w:r w:rsidRPr="00724C99">
        <w:t>75</w:t>
      </w:r>
      <w:r w:rsidR="000D6BA9">
        <w:t> </w:t>
      </w:r>
      <w:r w:rsidRPr="00724C99">
        <w:t>tys. osób, a wariancie realnym może utrzymać się na obecnym poziomie. W</w:t>
      </w:r>
      <w:r w:rsidR="003405A0">
        <w:t> </w:t>
      </w:r>
      <w:r w:rsidRPr="00724C99">
        <w:t>wariancie optymistycznym zakłada się umiarkowany wzrost liczby dzieci i młodzieży, w</w:t>
      </w:r>
      <w:r w:rsidR="003405A0">
        <w:t> </w:t>
      </w:r>
      <w:r w:rsidRPr="00724C99">
        <w:t xml:space="preserve">wariancie realnym w perspektywie 2050 r. liczebność dzieci i młodzieży nie ulegnie zasadniczej zmianie. W odniesieniu do kategorii wieku przedprodukcyjnego, warto jednak dodać, iż </w:t>
      </w:r>
      <w:r w:rsidR="00724C99" w:rsidRPr="00724C99">
        <w:t xml:space="preserve">obliczenia </w:t>
      </w:r>
      <w:r w:rsidRPr="00724C99">
        <w:t>prognoz</w:t>
      </w:r>
      <w:r w:rsidR="00724C99" w:rsidRPr="00724C99">
        <w:t>y</w:t>
      </w:r>
      <w:r w:rsidRPr="00724C99">
        <w:t xml:space="preserve"> demograficzn</w:t>
      </w:r>
      <w:r w:rsidR="00724C99" w:rsidRPr="00724C99">
        <w:t>ej</w:t>
      </w:r>
      <w:r w:rsidRPr="00724C99">
        <w:t xml:space="preserve"> </w:t>
      </w:r>
      <w:r w:rsidRPr="00724C99">
        <w:lastRenderedPageBreak/>
        <w:t>bazuj</w:t>
      </w:r>
      <w:r w:rsidR="00724C99" w:rsidRPr="00724C99">
        <w:t>ą</w:t>
      </w:r>
      <w:r w:rsidRPr="00724C99">
        <w:t xml:space="preserve"> na względnie niskich wskaźnikach urodzeń, które notowane </w:t>
      </w:r>
      <w:r w:rsidR="00724C99" w:rsidRPr="00724C99">
        <w:t>były w okresie od 2013 do 2023 r.</w:t>
      </w:r>
      <w:r w:rsidR="009E5DAE">
        <w:t xml:space="preserve">. W prognozie </w:t>
      </w:r>
      <w:r w:rsidR="000D6BA9">
        <w:t xml:space="preserve">założono, iż nie uda się przezwyciężyć problemu niskiej dzietności. </w:t>
      </w:r>
    </w:p>
    <w:p w:rsidR="00F539AB" w:rsidRPr="00F539AB" w:rsidRDefault="00F539AB" w:rsidP="00F539AB">
      <w:pPr>
        <w:rPr>
          <w:b/>
          <w:bCs/>
        </w:rPr>
      </w:pPr>
      <w:r w:rsidRPr="00F539AB">
        <w:rPr>
          <w:b/>
          <w:bCs/>
        </w:rPr>
        <w:t xml:space="preserve">Prognoza demograficzna </w:t>
      </w:r>
      <w:proofErr w:type="spellStart"/>
      <w:r w:rsidRPr="00F539AB">
        <w:rPr>
          <w:b/>
          <w:bCs/>
        </w:rPr>
        <w:t>WrOF</w:t>
      </w:r>
      <w:proofErr w:type="spellEnd"/>
      <w:r w:rsidRPr="00F539AB">
        <w:rPr>
          <w:b/>
          <w:bCs/>
        </w:rPr>
        <w:t xml:space="preserve"> – wariant optymistyczny</w:t>
      </w:r>
    </w:p>
    <w:p w:rsidR="000E1B79" w:rsidRDefault="000E1B79" w:rsidP="003405A0">
      <w:pPr>
        <w:pStyle w:val="Legenda"/>
        <w:rPr>
          <w:highlight w:val="yellow"/>
        </w:rPr>
      </w:pPr>
      <w:bookmarkStart w:id="16" w:name="_Toc197678817"/>
      <w:r>
        <w:t xml:space="preserve">Wykres </w:t>
      </w:r>
      <w:r w:rsidR="00646D05">
        <w:fldChar w:fldCharType="begin"/>
      </w:r>
      <w:r>
        <w:instrText xml:space="preserve"> SEQ Wykres \* ARABIC </w:instrText>
      </w:r>
      <w:r w:rsidR="00646D05">
        <w:fldChar w:fldCharType="separate"/>
      </w:r>
      <w:r w:rsidR="0084338D">
        <w:rPr>
          <w:noProof/>
        </w:rPr>
        <w:t>3</w:t>
      </w:r>
      <w:r w:rsidR="00646D05">
        <w:rPr>
          <w:noProof/>
        </w:rPr>
        <w:fldChar w:fldCharType="end"/>
      </w:r>
      <w:r>
        <w:t xml:space="preserve">. Prognoza demograficzna </w:t>
      </w:r>
      <w:proofErr w:type="spellStart"/>
      <w:r>
        <w:t>WrOF</w:t>
      </w:r>
      <w:proofErr w:type="spellEnd"/>
      <w:r>
        <w:t xml:space="preserve"> – piramida wieku – wariant optymistyczny</w:t>
      </w:r>
      <w:bookmarkEnd w:id="16"/>
      <w:r>
        <w:t xml:space="preserve"> </w:t>
      </w:r>
    </w:p>
    <w:p w:rsidR="00F203DA" w:rsidRDefault="000E1B79" w:rsidP="00AD3564">
      <w:pPr>
        <w:rPr>
          <w:highlight w:val="yellow"/>
        </w:rPr>
      </w:pPr>
      <w:r>
        <w:rPr>
          <w:noProof/>
          <w:lang w:eastAsia="pl-PL"/>
        </w:rPr>
        <w:drawing>
          <wp:inline distT="0" distB="0" distL="0" distR="0">
            <wp:extent cx="5760720" cy="2723515"/>
            <wp:effectExtent l="0" t="0" r="0" b="0"/>
            <wp:docPr id="485966652" name="Wykres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58A2BF8F-8BD0-4966-B380-B341C769E5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E1B79" w:rsidRPr="00F539AB" w:rsidRDefault="00F539AB" w:rsidP="006B284E">
      <w:pPr>
        <w:pStyle w:val="rdo"/>
      </w:pPr>
      <w:r w:rsidRPr="00F539AB">
        <w:t>Źródło: opracowanie własne</w:t>
      </w:r>
      <w:r w:rsidR="0013615C">
        <w:t xml:space="preserve"> na podstawie danych GUS (dostęp 30.01.2025)</w:t>
      </w:r>
    </w:p>
    <w:p w:rsidR="003F09F0" w:rsidRDefault="003F09F0">
      <w:pPr>
        <w:spacing w:after="160" w:line="259" w:lineRule="auto"/>
        <w:jc w:val="left"/>
        <w:rPr>
          <w:iCs/>
          <w:color w:val="363735" w:themeColor="accent3"/>
          <w:sz w:val="20"/>
          <w:szCs w:val="18"/>
        </w:rPr>
      </w:pPr>
      <w:r>
        <w:br w:type="page"/>
      </w:r>
    </w:p>
    <w:p w:rsidR="000E1B79" w:rsidRDefault="000E1B79" w:rsidP="003405A0">
      <w:pPr>
        <w:pStyle w:val="Legenda"/>
        <w:rPr>
          <w:highlight w:val="yellow"/>
        </w:rPr>
      </w:pPr>
      <w:bookmarkStart w:id="17" w:name="_Toc197678818"/>
      <w:r>
        <w:lastRenderedPageBreak/>
        <w:t xml:space="preserve">Wykres </w:t>
      </w:r>
      <w:r w:rsidR="00646D05">
        <w:fldChar w:fldCharType="begin"/>
      </w:r>
      <w:r>
        <w:instrText xml:space="preserve"> SEQ Wykres \* ARABIC </w:instrText>
      </w:r>
      <w:r w:rsidR="00646D05">
        <w:fldChar w:fldCharType="separate"/>
      </w:r>
      <w:r w:rsidR="0084338D">
        <w:rPr>
          <w:noProof/>
        </w:rPr>
        <w:t>4</w:t>
      </w:r>
      <w:r w:rsidR="00646D05">
        <w:rPr>
          <w:noProof/>
        </w:rPr>
        <w:fldChar w:fldCharType="end"/>
      </w:r>
      <w:r>
        <w:t xml:space="preserve">. Prognoza demograficzna </w:t>
      </w:r>
      <w:proofErr w:type="spellStart"/>
      <w:r>
        <w:t>WrOF</w:t>
      </w:r>
      <w:proofErr w:type="spellEnd"/>
      <w:r>
        <w:t xml:space="preserve"> – liczebność wybranych grup wieku – wariant optymistyczny</w:t>
      </w:r>
      <w:bookmarkEnd w:id="17"/>
    </w:p>
    <w:p w:rsidR="000E1B79" w:rsidRDefault="00F539AB" w:rsidP="00AD3564">
      <w:pPr>
        <w:rPr>
          <w:highlight w:val="yellow"/>
        </w:rPr>
      </w:pPr>
      <w:r>
        <w:rPr>
          <w:noProof/>
          <w:lang w:eastAsia="pl-PL"/>
        </w:rPr>
        <w:drawing>
          <wp:inline distT="0" distB="0" distL="0" distR="0">
            <wp:extent cx="5657850" cy="3724275"/>
            <wp:effectExtent l="0" t="0" r="0" b="0"/>
            <wp:docPr id="1806363598" name="Wykres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ECFC8A3C-E86F-46E1-915C-6E2150DD99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F09F0" w:rsidRPr="006B284E" w:rsidRDefault="00F539AB" w:rsidP="006B284E">
      <w:pPr>
        <w:pStyle w:val="rdo"/>
      </w:pPr>
      <w:r w:rsidRPr="00F539AB">
        <w:t>Źródło: opracowanie własne</w:t>
      </w:r>
      <w:r w:rsidR="0013615C">
        <w:t xml:space="preserve"> (dostęp 30.01.2025)</w:t>
      </w:r>
    </w:p>
    <w:p w:rsidR="00F539AB" w:rsidRPr="00F539AB" w:rsidRDefault="00F539AB" w:rsidP="00F539AB">
      <w:pPr>
        <w:rPr>
          <w:b/>
          <w:bCs/>
        </w:rPr>
      </w:pPr>
      <w:r w:rsidRPr="00F539AB">
        <w:rPr>
          <w:b/>
          <w:bCs/>
        </w:rPr>
        <w:t xml:space="preserve">Prognoza demograficzna </w:t>
      </w:r>
      <w:proofErr w:type="spellStart"/>
      <w:r w:rsidRPr="00F539AB">
        <w:rPr>
          <w:b/>
          <w:bCs/>
        </w:rPr>
        <w:t>WrOF</w:t>
      </w:r>
      <w:proofErr w:type="spellEnd"/>
      <w:r w:rsidRPr="00F539AB">
        <w:rPr>
          <w:b/>
          <w:bCs/>
        </w:rPr>
        <w:t xml:space="preserve"> – wariant </w:t>
      </w:r>
      <w:r>
        <w:rPr>
          <w:b/>
          <w:bCs/>
        </w:rPr>
        <w:t>realny</w:t>
      </w:r>
    </w:p>
    <w:p w:rsidR="000E1B79" w:rsidRPr="000E1B79" w:rsidRDefault="000E1B79" w:rsidP="003405A0">
      <w:pPr>
        <w:pStyle w:val="Legenda"/>
        <w:rPr>
          <w:highlight w:val="yellow"/>
        </w:rPr>
      </w:pPr>
      <w:bookmarkStart w:id="18" w:name="_Toc197678819"/>
      <w:r>
        <w:t xml:space="preserve">Wykres </w:t>
      </w:r>
      <w:r w:rsidR="00646D05">
        <w:fldChar w:fldCharType="begin"/>
      </w:r>
      <w:r>
        <w:instrText xml:space="preserve"> SEQ Wykres \* ARABIC </w:instrText>
      </w:r>
      <w:r w:rsidR="00646D05">
        <w:fldChar w:fldCharType="separate"/>
      </w:r>
      <w:r w:rsidR="0084338D">
        <w:rPr>
          <w:noProof/>
        </w:rPr>
        <w:t>5</w:t>
      </w:r>
      <w:r w:rsidR="00646D05">
        <w:fldChar w:fldCharType="end"/>
      </w:r>
      <w:r>
        <w:t xml:space="preserve">. Prognoza demograficzna </w:t>
      </w:r>
      <w:proofErr w:type="spellStart"/>
      <w:r>
        <w:t>WrOF</w:t>
      </w:r>
      <w:proofErr w:type="spellEnd"/>
      <w:r>
        <w:t xml:space="preserve"> – piramida wieku – wariant realny</w:t>
      </w:r>
      <w:bookmarkEnd w:id="18"/>
      <w:r>
        <w:t xml:space="preserve"> </w:t>
      </w:r>
    </w:p>
    <w:p w:rsidR="00F203DA" w:rsidRDefault="00F203DA" w:rsidP="00AD3564">
      <w:r>
        <w:rPr>
          <w:noProof/>
          <w:lang w:eastAsia="pl-PL"/>
        </w:rPr>
        <w:drawing>
          <wp:inline distT="0" distB="0" distL="0" distR="0">
            <wp:extent cx="5760720" cy="2723515"/>
            <wp:effectExtent l="0" t="0" r="0" b="0"/>
            <wp:docPr id="70548197" name="Wykres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58A2BF8F-8BD0-4966-B380-B341C769E5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014C1" w:rsidRPr="00F539AB" w:rsidRDefault="00F539AB" w:rsidP="006B284E">
      <w:pPr>
        <w:pStyle w:val="rdo"/>
      </w:pPr>
      <w:r w:rsidRPr="00F539AB">
        <w:t>Źródło: opracowanie własne</w:t>
      </w:r>
      <w:r w:rsidR="0013615C">
        <w:t xml:space="preserve"> (dostęp 30.01.2025)</w:t>
      </w:r>
    </w:p>
    <w:p w:rsidR="006B284E" w:rsidRDefault="006B284E">
      <w:pPr>
        <w:spacing w:after="160" w:line="259" w:lineRule="auto"/>
        <w:jc w:val="left"/>
        <w:rPr>
          <w:iCs/>
          <w:color w:val="363735" w:themeColor="accent3"/>
          <w:sz w:val="20"/>
          <w:szCs w:val="18"/>
        </w:rPr>
      </w:pPr>
      <w:r>
        <w:br w:type="page"/>
      </w:r>
    </w:p>
    <w:p w:rsidR="000E1B79" w:rsidRDefault="000E1B79" w:rsidP="003405A0">
      <w:pPr>
        <w:pStyle w:val="Legenda"/>
        <w:rPr>
          <w:highlight w:val="yellow"/>
        </w:rPr>
      </w:pPr>
      <w:bookmarkStart w:id="19" w:name="_Toc197678820"/>
      <w:r>
        <w:lastRenderedPageBreak/>
        <w:t xml:space="preserve">Wykres </w:t>
      </w:r>
      <w:r w:rsidR="00646D05">
        <w:fldChar w:fldCharType="begin"/>
      </w:r>
      <w:r>
        <w:instrText xml:space="preserve"> SEQ Wykres \* ARABIC </w:instrText>
      </w:r>
      <w:r w:rsidR="00646D05">
        <w:fldChar w:fldCharType="separate"/>
      </w:r>
      <w:r w:rsidR="0084338D">
        <w:rPr>
          <w:noProof/>
        </w:rPr>
        <w:t>6</w:t>
      </w:r>
      <w:r w:rsidR="00646D05">
        <w:fldChar w:fldCharType="end"/>
      </w:r>
      <w:r>
        <w:t xml:space="preserve">. Prognoza demograficzna </w:t>
      </w:r>
      <w:proofErr w:type="spellStart"/>
      <w:r>
        <w:t>WrOF</w:t>
      </w:r>
      <w:proofErr w:type="spellEnd"/>
      <w:r>
        <w:t xml:space="preserve"> – liczebność wybranych grup wieku – wariant </w:t>
      </w:r>
      <w:r w:rsidR="00D932A8">
        <w:t>realny</w:t>
      </w:r>
      <w:bookmarkEnd w:id="19"/>
    </w:p>
    <w:p w:rsidR="007014C1" w:rsidRDefault="00F539AB" w:rsidP="00AD3564">
      <w:pPr>
        <w:rPr>
          <w:highlight w:val="yellow"/>
        </w:rPr>
      </w:pPr>
      <w:r>
        <w:rPr>
          <w:noProof/>
          <w:lang w:eastAsia="pl-PL"/>
        </w:rPr>
        <w:drawing>
          <wp:inline distT="0" distB="0" distL="0" distR="0">
            <wp:extent cx="5657850" cy="3700463"/>
            <wp:effectExtent l="0" t="0" r="0" b="0"/>
            <wp:docPr id="844046670" name="Wykres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ECFC8A3C-E86F-46E1-915C-6E2150DD99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014C1" w:rsidRPr="00F539AB" w:rsidRDefault="00F539AB" w:rsidP="006B284E">
      <w:pPr>
        <w:pStyle w:val="rdo"/>
      </w:pPr>
      <w:r w:rsidRPr="00F539AB">
        <w:t>Źródło: opracowanie własne</w:t>
      </w:r>
      <w:r w:rsidR="0013615C">
        <w:t xml:space="preserve"> (dostęp 30.01.2025)</w:t>
      </w:r>
    </w:p>
    <w:p w:rsidR="00AD3564" w:rsidRDefault="00AD3564" w:rsidP="00AD3564">
      <w:pPr>
        <w:spacing w:after="160"/>
      </w:pPr>
      <w:r>
        <w:t>Prognozowane zmiany demograficzne stanowią istotne wyzwanie dla</w:t>
      </w:r>
      <w:r w:rsidR="000F64C7">
        <w:t xml:space="preserve"> </w:t>
      </w:r>
      <w:r>
        <w:t>polityki rozwoju kraju i</w:t>
      </w:r>
      <w:r w:rsidR="00B7568A">
        <w:t> </w:t>
      </w:r>
      <w:r>
        <w:t>województwa</w:t>
      </w:r>
      <w:r w:rsidR="000F64C7">
        <w:t>. Konsekwencje zmniejszenia się liczby ludności kraju dotykać</w:t>
      </w:r>
      <w:r w:rsidR="00EC4F26">
        <w:t xml:space="preserve"> będą</w:t>
      </w:r>
      <w:r w:rsidR="000F64C7">
        <w:t xml:space="preserve"> również</w:t>
      </w:r>
      <w:r>
        <w:t xml:space="preserve"> </w:t>
      </w:r>
      <w:proofErr w:type="spellStart"/>
      <w:r>
        <w:t>WrOF</w:t>
      </w:r>
      <w:proofErr w:type="spellEnd"/>
      <w:r>
        <w:t xml:space="preserve">. </w:t>
      </w:r>
      <w:r w:rsidR="000F64C7">
        <w:t>W kraju z</w:t>
      </w:r>
      <w:r>
        <w:t>mniejszy się</w:t>
      </w:r>
      <w:r w:rsidR="000F64C7">
        <w:t xml:space="preserve"> przede wszystkim</w:t>
      </w:r>
      <w:r>
        <w:t xml:space="preserve"> liczba osób aktywnych zawodowo</w:t>
      </w:r>
      <w:r w:rsidR="00EC4F26">
        <w:t xml:space="preserve">, co wpłynie również na sytuację na rynku pracy w </w:t>
      </w:r>
      <w:proofErr w:type="spellStart"/>
      <w:r w:rsidR="00EC4F26">
        <w:t>WrOF</w:t>
      </w:r>
      <w:proofErr w:type="spellEnd"/>
      <w:r>
        <w:t xml:space="preserve">. </w:t>
      </w:r>
      <w:r w:rsidR="000F64C7">
        <w:t>Jednocześnie z</w:t>
      </w:r>
      <w:r>
        <w:t>większy się zapotrzebowanie na usług</w:t>
      </w:r>
      <w:r w:rsidR="00D932A8">
        <w:t>i</w:t>
      </w:r>
      <w:r>
        <w:t xml:space="preserve"> społeczne, m. in. związane z</w:t>
      </w:r>
      <w:r w:rsidR="00B7568A">
        <w:t> </w:t>
      </w:r>
      <w:r>
        <w:t>opieką zdrowotną i społeczną. Zwiększy się konkurencja o</w:t>
      </w:r>
      <w:r w:rsidR="003405A0">
        <w:t> </w:t>
      </w:r>
      <w:r>
        <w:t>zasoby ludzie, zarówno pomiędzy dużymi ośrodkami w kraju, jak też pomiędzy innymi obszarami</w:t>
      </w:r>
      <w:r w:rsidR="00EC4F26">
        <w:t xml:space="preserve">. </w:t>
      </w:r>
      <w:r w:rsidR="00DA14AF">
        <w:t xml:space="preserve">Może </w:t>
      </w:r>
      <w:r w:rsidR="00EC4F26">
        <w:t>to oznaczać, że wybrane sektory i branże gospodarki zaczną</w:t>
      </w:r>
      <w:r w:rsidR="009E5DAE">
        <w:t xml:space="preserve"> mocniej</w:t>
      </w:r>
      <w:r w:rsidR="00EC4F26">
        <w:t xml:space="preserve"> konkurować między sobą o</w:t>
      </w:r>
      <w:r w:rsidR="009E5DAE">
        <w:t> </w:t>
      </w:r>
      <w:r w:rsidR="00EC4F26">
        <w:t>kadry</w:t>
      </w:r>
      <w:r>
        <w:t>. Wyzwaniem</w:t>
      </w:r>
      <w:r w:rsidR="00B7568A">
        <w:t xml:space="preserve"> dla kraju i regionu</w:t>
      </w:r>
      <w:r>
        <w:t xml:space="preserve"> będzie</w:t>
      </w:r>
      <w:r w:rsidR="00EC4F26">
        <w:t xml:space="preserve"> </w:t>
      </w:r>
      <w:r>
        <w:t>zaprojektowanie polityk społeczn</w:t>
      </w:r>
      <w:r w:rsidR="00B7568A">
        <w:t>ych, jak też strategii rozwoju, które uwzględniają zmiany demograficzne. O</w:t>
      </w:r>
      <w:r>
        <w:t>znaczać</w:t>
      </w:r>
      <w:r w:rsidR="00B7568A">
        <w:t xml:space="preserve"> to</w:t>
      </w:r>
      <w:r>
        <w:t xml:space="preserve"> może relokację sił, środków i zasobów do wybranych przestrzeni kraju</w:t>
      </w:r>
      <w:r w:rsidR="00B7568A">
        <w:t xml:space="preserve"> w celu przeciwdziałania negatywnym skutkom depopulacji</w:t>
      </w:r>
      <w:r>
        <w:t>. Ubytek mieszkańców kraju</w:t>
      </w:r>
      <w:r w:rsidR="00B7568A">
        <w:t xml:space="preserve"> i regionu</w:t>
      </w:r>
      <w:r>
        <w:t xml:space="preserve"> to również wyzwanie dla szeregu usług i funkcji realizowanych z</w:t>
      </w:r>
      <w:r w:rsidR="00B7568A">
        <w:t> </w:t>
      </w:r>
      <w:r>
        <w:t>różnych poziomów, tj. lokalnego, regionalnego i</w:t>
      </w:r>
      <w:r w:rsidR="003405A0">
        <w:t> </w:t>
      </w:r>
      <w:r>
        <w:t>krajowego, np. odpowiedzialnych za bezpieczeństwo kraju</w:t>
      </w:r>
      <w:r w:rsidR="000F64C7">
        <w:t xml:space="preserve"> (np. deficyt kadr w służbach publicznych</w:t>
      </w:r>
      <w:r w:rsidR="00DA14AF">
        <w:t>)</w:t>
      </w:r>
      <w:r>
        <w:t>.</w:t>
      </w:r>
    </w:p>
    <w:p w:rsidR="00B7568A" w:rsidRDefault="00B7568A" w:rsidP="00AD3564">
      <w:pPr>
        <w:spacing w:after="160"/>
      </w:pPr>
      <w:r>
        <w:t xml:space="preserve">Mając na uwadze wyżej opisaną prognozowaną sytuację demograficzną, należy podkreślić iż </w:t>
      </w:r>
      <w:proofErr w:type="spellStart"/>
      <w:r>
        <w:t>WrOF</w:t>
      </w:r>
      <w:proofErr w:type="spellEnd"/>
      <w:r>
        <w:t xml:space="preserve"> będzie jednym z nielicznych w przestrzeni kraju obszarów, w których w dłuższej </w:t>
      </w:r>
      <w:r w:rsidR="00EC4F26">
        <w:t>perspektywie</w:t>
      </w:r>
      <w:r>
        <w:t xml:space="preserve"> czasu nie dojdzie do depopulacji. Co więcej przewiduje się wzrost liczby mieszkańców. Niemniej negatywne skutku depopulacji kraju i wybranych regionów dotykać będą również </w:t>
      </w:r>
      <w:proofErr w:type="spellStart"/>
      <w:r>
        <w:t>WrOF</w:t>
      </w:r>
      <w:proofErr w:type="spellEnd"/>
      <w:r>
        <w:t xml:space="preserve">, zarówno pośrednio jak </w:t>
      </w:r>
      <w:r>
        <w:lastRenderedPageBreak/>
        <w:t xml:space="preserve">też bezpośrednio. Depopulacja kraju i regionu to istotne zagrożenie między innymi dla gospodarki i szeregu funkcji usługowych ulokowanych również we </w:t>
      </w:r>
      <w:proofErr w:type="spellStart"/>
      <w:r>
        <w:t>WrOF</w:t>
      </w:r>
      <w:proofErr w:type="spellEnd"/>
      <w:r>
        <w:t xml:space="preserve">. Zmniejszenie się ludności kraju wpłynie na spadek popytu na usługi, zwiększy konkurencję o zasoby ludzkie na rynku pracy w całej przestrzeni kraju. Może to oznaczać konieczność relokacji wybranych funkcji usługowych w kraju. </w:t>
      </w:r>
    </w:p>
    <w:p w:rsidR="00E46538" w:rsidRDefault="00E46538" w:rsidP="00AD3564">
      <w:pPr>
        <w:spacing w:after="160"/>
        <w:rPr>
          <w:rFonts w:cs="Arial"/>
        </w:rPr>
      </w:pPr>
      <w:r>
        <w:t xml:space="preserve">W perspektywie długoterminowej zakłada się, że </w:t>
      </w:r>
      <w:proofErr w:type="spellStart"/>
      <w:r>
        <w:t>WrOF</w:t>
      </w:r>
      <w:proofErr w:type="spellEnd"/>
      <w:r>
        <w:t xml:space="preserve"> będzie w stanie minimalizować </w:t>
      </w:r>
      <w:r w:rsidR="006C569F">
        <w:t xml:space="preserve">niektóre </w:t>
      </w:r>
      <w:r>
        <w:t xml:space="preserve">negatywne skutki związane z depopulacją kraju. Wynika to z wysokiej pozycji konkurencyjności </w:t>
      </w:r>
      <w:proofErr w:type="spellStart"/>
      <w:r>
        <w:t>WrOF</w:t>
      </w:r>
      <w:proofErr w:type="spellEnd"/>
      <w:r>
        <w:t xml:space="preserve"> w skali kraju w odniesieniu do oferowanej jakości życia i potencjału gospodarczego. Dane dot</w:t>
      </w:r>
      <w:r w:rsidR="003405A0">
        <w:t>yczące</w:t>
      </w:r>
      <w:r>
        <w:t xml:space="preserve"> liczby ludności </w:t>
      </w:r>
      <w:proofErr w:type="spellStart"/>
      <w:r>
        <w:t>WrOF</w:t>
      </w:r>
      <w:proofErr w:type="spellEnd"/>
      <w:r>
        <w:t xml:space="preserve"> z lat od roku 2013 do 2023 roku wskazują na wzrost o 12,4% (+117 834 osoby). </w:t>
      </w:r>
      <w:r w:rsidRPr="00A62A52">
        <w:rPr>
          <w:rFonts w:cs="Arial"/>
        </w:rPr>
        <w:t>W tym okresie w</w:t>
      </w:r>
      <w:r>
        <w:rPr>
          <w:rFonts w:cs="Arial"/>
        </w:rPr>
        <w:t> </w:t>
      </w:r>
      <w:r w:rsidRPr="00A62A52">
        <w:rPr>
          <w:rFonts w:cs="Arial"/>
        </w:rPr>
        <w:t xml:space="preserve">skali województwa </w:t>
      </w:r>
      <w:r>
        <w:rPr>
          <w:rFonts w:cs="Arial"/>
        </w:rPr>
        <w:t>dolnośląskiego od</w:t>
      </w:r>
      <w:r w:rsidRPr="00A62A52">
        <w:rPr>
          <w:rFonts w:cs="Arial"/>
        </w:rPr>
        <w:t xml:space="preserve">notowano ogólny </w:t>
      </w:r>
      <w:r>
        <w:rPr>
          <w:rFonts w:cs="Arial"/>
        </w:rPr>
        <w:t>spadek</w:t>
      </w:r>
      <w:r w:rsidRPr="00A62A52">
        <w:rPr>
          <w:rFonts w:cs="Arial"/>
        </w:rPr>
        <w:t xml:space="preserve"> liczby mieszkańców o </w:t>
      </w:r>
      <w:r>
        <w:rPr>
          <w:rFonts w:cs="Arial"/>
        </w:rPr>
        <w:t>1,1</w:t>
      </w:r>
      <w:r w:rsidRPr="00A62A52">
        <w:rPr>
          <w:rFonts w:cs="Arial"/>
        </w:rPr>
        <w:t>%</w:t>
      </w:r>
      <w:r>
        <w:rPr>
          <w:rFonts w:cs="Arial"/>
        </w:rPr>
        <w:t>, a w skali kraju o 2,2%</w:t>
      </w:r>
      <w:r w:rsidRPr="00A62A52">
        <w:rPr>
          <w:rFonts w:cs="Arial"/>
        </w:rPr>
        <w:t xml:space="preserve">. </w:t>
      </w:r>
      <w:r>
        <w:rPr>
          <w:rFonts w:cs="Arial"/>
        </w:rPr>
        <w:t xml:space="preserve">Dodatkowo warto wskazać na intensyfikację powiązań funkcjonalnych. </w:t>
      </w:r>
      <w:r w:rsidR="006C569F">
        <w:rPr>
          <w:rFonts w:cs="Arial"/>
        </w:rPr>
        <w:t>D</w:t>
      </w:r>
      <w:r>
        <w:rPr>
          <w:rFonts w:cs="Arial"/>
        </w:rPr>
        <w:t>iagnoza powiązań funkcjonalnych wskazuje, iż</w:t>
      </w:r>
      <w:r w:rsidR="003405A0">
        <w:rPr>
          <w:rFonts w:cs="Arial"/>
        </w:rPr>
        <w:t> </w:t>
      </w:r>
      <w:r>
        <w:rPr>
          <w:rFonts w:cs="Arial"/>
        </w:rPr>
        <w:t>przyjęte kryteria powiązań funkcjonalnych z Wrocławiem, oprócz gminy współpracujących już w</w:t>
      </w:r>
      <w:r w:rsidR="003405A0">
        <w:rPr>
          <w:rFonts w:cs="Arial"/>
        </w:rPr>
        <w:t> </w:t>
      </w:r>
      <w:r>
        <w:rPr>
          <w:rFonts w:cs="Arial"/>
        </w:rPr>
        <w:t>ramach ZIT, spełniają także gmin</w:t>
      </w:r>
      <w:r w:rsidR="00220F9D">
        <w:rPr>
          <w:rFonts w:cs="Arial"/>
        </w:rPr>
        <w:t>y</w:t>
      </w:r>
      <w:r>
        <w:rPr>
          <w:rFonts w:cs="Arial"/>
        </w:rPr>
        <w:t xml:space="preserve"> Środa Śląska i Syców. Równie mocne powiązania funkcjonalne</w:t>
      </w:r>
      <w:r w:rsidR="009E5DAE">
        <w:rPr>
          <w:rFonts w:cs="Arial"/>
        </w:rPr>
        <w:t xml:space="preserve"> z</w:t>
      </w:r>
      <w:r w:rsidR="00D7525D">
        <w:rPr>
          <w:rFonts w:cs="Arial"/>
        </w:rPr>
        <w:t> </w:t>
      </w:r>
      <w:r w:rsidR="009E5DAE">
        <w:rPr>
          <w:rFonts w:cs="Arial"/>
        </w:rPr>
        <w:t>Wrocławiem</w:t>
      </w:r>
      <w:r>
        <w:rPr>
          <w:rFonts w:cs="Arial"/>
        </w:rPr>
        <w:t xml:space="preserve"> widoczne są </w:t>
      </w:r>
      <w:r w:rsidR="009E5DAE">
        <w:rPr>
          <w:rFonts w:cs="Arial"/>
        </w:rPr>
        <w:t>w gminie</w:t>
      </w:r>
      <w:r>
        <w:rPr>
          <w:rFonts w:cs="Arial"/>
        </w:rPr>
        <w:t xml:space="preserve"> Strzelin. Oznacza to poszerzanie strefy oddziaływania funkcjonalnego Wrocławia na </w:t>
      </w:r>
      <w:r w:rsidR="006C569F">
        <w:rPr>
          <w:rFonts w:cs="Arial"/>
        </w:rPr>
        <w:t xml:space="preserve">sąsiednią </w:t>
      </w:r>
      <w:r>
        <w:rPr>
          <w:rFonts w:cs="Arial"/>
        </w:rPr>
        <w:t>przestrzeń. Wynika to m. in. z poprawy mobilności, co z</w:t>
      </w:r>
      <w:r w:rsidR="009E5DAE">
        <w:rPr>
          <w:rFonts w:cs="Arial"/>
        </w:rPr>
        <w:t> </w:t>
      </w:r>
      <w:r>
        <w:rPr>
          <w:rFonts w:cs="Arial"/>
        </w:rPr>
        <w:t xml:space="preserve">kolei jest wynikiem inwestycji komunikacyjnych, jak też zwiększenia atrakcyjności transportu kolejowego. </w:t>
      </w:r>
      <w:r w:rsidR="009E5DAE">
        <w:rPr>
          <w:rFonts w:cs="Arial"/>
        </w:rPr>
        <w:t>Podnosi</w:t>
      </w:r>
      <w:r w:rsidR="00EC4F26">
        <w:rPr>
          <w:rFonts w:cs="Arial"/>
        </w:rPr>
        <w:t xml:space="preserve"> </w:t>
      </w:r>
      <w:r w:rsidR="009E5DAE">
        <w:rPr>
          <w:rFonts w:cs="Arial"/>
        </w:rPr>
        <w:t>t</w:t>
      </w:r>
      <w:r w:rsidR="00EC4F26">
        <w:rPr>
          <w:rFonts w:cs="Arial"/>
        </w:rPr>
        <w:t>o konkurencyjność gospodarcz</w:t>
      </w:r>
      <w:r w:rsidR="009E5DAE">
        <w:rPr>
          <w:rFonts w:cs="Arial"/>
        </w:rPr>
        <w:t>ą</w:t>
      </w:r>
      <w:r w:rsidR="00EC4F26">
        <w:rPr>
          <w:rFonts w:cs="Arial"/>
        </w:rPr>
        <w:t xml:space="preserve"> i osadniczą </w:t>
      </w:r>
      <w:proofErr w:type="spellStart"/>
      <w:r w:rsidR="00EC4F26">
        <w:rPr>
          <w:rFonts w:cs="Arial"/>
        </w:rPr>
        <w:t>WrOF</w:t>
      </w:r>
      <w:proofErr w:type="spellEnd"/>
      <w:r w:rsidR="00EC4F26">
        <w:rPr>
          <w:rFonts w:cs="Arial"/>
        </w:rPr>
        <w:t xml:space="preserve"> w kraju. Pozwala lepiej wykorzystać posiadane zasoby, m. in. dostęp do usług.</w:t>
      </w:r>
    </w:p>
    <w:p w:rsidR="00D700F4" w:rsidRPr="00D700F4" w:rsidRDefault="00D700F4" w:rsidP="00AD3564">
      <w:pPr>
        <w:spacing w:after="160"/>
        <w:rPr>
          <w:rFonts w:cs="Arial"/>
        </w:rPr>
      </w:pPr>
      <w:r>
        <w:rPr>
          <w:rFonts w:cs="Arial"/>
        </w:rPr>
        <w:t xml:space="preserve">Warto również zwrócić uwagę na symulację stanu ludności </w:t>
      </w:r>
      <w:proofErr w:type="spellStart"/>
      <w:r>
        <w:rPr>
          <w:rFonts w:cs="Arial"/>
        </w:rPr>
        <w:t>WrOF</w:t>
      </w:r>
      <w:proofErr w:type="spellEnd"/>
      <w:r>
        <w:rPr>
          <w:rFonts w:cs="Arial"/>
        </w:rPr>
        <w:t xml:space="preserve"> przedstawioną w prognozie demograficznej. </w:t>
      </w:r>
      <w:r w:rsidR="00D932A8">
        <w:rPr>
          <w:rFonts w:cs="Arial"/>
        </w:rPr>
        <w:t>P</w:t>
      </w:r>
      <w:r>
        <w:rPr>
          <w:rFonts w:cs="Arial"/>
        </w:rPr>
        <w:t>rzy niskich wskaźnikach urodzeń w</w:t>
      </w:r>
      <w:r w:rsidR="009E5DAE">
        <w:rPr>
          <w:rFonts w:cs="Arial"/>
        </w:rPr>
        <w:t> </w:t>
      </w:r>
      <w:r>
        <w:rPr>
          <w:rFonts w:cs="Arial"/>
        </w:rPr>
        <w:t>długiej perspektywie czasu, tj. już</w:t>
      </w:r>
      <w:r w:rsidR="00D932A8">
        <w:rPr>
          <w:rFonts w:cs="Arial"/>
        </w:rPr>
        <w:t xml:space="preserve"> w</w:t>
      </w:r>
      <w:r>
        <w:rPr>
          <w:rFonts w:cs="Arial"/>
        </w:rPr>
        <w:t xml:space="preserve"> drugiej połowie XXI wieku (po 2050 r.), </w:t>
      </w:r>
      <w:proofErr w:type="spellStart"/>
      <w:r>
        <w:rPr>
          <w:rFonts w:cs="Arial"/>
        </w:rPr>
        <w:t>WrOF</w:t>
      </w:r>
      <w:proofErr w:type="spellEnd"/>
      <w:r>
        <w:rPr>
          <w:rFonts w:cs="Arial"/>
        </w:rPr>
        <w:t xml:space="preserve"> może zacząć się wyludniać, pomimo zdolności przyciągania nowych mieszkańców. Pokazują to przede wszystkim dane dot. liczebności młodszych roczników. </w:t>
      </w:r>
      <w:r w:rsidR="009E5DAE">
        <w:rPr>
          <w:rFonts w:cs="Arial"/>
        </w:rPr>
        <w:t xml:space="preserve">Przełamanie </w:t>
      </w:r>
      <w:r w:rsidR="009E5DAE" w:rsidRPr="00C95F7C">
        <w:t>pułapki niskiej dzietności</w:t>
      </w:r>
      <w:r w:rsidR="009E5DAE">
        <w:t xml:space="preserve"> w skali kraju będzie niewątpliwie szansą na podtrzymanie dynamiki rozwoju </w:t>
      </w:r>
      <w:proofErr w:type="spellStart"/>
      <w:r w:rsidR="009E5DAE">
        <w:t>WrOF</w:t>
      </w:r>
      <w:proofErr w:type="spellEnd"/>
      <w:r w:rsidR="009E5DAE">
        <w:t>.</w:t>
      </w:r>
    </w:p>
    <w:p w:rsidR="00AD3564" w:rsidRDefault="00AD3564">
      <w:pPr>
        <w:spacing w:after="160" w:line="259" w:lineRule="auto"/>
        <w:jc w:val="left"/>
      </w:pPr>
      <w:r>
        <w:br w:type="page"/>
      </w:r>
    </w:p>
    <w:p w:rsidR="00AD3564" w:rsidRPr="00AD3564" w:rsidRDefault="008B55DE" w:rsidP="008B55DE">
      <w:pPr>
        <w:pStyle w:val="Nagwek2"/>
        <w:numPr>
          <w:ilvl w:val="0"/>
          <w:numId w:val="0"/>
        </w:numPr>
        <w:ind w:left="993" w:hanging="851"/>
      </w:pPr>
      <w:bookmarkStart w:id="20" w:name="_Toc196905123"/>
      <w:r>
        <w:lastRenderedPageBreak/>
        <w:t xml:space="preserve">2.2. </w:t>
      </w:r>
      <w:r w:rsidR="00AD3564" w:rsidRPr="00AD3564">
        <w:t>Migracje</w:t>
      </w:r>
      <w:bookmarkEnd w:id="20"/>
    </w:p>
    <w:p w:rsidR="00AD3564" w:rsidRDefault="00AD3564" w:rsidP="00AD3564">
      <w:pPr>
        <w:spacing w:after="160"/>
      </w:pPr>
      <w:r>
        <w:t xml:space="preserve">Prognozy opracowane przez GUS wskazują na </w:t>
      </w:r>
      <w:r w:rsidRPr="00FC5512">
        <w:t>stały wzrost liczby imigracji</w:t>
      </w:r>
      <w:r>
        <w:t xml:space="preserve">. </w:t>
      </w:r>
      <w:r w:rsidRPr="00C572E1">
        <w:t>Polska przekształciła się z kraju o charakterze typowo emigracyjnym w państwo emigracyjno-imigracyjne, z rosnącym napływem cudzoziemców.</w:t>
      </w:r>
      <w:r>
        <w:t xml:space="preserve"> Wyzwaniem polityki migracyjnej jest </w:t>
      </w:r>
      <w:r w:rsidRPr="003C1B5E">
        <w:t>pogodzenie kwestii bezpieczeństwa oraz potrzeb rozwoju gospodarczego</w:t>
      </w:r>
      <w:r>
        <w:t xml:space="preserve">. Przyjęcie </w:t>
      </w:r>
      <w:r w:rsidR="00A64898">
        <w:t xml:space="preserve">przez Polskę </w:t>
      </w:r>
      <w:r>
        <w:t xml:space="preserve">strategii polityki migracyjnej i jej </w:t>
      </w:r>
      <w:r w:rsidR="00E90DD5">
        <w:t xml:space="preserve">konsekwentna </w:t>
      </w:r>
      <w:r>
        <w:t xml:space="preserve">realizacja daje szansę na osiągnięcie pozytywnych efektów dla Polski, a tym samym dla </w:t>
      </w:r>
      <w:proofErr w:type="spellStart"/>
      <w:r>
        <w:t>WrOF</w:t>
      </w:r>
      <w:proofErr w:type="spellEnd"/>
      <w:r>
        <w:t xml:space="preserve">. Przyciąganie migrantów jest szczególnie istotne ze względu na lukę kadrową i potrzeby gospodarki. Rodzi to przy tym istotne wyzwania, m. im. związane z integracją społeczną, polityką mieszkaniową, częściowo również z bezpieczeństwem publicznym. Niemniej, mając na uwadze potencjał i możliwość rozwoju gospodarki </w:t>
      </w:r>
      <w:proofErr w:type="spellStart"/>
      <w:r>
        <w:t>WrOF</w:t>
      </w:r>
      <w:proofErr w:type="spellEnd"/>
      <w:r>
        <w:t xml:space="preserve">, napływ migrantów należy postrzegać jako </w:t>
      </w:r>
      <w:r w:rsidRPr="00AD3564">
        <w:t>szansę.</w:t>
      </w:r>
    </w:p>
    <w:p w:rsidR="00A64898" w:rsidRDefault="00820056" w:rsidP="00AD3564">
      <w:pPr>
        <w:spacing w:after="160"/>
      </w:pPr>
      <w:r>
        <w:t xml:space="preserve">Prognozy GUS dot. migracji zagranicznych w Polsce wskazują na utrzymanie w długiej perspektywie czasu dodatniego salda. </w:t>
      </w:r>
    </w:p>
    <w:p w:rsidR="00A64898" w:rsidRDefault="00A64898" w:rsidP="003405A0">
      <w:pPr>
        <w:pStyle w:val="Legenda"/>
      </w:pPr>
      <w:bookmarkStart w:id="21" w:name="_Toc189834261"/>
      <w:bookmarkStart w:id="22" w:name="_Toc197678821"/>
      <w:r>
        <w:t xml:space="preserve">Wykres </w:t>
      </w:r>
      <w:r w:rsidR="00646D05">
        <w:fldChar w:fldCharType="begin"/>
      </w:r>
      <w:r>
        <w:instrText xml:space="preserve"> SEQ Wykres \* ARABIC </w:instrText>
      </w:r>
      <w:r w:rsidR="00646D05">
        <w:fldChar w:fldCharType="separate"/>
      </w:r>
      <w:r w:rsidR="0084338D">
        <w:rPr>
          <w:noProof/>
        </w:rPr>
        <w:t>7</w:t>
      </w:r>
      <w:r w:rsidR="00646D05">
        <w:fldChar w:fldCharType="end"/>
      </w:r>
      <w:r>
        <w:t>. Prognoza migracji zagranicznych w Polsce (w tys.) w poszczególnych latach</w:t>
      </w:r>
      <w:bookmarkEnd w:id="21"/>
      <w:bookmarkEnd w:id="22"/>
    </w:p>
    <w:p w:rsidR="00A64898" w:rsidRDefault="00A64898" w:rsidP="00A64898">
      <w:r>
        <w:rPr>
          <w:noProof/>
          <w:lang w:eastAsia="pl-PL"/>
        </w:rPr>
        <w:drawing>
          <wp:inline distT="0" distB="0" distL="0" distR="0">
            <wp:extent cx="5773480" cy="2995295"/>
            <wp:effectExtent l="0" t="0" r="17780" b="14605"/>
            <wp:docPr id="532538796" name="Wykres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C21FE344-38E0-4965-EDD2-FEC8E951AA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64898" w:rsidRDefault="00A64898" w:rsidP="00D62CBB">
      <w:pPr>
        <w:pStyle w:val="rdo"/>
      </w:pPr>
      <w:r>
        <w:t>Źródło: opracowanie własne na podstawie danych GUS</w:t>
      </w:r>
      <w:r w:rsidR="0013615C">
        <w:t xml:space="preserve"> (dostęp 30.01.2025)</w:t>
      </w:r>
    </w:p>
    <w:p w:rsidR="00820056" w:rsidRDefault="00820056" w:rsidP="00820056">
      <w:pPr>
        <w:spacing w:after="160"/>
      </w:pPr>
      <w:r>
        <w:t>Opisując i analizując kwestie migracji w Polsce należy podkreślić, iż w ciągu ostatnich dwóch dekad doszło do zasadniej zmiany bilansu migracyjnego. Z chwilą wejścia Polski do Unii Europejskiej kraj opuściło wg różnych szacunków około 2 mln obywateli. Ludzi</w:t>
      </w:r>
      <w:r w:rsidR="00442AFE">
        <w:t>e</w:t>
      </w:r>
      <w:r>
        <w:t xml:space="preserve"> ci podążali za lepszymi warunkami życia i pracy, wyjeżdżając głównie do krajów Europy Zachodniej. Trend migracyjny w Polsce zaczął się stopniowo zmieniać wraz poprawą kondycji polskiej gospodarki. Rozwój kraju</w:t>
      </w:r>
      <w:r w:rsidR="00B93724">
        <w:t xml:space="preserve"> wpłynął na</w:t>
      </w:r>
      <w:r>
        <w:t xml:space="preserve"> zahamo</w:t>
      </w:r>
      <w:r w:rsidR="00B93724">
        <w:t>wanie</w:t>
      </w:r>
      <w:r>
        <w:t xml:space="preserve"> odpływ</w:t>
      </w:r>
      <w:r w:rsidR="00B93724">
        <w:t>u</w:t>
      </w:r>
      <w:r>
        <w:t xml:space="preserve"> mieszkańców</w:t>
      </w:r>
      <w:r w:rsidR="00B93724">
        <w:t xml:space="preserve"> z</w:t>
      </w:r>
      <w:r>
        <w:t xml:space="preserve"> Polski. Dynamiczn</w:t>
      </w:r>
      <w:r w:rsidR="00B93724">
        <w:t>y</w:t>
      </w:r>
      <w:r>
        <w:t xml:space="preserve"> rozwój gospodarki i </w:t>
      </w:r>
      <w:r w:rsidR="00B93724">
        <w:t xml:space="preserve">wzrost </w:t>
      </w:r>
      <w:r>
        <w:lastRenderedPageBreak/>
        <w:t>zapotrzebowania na rynku pracy wygenerował</w:t>
      </w:r>
      <w:r w:rsidR="00E90DD5">
        <w:t xml:space="preserve"> </w:t>
      </w:r>
      <w:r>
        <w:t xml:space="preserve">napływ migrantów z różnych części świata. Najliczniej zaczęły napływać do Polski osoby narodowości </w:t>
      </w:r>
      <w:r w:rsidR="00E90DD5">
        <w:t>u</w:t>
      </w:r>
      <w:r>
        <w:t>kraińskiej</w:t>
      </w:r>
      <w:r w:rsidR="00B93724">
        <w:t>, w szczególności</w:t>
      </w:r>
      <w:r>
        <w:t xml:space="preserve"> po 2014 r., czyli po rozpoczęciu konfliktu Rosji z Ukrainą na wschodzie kraju. Polska stała się coraz atrakcyjniejszym ośrodkiem studenckim. </w:t>
      </w:r>
      <w:r w:rsidR="0029258A">
        <w:t xml:space="preserve">W 2022 r. z chwilą rozpoczęcia inwazji zbrojnej Rosji </w:t>
      </w:r>
      <w:r w:rsidR="00442AFE">
        <w:t xml:space="preserve">w </w:t>
      </w:r>
      <w:r w:rsidR="0029258A">
        <w:t>Ukrain</w:t>
      </w:r>
      <w:r w:rsidR="00442AFE">
        <w:t>ie</w:t>
      </w:r>
      <w:r w:rsidR="0029258A">
        <w:t>, do Polski napłynęł</w:t>
      </w:r>
      <w:r w:rsidR="00E90DD5">
        <w:t>a</w:t>
      </w:r>
      <w:r w:rsidR="009E5DAE">
        <w:t xml:space="preserve"> też</w:t>
      </w:r>
      <w:r w:rsidR="0029258A">
        <w:t xml:space="preserve"> duża liczba uchodźców wojennych, w</w:t>
      </w:r>
      <w:r w:rsidR="009E5DAE">
        <w:t> </w:t>
      </w:r>
      <w:r w:rsidR="0029258A">
        <w:t>tym w</w:t>
      </w:r>
      <w:r w:rsidR="00B93724">
        <w:t> </w:t>
      </w:r>
      <w:r w:rsidR="0029258A">
        <w:t xml:space="preserve">przeważającej liczbie kobiet i dzieci. Szacuje się, iż w Polsce może przebywać obecnie </w:t>
      </w:r>
      <w:r w:rsidR="0029258A" w:rsidRPr="00C572E1">
        <w:t>pomiędzy 2,3 a 2,5 mln cudzoziemców, których pobyt można określić jako długookresowy (przebywają w Polsce powyżej 12 miesięcy).</w:t>
      </w:r>
      <w:r w:rsidR="0029258A">
        <w:t xml:space="preserve"> W ciągu zaledwie dwóch dekad zmieniła się zasadniczo </w:t>
      </w:r>
      <w:r w:rsidR="0029258A" w:rsidRPr="00C572E1">
        <w:t>charakterystyk</w:t>
      </w:r>
      <w:r w:rsidR="0029258A">
        <w:t>a</w:t>
      </w:r>
      <w:r w:rsidR="0029258A" w:rsidRPr="00C572E1">
        <w:t xml:space="preserve"> imigracyjn</w:t>
      </w:r>
      <w:r w:rsidR="00E90DD5">
        <w:t>a</w:t>
      </w:r>
      <w:r w:rsidR="0029258A" w:rsidRPr="00C572E1">
        <w:t xml:space="preserve"> Polski</w:t>
      </w:r>
      <w:r w:rsidR="0029258A">
        <w:t>. Kraj znalazł się w zupełnie nowej sytuacji, która</w:t>
      </w:r>
      <w:r w:rsidR="0029258A" w:rsidRPr="00C572E1">
        <w:t xml:space="preserve"> </w:t>
      </w:r>
      <w:r w:rsidR="0029258A">
        <w:t>generuje przede wszystkim</w:t>
      </w:r>
      <w:r w:rsidR="0029258A" w:rsidRPr="00C572E1">
        <w:t xml:space="preserve"> wyzwania społeczne i</w:t>
      </w:r>
      <w:r w:rsidR="0029258A">
        <w:t xml:space="preserve"> </w:t>
      </w:r>
      <w:r w:rsidR="0029258A" w:rsidRPr="00C572E1">
        <w:t>kulturowe</w:t>
      </w:r>
      <w:r w:rsidR="0029258A">
        <w:t>.</w:t>
      </w:r>
    </w:p>
    <w:p w:rsidR="00820056" w:rsidRDefault="0029258A" w:rsidP="002C2BC3">
      <w:r>
        <w:t xml:space="preserve">Mając na uwadze wyzwania związane z migracją </w:t>
      </w:r>
      <w:r w:rsidR="00820056" w:rsidRPr="0029258A">
        <w:t>5 października 2024 r., Rada Ministrów przyjęła dokument „Odzyskać kontrolę. Zapewnić bezpieczeństwo. Kompleksowa i odpowiedzialna strategia migracyjna Polski na lata 2025–2030</w:t>
      </w:r>
      <w:r w:rsidR="00B93724">
        <w:t>”</w:t>
      </w:r>
      <w:r w:rsidR="00820056" w:rsidRPr="0029258A">
        <w:t>.</w:t>
      </w:r>
      <w:r>
        <w:t xml:space="preserve"> Jest to dokument, który był długo wyczekiwany przez wiele środowisk</w:t>
      </w:r>
      <w:r w:rsidR="00B93724">
        <w:t xml:space="preserve"> (poprzedni projekt strategii migracyjnej nie zyskał akceptacji rządowej)</w:t>
      </w:r>
      <w:r>
        <w:t xml:space="preserve">. </w:t>
      </w:r>
      <w:r w:rsidR="00820056" w:rsidRPr="0029258A">
        <w:t>W</w:t>
      </w:r>
      <w:r w:rsidR="00B93724">
        <w:t> </w:t>
      </w:r>
      <w:r w:rsidR="00820056" w:rsidRPr="0029258A">
        <w:t>dokumencie tym przedstawiono diagnoz</w:t>
      </w:r>
      <w:r>
        <w:t>ę</w:t>
      </w:r>
      <w:r w:rsidR="00820056" w:rsidRPr="0029258A">
        <w:t xml:space="preserve"> i nowe podejście do zarządzania kwestiami migracji w kraju, w którym to kluczowe jest pogodzenie kwestii bezpieczeństwa oraz potrzeb rozwoju gospodarczego.</w:t>
      </w:r>
    </w:p>
    <w:p w:rsidR="002C2BC3" w:rsidRDefault="002C2BC3" w:rsidP="003405A0">
      <w:pPr>
        <w:pStyle w:val="Legenda"/>
      </w:pPr>
      <w:bookmarkStart w:id="23" w:name="_Toc189834221"/>
      <w:bookmarkStart w:id="24" w:name="_Toc196905066"/>
      <w:r>
        <w:t xml:space="preserve">Tabela </w:t>
      </w:r>
      <w:r w:rsidR="00646D05">
        <w:fldChar w:fldCharType="begin"/>
      </w:r>
      <w:r>
        <w:instrText xml:space="preserve"> SEQ Tabela \* ARABIC </w:instrText>
      </w:r>
      <w:r w:rsidR="00646D05">
        <w:fldChar w:fldCharType="separate"/>
      </w:r>
      <w:r w:rsidR="0084338D">
        <w:rPr>
          <w:noProof/>
        </w:rPr>
        <w:t>2</w:t>
      </w:r>
      <w:r w:rsidR="00646D05">
        <w:rPr>
          <w:noProof/>
        </w:rPr>
        <w:fldChar w:fldCharType="end"/>
      </w:r>
      <w:r>
        <w:t xml:space="preserve">. Kluczowe ustalenia </w:t>
      </w:r>
      <w:r w:rsidRPr="00C572E1">
        <w:t>Strategi</w:t>
      </w:r>
      <w:r>
        <w:t>i</w:t>
      </w:r>
      <w:r w:rsidRPr="00C572E1">
        <w:t xml:space="preserve"> Migracyjn</w:t>
      </w:r>
      <w:r>
        <w:t>ej</w:t>
      </w:r>
      <w:r w:rsidRPr="00C572E1">
        <w:t xml:space="preserve"> Polski na lata 2025–2030</w:t>
      </w:r>
      <w:bookmarkEnd w:id="23"/>
      <w:bookmarkEnd w:id="24"/>
    </w:p>
    <w:tbl>
      <w:tblPr>
        <w:tblStyle w:val="Tabela-Siatka"/>
        <w:tblW w:w="0" w:type="auto"/>
        <w:tblLook w:val="0420"/>
      </w:tblPr>
      <w:tblGrid>
        <w:gridCol w:w="2972"/>
        <w:gridCol w:w="6090"/>
      </w:tblGrid>
      <w:tr w:rsidR="002C2BC3" w:rsidRPr="005D1FE6" w:rsidTr="00BE036E">
        <w:trPr>
          <w:tblHeader/>
        </w:trPr>
        <w:tc>
          <w:tcPr>
            <w:tcW w:w="2972" w:type="dxa"/>
            <w:shd w:val="clear" w:color="auto" w:fill="F3CD42" w:themeFill="accent2"/>
          </w:tcPr>
          <w:p w:rsidR="002C2BC3" w:rsidRPr="005D1FE6" w:rsidRDefault="002C2BC3" w:rsidP="00A31037">
            <w:pPr>
              <w:spacing w:line="276" w:lineRule="auto"/>
              <w:jc w:val="left"/>
            </w:pPr>
            <w:r w:rsidRPr="005D1FE6">
              <w:t>Obszar</w:t>
            </w:r>
          </w:p>
        </w:tc>
        <w:tc>
          <w:tcPr>
            <w:tcW w:w="6090" w:type="dxa"/>
            <w:shd w:val="clear" w:color="auto" w:fill="F3CD42" w:themeFill="accent2"/>
          </w:tcPr>
          <w:p w:rsidR="002C2BC3" w:rsidRPr="005D1FE6" w:rsidRDefault="002C2BC3" w:rsidP="00A31037">
            <w:pPr>
              <w:spacing w:line="276" w:lineRule="auto"/>
              <w:jc w:val="left"/>
            </w:pPr>
            <w:r>
              <w:t>Priorytety</w:t>
            </w:r>
          </w:p>
        </w:tc>
      </w:tr>
      <w:tr w:rsidR="002C2BC3" w:rsidRPr="005D1FE6" w:rsidTr="00442AFE">
        <w:tc>
          <w:tcPr>
            <w:tcW w:w="2972" w:type="dxa"/>
          </w:tcPr>
          <w:p w:rsidR="002C2BC3" w:rsidRPr="005D1FE6" w:rsidRDefault="002C2BC3" w:rsidP="00A31037">
            <w:pPr>
              <w:spacing w:line="276" w:lineRule="auto"/>
              <w:jc w:val="left"/>
            </w:pPr>
            <w:r w:rsidRPr="005D1FE6">
              <w:t>Strategia Migracyjna</w:t>
            </w:r>
          </w:p>
        </w:tc>
        <w:tc>
          <w:tcPr>
            <w:tcW w:w="6090" w:type="dxa"/>
          </w:tcPr>
          <w:p w:rsidR="002C2BC3" w:rsidRPr="005D1FE6" w:rsidRDefault="002C2BC3" w:rsidP="00A31037">
            <w:pPr>
              <w:spacing w:line="276" w:lineRule="auto"/>
              <w:jc w:val="left"/>
            </w:pPr>
            <w:r w:rsidRPr="005D1FE6">
              <w:t>Priorytet</w:t>
            </w:r>
            <w:r>
              <w:t xml:space="preserve"> nadrzędny to</w:t>
            </w:r>
            <w:r w:rsidRPr="005D1FE6">
              <w:t xml:space="preserve"> bezpieczeństw</w:t>
            </w:r>
            <w:r>
              <w:t>o</w:t>
            </w:r>
            <w:r w:rsidRPr="005D1FE6">
              <w:t>, regulacja procesów migracyjnych, kontrola celu przyjazdu, skali napływu, państw pochodzenia.</w:t>
            </w:r>
          </w:p>
        </w:tc>
      </w:tr>
      <w:tr w:rsidR="002C2BC3" w:rsidRPr="005D1FE6" w:rsidTr="00442AFE">
        <w:tc>
          <w:tcPr>
            <w:tcW w:w="2972" w:type="dxa"/>
          </w:tcPr>
          <w:p w:rsidR="002C2BC3" w:rsidRPr="005D1FE6" w:rsidRDefault="002C2BC3" w:rsidP="00A31037">
            <w:pPr>
              <w:spacing w:line="276" w:lineRule="auto"/>
              <w:jc w:val="left"/>
            </w:pPr>
            <w:r w:rsidRPr="005D1FE6">
              <w:t>Dostęp do terytorium</w:t>
            </w:r>
          </w:p>
        </w:tc>
        <w:tc>
          <w:tcPr>
            <w:tcW w:w="6090" w:type="dxa"/>
          </w:tcPr>
          <w:p w:rsidR="002C2BC3" w:rsidRPr="005D1FE6" w:rsidRDefault="002C2BC3" w:rsidP="00A31037">
            <w:pPr>
              <w:spacing w:line="276" w:lineRule="auto"/>
              <w:jc w:val="left"/>
            </w:pPr>
            <w:r w:rsidRPr="005D1FE6">
              <w:t>Regulowany przez rząd, uwzględnia członkostwo w UE, strefę Schengen, politykę wizową i legalizację pobytu.</w:t>
            </w:r>
          </w:p>
        </w:tc>
      </w:tr>
      <w:tr w:rsidR="002C2BC3" w:rsidRPr="005D1FE6" w:rsidTr="00442AFE">
        <w:tc>
          <w:tcPr>
            <w:tcW w:w="2972" w:type="dxa"/>
          </w:tcPr>
          <w:p w:rsidR="002C2BC3" w:rsidRPr="005D1FE6" w:rsidRDefault="002C2BC3" w:rsidP="00A31037">
            <w:pPr>
              <w:spacing w:line="276" w:lineRule="auto"/>
              <w:jc w:val="left"/>
            </w:pPr>
            <w:r w:rsidRPr="005D1FE6">
              <w:t>Ochrona granicy</w:t>
            </w:r>
          </w:p>
        </w:tc>
        <w:tc>
          <w:tcPr>
            <w:tcW w:w="6090" w:type="dxa"/>
          </w:tcPr>
          <w:p w:rsidR="002C2BC3" w:rsidRPr="005D1FE6" w:rsidRDefault="002C2BC3" w:rsidP="00A31037">
            <w:pPr>
              <w:spacing w:line="276" w:lineRule="auto"/>
              <w:jc w:val="left"/>
            </w:pPr>
            <w:r w:rsidRPr="005D1FE6">
              <w:t>Zapobieganie nielegalnej imigracji, ochrona migrantów, przeciwdziałanie handlowi ludźmi.</w:t>
            </w:r>
          </w:p>
        </w:tc>
      </w:tr>
      <w:tr w:rsidR="002C2BC3" w:rsidRPr="005D1FE6" w:rsidTr="00442AFE">
        <w:tc>
          <w:tcPr>
            <w:tcW w:w="2972" w:type="dxa"/>
          </w:tcPr>
          <w:p w:rsidR="002C2BC3" w:rsidRPr="005D1FE6" w:rsidRDefault="002C2BC3" w:rsidP="00A31037">
            <w:pPr>
              <w:spacing w:line="276" w:lineRule="auto"/>
              <w:jc w:val="left"/>
            </w:pPr>
            <w:r w:rsidRPr="005D1FE6">
              <w:t>Ochrona krajowa i międzynarodowa</w:t>
            </w:r>
          </w:p>
        </w:tc>
        <w:tc>
          <w:tcPr>
            <w:tcW w:w="6090" w:type="dxa"/>
          </w:tcPr>
          <w:p w:rsidR="002C2BC3" w:rsidRPr="005D1FE6" w:rsidRDefault="002C2BC3" w:rsidP="00A31037">
            <w:pPr>
              <w:spacing w:line="276" w:lineRule="auto"/>
              <w:jc w:val="left"/>
            </w:pPr>
            <w:r w:rsidRPr="005D1FE6">
              <w:t>Zmiana podejścia do przyznawania azylu, kontrola parlamentarna, ochrona grup wrażliwych.</w:t>
            </w:r>
          </w:p>
        </w:tc>
      </w:tr>
      <w:tr w:rsidR="002C2BC3" w:rsidRPr="005D1FE6" w:rsidTr="00442AFE">
        <w:tc>
          <w:tcPr>
            <w:tcW w:w="2972" w:type="dxa"/>
          </w:tcPr>
          <w:p w:rsidR="002C2BC3" w:rsidRPr="005D1FE6" w:rsidRDefault="002C2BC3" w:rsidP="00A31037">
            <w:pPr>
              <w:spacing w:line="276" w:lineRule="auto"/>
              <w:jc w:val="left"/>
            </w:pPr>
            <w:r w:rsidRPr="005D1FE6">
              <w:t>Rynek pracy</w:t>
            </w:r>
          </w:p>
        </w:tc>
        <w:tc>
          <w:tcPr>
            <w:tcW w:w="6090" w:type="dxa"/>
          </w:tcPr>
          <w:p w:rsidR="002C2BC3" w:rsidRPr="005D1FE6" w:rsidRDefault="002C2BC3" w:rsidP="00A31037">
            <w:pPr>
              <w:spacing w:line="276" w:lineRule="auto"/>
              <w:jc w:val="left"/>
            </w:pPr>
            <w:r w:rsidRPr="005D1FE6">
              <w:t>Bezpieczna i kontrolowana imigracja zarobkowa, współpraca z</w:t>
            </w:r>
            <w:r w:rsidR="003405A0">
              <w:t> </w:t>
            </w:r>
            <w:r w:rsidRPr="005D1FE6">
              <w:t>pracodawcami, ochrona rynku pracy.</w:t>
            </w:r>
          </w:p>
        </w:tc>
      </w:tr>
      <w:tr w:rsidR="002C2BC3" w:rsidRPr="005D1FE6" w:rsidTr="00442AFE">
        <w:tc>
          <w:tcPr>
            <w:tcW w:w="2972" w:type="dxa"/>
          </w:tcPr>
          <w:p w:rsidR="002C2BC3" w:rsidRPr="005D1FE6" w:rsidRDefault="002C2BC3" w:rsidP="00A31037">
            <w:pPr>
              <w:spacing w:line="276" w:lineRule="auto"/>
              <w:jc w:val="left"/>
            </w:pPr>
            <w:r w:rsidRPr="005D1FE6">
              <w:t>Wizy studenckie</w:t>
            </w:r>
          </w:p>
        </w:tc>
        <w:tc>
          <w:tcPr>
            <w:tcW w:w="6090" w:type="dxa"/>
          </w:tcPr>
          <w:p w:rsidR="002C2BC3" w:rsidRPr="005D1FE6" w:rsidRDefault="002C2BC3" w:rsidP="00A31037">
            <w:pPr>
              <w:spacing w:line="276" w:lineRule="auto"/>
              <w:jc w:val="left"/>
            </w:pPr>
            <w:r w:rsidRPr="005D1FE6">
              <w:t>Uszczelnienie systemu, rozwój szkolnictwa wyższego, obecność cudzoziemców wśród kadry akademickiej.</w:t>
            </w:r>
          </w:p>
        </w:tc>
      </w:tr>
      <w:tr w:rsidR="002C2BC3" w:rsidRPr="005D1FE6" w:rsidTr="00442AFE">
        <w:tc>
          <w:tcPr>
            <w:tcW w:w="2972" w:type="dxa"/>
          </w:tcPr>
          <w:p w:rsidR="002C2BC3" w:rsidRPr="005D1FE6" w:rsidRDefault="002C2BC3" w:rsidP="00A31037">
            <w:pPr>
              <w:spacing w:line="276" w:lineRule="auto"/>
              <w:jc w:val="left"/>
            </w:pPr>
            <w:r w:rsidRPr="005D1FE6">
              <w:t>Polityka integracyjna</w:t>
            </w:r>
          </w:p>
        </w:tc>
        <w:tc>
          <w:tcPr>
            <w:tcW w:w="6090" w:type="dxa"/>
          </w:tcPr>
          <w:p w:rsidR="002C2BC3" w:rsidRPr="005D1FE6" w:rsidRDefault="002C2BC3" w:rsidP="00A31037">
            <w:pPr>
              <w:spacing w:line="276" w:lineRule="auto"/>
              <w:jc w:val="left"/>
            </w:pPr>
            <w:r w:rsidRPr="005D1FE6">
              <w:t>Dostosowanie cudzoziemców do norm społecznych, aktywna polityka integracyjna, unikanie konfliktów.</w:t>
            </w:r>
          </w:p>
        </w:tc>
      </w:tr>
      <w:tr w:rsidR="002C2BC3" w:rsidRPr="005D1FE6" w:rsidTr="00442AFE">
        <w:tc>
          <w:tcPr>
            <w:tcW w:w="2972" w:type="dxa"/>
          </w:tcPr>
          <w:p w:rsidR="002C2BC3" w:rsidRPr="005D1FE6" w:rsidRDefault="002C2BC3" w:rsidP="00A31037">
            <w:pPr>
              <w:spacing w:line="276" w:lineRule="auto"/>
              <w:jc w:val="left"/>
            </w:pPr>
            <w:r w:rsidRPr="005D1FE6">
              <w:t>Obywatelstwo polskie</w:t>
            </w:r>
          </w:p>
        </w:tc>
        <w:tc>
          <w:tcPr>
            <w:tcW w:w="6090" w:type="dxa"/>
          </w:tcPr>
          <w:p w:rsidR="002C2BC3" w:rsidRPr="005D1FE6" w:rsidRDefault="002C2BC3" w:rsidP="00A31037">
            <w:pPr>
              <w:spacing w:line="276" w:lineRule="auto"/>
              <w:jc w:val="left"/>
            </w:pPr>
            <w:r w:rsidRPr="005D1FE6">
              <w:t>Zintegrowanie w społeczeństwie, znajomość języka polskiego, respektowanie norm.</w:t>
            </w:r>
          </w:p>
        </w:tc>
      </w:tr>
      <w:tr w:rsidR="002C2BC3" w:rsidRPr="005D1FE6" w:rsidTr="00442AFE">
        <w:tc>
          <w:tcPr>
            <w:tcW w:w="2972" w:type="dxa"/>
          </w:tcPr>
          <w:p w:rsidR="002C2BC3" w:rsidRPr="005D1FE6" w:rsidRDefault="002C2BC3" w:rsidP="00A31037">
            <w:pPr>
              <w:spacing w:line="276" w:lineRule="auto"/>
              <w:jc w:val="left"/>
            </w:pPr>
            <w:r w:rsidRPr="005D1FE6">
              <w:lastRenderedPageBreak/>
              <w:t>Polska diaspora</w:t>
            </w:r>
          </w:p>
        </w:tc>
        <w:tc>
          <w:tcPr>
            <w:tcW w:w="6090" w:type="dxa"/>
          </w:tcPr>
          <w:p w:rsidR="002C2BC3" w:rsidRPr="005D1FE6" w:rsidRDefault="002C2BC3" w:rsidP="00A31037">
            <w:pPr>
              <w:spacing w:line="276" w:lineRule="auto"/>
              <w:jc w:val="left"/>
            </w:pPr>
            <w:r w:rsidRPr="005D1FE6">
              <w:t xml:space="preserve">Promocja nauczania języka polskiego, programy </w:t>
            </w:r>
            <w:proofErr w:type="spellStart"/>
            <w:r w:rsidRPr="005D1FE6">
              <w:t>powrotowe</w:t>
            </w:r>
            <w:proofErr w:type="spellEnd"/>
            <w:r w:rsidRPr="005D1FE6">
              <w:t>, podtrzymywanie związków z Polską.</w:t>
            </w:r>
          </w:p>
        </w:tc>
      </w:tr>
    </w:tbl>
    <w:p w:rsidR="002C2BC3" w:rsidRDefault="002C2BC3" w:rsidP="00D62CBB">
      <w:pPr>
        <w:pStyle w:val="rdo"/>
      </w:pPr>
      <w:r>
        <w:t xml:space="preserve">Źródło: opracowanie własne na podstawie założeń </w:t>
      </w:r>
      <w:r w:rsidRPr="00C572E1">
        <w:t>Strategi</w:t>
      </w:r>
      <w:r>
        <w:t>i</w:t>
      </w:r>
      <w:r w:rsidRPr="00C572E1">
        <w:t xml:space="preserve"> Migracyjn</w:t>
      </w:r>
      <w:r>
        <w:t>ej</w:t>
      </w:r>
      <w:r w:rsidRPr="00C572E1">
        <w:t xml:space="preserve"> Polski na lata 2025–2030</w:t>
      </w:r>
      <w:r w:rsidR="0013615C">
        <w:t xml:space="preserve"> (dostęp 30.01.2025)</w:t>
      </w:r>
    </w:p>
    <w:p w:rsidR="00820056" w:rsidRDefault="00D932A8" w:rsidP="002C2BC3">
      <w:pPr>
        <w:spacing w:after="160"/>
      </w:pPr>
      <w:r>
        <w:t>Uwzględniając</w:t>
      </w:r>
      <w:r w:rsidR="002C2BC3">
        <w:t xml:space="preserve"> potencjały i prognozy rozwoju </w:t>
      </w:r>
      <w:proofErr w:type="spellStart"/>
      <w:r w:rsidR="002C2BC3">
        <w:t>WrOF</w:t>
      </w:r>
      <w:proofErr w:type="spellEnd"/>
      <w:r w:rsidR="001F53C1">
        <w:t>,</w:t>
      </w:r>
      <w:r w:rsidR="002C2BC3">
        <w:t xml:space="preserve"> napływ migrantów do </w:t>
      </w:r>
      <w:proofErr w:type="spellStart"/>
      <w:r w:rsidR="002C2BC3">
        <w:t>WrOF</w:t>
      </w:r>
      <w:proofErr w:type="spellEnd"/>
      <w:r w:rsidR="002C2BC3">
        <w:t xml:space="preserve"> należy uznać za szansę rozwoju. Niemniej otwarcie się Polski na napływ migrantów niesie za sobą również zagrożenia, głównie wynikające z nieudanej integracji społeczno-kulturowej</w:t>
      </w:r>
      <w:r w:rsidR="009E5DAE">
        <w:t xml:space="preserve"> oraz związane z zagrożeniami dla bezpieczeństwa publicznego.</w:t>
      </w:r>
      <w:r w:rsidR="002C2BC3">
        <w:t xml:space="preserve"> </w:t>
      </w:r>
    </w:p>
    <w:p w:rsidR="00AC3D67" w:rsidRDefault="002C2BC3" w:rsidP="002C2BC3">
      <w:pPr>
        <w:spacing w:after="160"/>
      </w:pPr>
      <w:r>
        <w:t xml:space="preserve">Napływ migrantów do </w:t>
      </w:r>
      <w:proofErr w:type="spellStart"/>
      <w:r>
        <w:t>WrOF</w:t>
      </w:r>
      <w:proofErr w:type="spellEnd"/>
      <w:r>
        <w:t xml:space="preserve"> należy postrzegać jako szansę</w:t>
      </w:r>
      <w:r w:rsidR="00AC3D67">
        <w:t>,</w:t>
      </w:r>
      <w:r>
        <w:t xml:space="preserve"> w pierwszej kolejności dla sektora gospodarczego, zarówno sektora usługowego i przemysłowego. Już dziś </w:t>
      </w:r>
      <w:r w:rsidR="00BE036E">
        <w:t xml:space="preserve">znaczący odsetek pracujących we </w:t>
      </w:r>
      <w:proofErr w:type="spellStart"/>
      <w:r w:rsidR="00BE036E">
        <w:t>WrOF</w:t>
      </w:r>
      <w:proofErr w:type="spellEnd"/>
      <w:r w:rsidR="00BE036E">
        <w:t xml:space="preserve"> stanowią migranci.</w:t>
      </w:r>
      <w:r w:rsidR="00396875">
        <w:t xml:space="preserve"> Wg danych GUS na koniec sierpnia 2024 r. pracę w Polsce wykonywało ponad milion cudzoziemców, co stanowiło </w:t>
      </w:r>
      <w:r w:rsidR="00AC3D67" w:rsidRPr="00AC3D67">
        <w:t>6,5%</w:t>
      </w:r>
      <w:r w:rsidR="00396875">
        <w:t xml:space="preserve"> ogółu pracujących</w:t>
      </w:r>
      <w:r w:rsidR="00565B20">
        <w:t>. O</w:t>
      </w:r>
      <w:r w:rsidR="00AC3D67" w:rsidRPr="00AC3D67">
        <w:t>bcokrajowcy wykonujący pracę pochodzili z ponad 150 państw.</w:t>
      </w:r>
      <w:r w:rsidR="00396875">
        <w:t xml:space="preserve"> Prawie 70% stanowiły osoby narodowości ukraińskiej</w:t>
      </w:r>
      <w:r w:rsidR="001D6CC8">
        <w:t>, a następnie z udziałem ponad 10% osoby narodowości białoruskiej. Dolny Śląsk, po regionie Warszawskim Stołecznym, był na drugim miejscu w kraju pod względem liczby pracujących cudzoziemców. Ze statystyk GUS wynika, że na koniec sierpnia</w:t>
      </w:r>
      <w:r w:rsidR="001F53C1">
        <w:t xml:space="preserve"> 2024 r.</w:t>
      </w:r>
      <w:r w:rsidR="001D6CC8">
        <w:t xml:space="preserve"> było to łącznie 119,5 tys. osób, z przewagą mężczyzn (66,7 tys.). W stosunku do stycznia 2022 r. liczba pracujących obcokrajowców zwiększyła się o ponad 30%. W powiatach </w:t>
      </w:r>
      <w:proofErr w:type="spellStart"/>
      <w:r w:rsidR="001D6CC8">
        <w:t>WrOF</w:t>
      </w:r>
      <w:proofErr w:type="spellEnd"/>
      <w:r w:rsidR="001D6CC8">
        <w:t xml:space="preserve"> notowano jedne z</w:t>
      </w:r>
      <w:r w:rsidR="00565B20">
        <w:t> </w:t>
      </w:r>
      <w:r w:rsidR="001D6CC8">
        <w:t>najwyższych w skali kraju odsetków zatrudnienia obcokrajowców. W powiecie oławskim pracujący obcokrajowy stanowili aż 16,1% ogółu pracujących</w:t>
      </w:r>
      <w:r w:rsidR="00D932A8">
        <w:t>,</w:t>
      </w:r>
      <w:r w:rsidR="001D6CC8">
        <w:t xml:space="preserve"> a we Wrocławiu 15,9% (dane GUS z grudnia 2023 r.).</w:t>
      </w:r>
    </w:p>
    <w:p w:rsidR="0070438F" w:rsidRDefault="00565B20" w:rsidP="002C2BC3">
      <w:pPr>
        <w:spacing w:after="160"/>
      </w:pPr>
      <w:r>
        <w:t xml:space="preserve">Wrocław to rozwinięty ośrodek akademicki. </w:t>
      </w:r>
      <w:r w:rsidR="003C0F2E">
        <w:t>Funkcjonuje t</w:t>
      </w:r>
      <w:r w:rsidR="001F53C1">
        <w:t>u</w:t>
      </w:r>
      <w:r w:rsidR="003C0F2E">
        <w:t xml:space="preserve"> ponad 20 wyższych uczelni, zarówno publicznych, jak też niepublicznych. Wg danych GUS na koniec 2023 r. we Wrocławiu studiowało 106 116 osób. Dla porównania w 2013 r. studiowało tu 125 809 osób</w:t>
      </w:r>
      <w:r w:rsidR="00D932A8">
        <w:t>.</w:t>
      </w:r>
      <w:r w:rsidR="003C0F2E">
        <w:t xml:space="preserve"> </w:t>
      </w:r>
      <w:r w:rsidR="00D932A8">
        <w:t>Ubyło zatem</w:t>
      </w:r>
      <w:r w:rsidR="003C0F2E">
        <w:t xml:space="preserve"> </w:t>
      </w:r>
      <w:r w:rsidR="00EF634B">
        <w:t xml:space="preserve">15,7% </w:t>
      </w:r>
      <w:r w:rsidR="00D932A8">
        <w:t>studentów</w:t>
      </w:r>
      <w:r w:rsidR="00EF634B">
        <w:t>. Podobny trend obserwowano w kraju. W tym czasie liczba osób studiujących zmniejszyła się o 19,7%. Prognozuje się, iż w związku ze zmniejszaniem się liczby młodych osób w kraju, spadać będzie również liczba osób studiujących. Wzrośnie zatem konkurencja o</w:t>
      </w:r>
      <w:r w:rsidR="00D932A8">
        <w:t> </w:t>
      </w:r>
      <w:r w:rsidR="00EF634B">
        <w:t xml:space="preserve">studentów pomiędzy ośrodkami akademickimi w kraju. Konkurencja o zasoby ludzkie wykraczać będzie poza granice kraju, czego przykłady daje diagnoza porównawcza </w:t>
      </w:r>
      <w:proofErr w:type="spellStart"/>
      <w:r w:rsidR="00EF634B">
        <w:t>WrOF</w:t>
      </w:r>
      <w:proofErr w:type="spellEnd"/>
      <w:r w:rsidR="00EF634B">
        <w:t xml:space="preserve"> z</w:t>
      </w:r>
      <w:r w:rsidR="00D932A8">
        <w:t> </w:t>
      </w:r>
      <w:r w:rsidR="00EF634B">
        <w:t>obszarami funkcjonalnymi Brna i Drezna.</w:t>
      </w:r>
      <w:r w:rsidR="00BE6298">
        <w:t xml:space="preserve"> </w:t>
      </w:r>
    </w:p>
    <w:p w:rsidR="00EF634B" w:rsidRDefault="00BE6298" w:rsidP="002C2BC3">
      <w:pPr>
        <w:spacing w:after="160"/>
      </w:pPr>
      <w:r>
        <w:t xml:space="preserve">Wg danych </w:t>
      </w:r>
      <w:r w:rsidR="0070438F">
        <w:t xml:space="preserve">Raportu </w:t>
      </w:r>
      <w:r w:rsidR="0070438F" w:rsidRPr="0070438F">
        <w:t>Cudzoziemcy na uczelniach w</w:t>
      </w:r>
      <w:r w:rsidR="0070438F">
        <w:t> </w:t>
      </w:r>
      <w:r w:rsidR="0070438F" w:rsidRPr="0070438F">
        <w:t>Polsce Raport 2022</w:t>
      </w:r>
      <w:r w:rsidR="0070438F">
        <w:rPr>
          <w:rStyle w:val="Odwoanieprzypisudolnego"/>
        </w:rPr>
        <w:footnoteReference w:id="2"/>
      </w:r>
      <w:r w:rsidR="00F160C3">
        <w:t xml:space="preserve"> n</w:t>
      </w:r>
      <w:r>
        <w:t>a Dolnym Śląsku w</w:t>
      </w:r>
      <w:r w:rsidR="00F160C3">
        <w:t> </w:t>
      </w:r>
      <w:r>
        <w:t>2022</w:t>
      </w:r>
      <w:r w:rsidR="00F160C3">
        <w:t> r.</w:t>
      </w:r>
      <w:r>
        <w:t xml:space="preserve"> 7,9% studiujących było cudzoziemcami. Wyższy udział odnotowano w województwach lubelskim </w:t>
      </w:r>
      <w:r>
        <w:lastRenderedPageBreak/>
        <w:t>(14,4%), opolskim (13,5%), mazowieckim (12,3%). Największą liczbą studentów cudzoziemców we Wrocławiu mogły się pochwalić Uniwersytet Wrocławski (1473 osoby) oraz Wyższa Szkoła Bankowa we Wrocławiu (1450</w:t>
      </w:r>
      <w:r w:rsidR="000055C4">
        <w:t xml:space="preserve"> osoby</w:t>
      </w:r>
      <w:r>
        <w:t>). Prawie połowę studiujących cudzoziemców w</w:t>
      </w:r>
      <w:r w:rsidR="00F160C3">
        <w:t> </w:t>
      </w:r>
      <w:r>
        <w:t xml:space="preserve">Polsce stanowiły osoby narodowości ukraińskiej. Niemniej można tu spotkać grupy z różnych zakątków świata, </w:t>
      </w:r>
      <w:r w:rsidRPr="00BE6298">
        <w:t>zarówno z Europy, Azji, jak i Afryki.</w:t>
      </w:r>
      <w:r>
        <w:t xml:space="preserve"> Do najbardziej popularnych kierunków studiów w Polsce wśród cudzoziemców należ</w:t>
      </w:r>
      <w:r w:rsidR="00F160C3">
        <w:t>ały</w:t>
      </w:r>
      <w:r>
        <w:t xml:space="preserve"> w kolejności: zarządzanie, informatyka, kierunek lekarski.</w:t>
      </w:r>
    </w:p>
    <w:p w:rsidR="0070438F" w:rsidRDefault="0070438F" w:rsidP="0070438F">
      <w:pPr>
        <w:spacing w:after="160"/>
      </w:pPr>
      <w:r>
        <w:t xml:space="preserve">Istotnym kierunkiem </w:t>
      </w:r>
      <w:proofErr w:type="spellStart"/>
      <w:r>
        <w:t>umiędzynarodowiania</w:t>
      </w:r>
      <w:proofErr w:type="spellEnd"/>
      <w:r>
        <w:t xml:space="preserve"> polskiej nauki jest przyciąganie wysoko wykwalifikowanej kadry naukowej z zagranicy. Wg danych Raportu </w:t>
      </w:r>
      <w:r w:rsidRPr="0070438F">
        <w:t>Cudzoziemcy na uczelniach w</w:t>
      </w:r>
      <w:r>
        <w:t> </w:t>
      </w:r>
      <w:r w:rsidRPr="0070438F">
        <w:t>Polsce Raport 2022</w:t>
      </w:r>
      <w:r>
        <w:t xml:space="preserve">, poziom </w:t>
      </w:r>
      <w:proofErr w:type="spellStart"/>
      <w:r>
        <w:t>umiędzynarodowiania</w:t>
      </w:r>
      <w:proofErr w:type="spellEnd"/>
      <w:r>
        <w:t xml:space="preserve"> na polskich uczelniach wynosił 2,7%. Uniwersytet Wrocław</w:t>
      </w:r>
      <w:r w:rsidR="00C81A0B">
        <w:t>s</w:t>
      </w:r>
      <w:r>
        <w:t xml:space="preserve">ki ze wskaźnikiem 4,5% był na czwartym miejscu pod względem umiędzynarodowienia spośród polskich uczelni. Politechnika Wrocławska ze wskaźnikiem 2,6% </w:t>
      </w:r>
      <w:r w:rsidR="00F160C3">
        <w:t>uplasowała się</w:t>
      </w:r>
      <w:r>
        <w:t xml:space="preserve"> na dziewiątym miejscu.</w:t>
      </w:r>
    </w:p>
    <w:p w:rsidR="00F83836" w:rsidRDefault="00EF634B" w:rsidP="000B5BE5">
      <w:pPr>
        <w:spacing w:after="160"/>
      </w:pPr>
      <w:r>
        <w:t xml:space="preserve">Dla podtrzymania konkurencyjności gospodarki i potencjału kadr na rynku pracy </w:t>
      </w:r>
      <w:proofErr w:type="spellStart"/>
      <w:r>
        <w:t>WrOF</w:t>
      </w:r>
      <w:proofErr w:type="spellEnd"/>
      <w:r>
        <w:t>, promowanie Wrocławia i jego potencjału akademickiego, należy traktować jako jedno z ważny</w:t>
      </w:r>
      <w:r w:rsidR="00D7305A">
        <w:t>ch</w:t>
      </w:r>
      <w:r>
        <w:t xml:space="preserve"> wyzwań rozwojowych. </w:t>
      </w:r>
      <w:r w:rsidR="00565B20">
        <w:t xml:space="preserve">W tym kontekście </w:t>
      </w:r>
      <w:r w:rsidR="000B5BE5">
        <w:t xml:space="preserve">politykę migracyjną kraju, która wspiera rozwój szkolnictwa wyższego należy traktować jako szansę rozwoju </w:t>
      </w:r>
      <w:proofErr w:type="spellStart"/>
      <w:r w:rsidR="000B5BE5">
        <w:t>WrOF</w:t>
      </w:r>
      <w:proofErr w:type="spellEnd"/>
      <w:r w:rsidR="000B5BE5">
        <w:t>.</w:t>
      </w:r>
      <w:r w:rsidR="001F53C1">
        <w:t xml:space="preserve"> </w:t>
      </w:r>
      <w:r w:rsidR="00D7305A">
        <w:t xml:space="preserve">W uzupełnieniu warto dodać, iż </w:t>
      </w:r>
      <w:r w:rsidR="00942D81" w:rsidRPr="00942D81">
        <w:t>5 listopada 2024 roku</w:t>
      </w:r>
      <w:r w:rsidR="00942D81">
        <w:t xml:space="preserve"> wrocławskie uczelnie wyższe przyjęły wspólny „</w:t>
      </w:r>
      <w:r w:rsidR="00942D81" w:rsidRPr="00942D81">
        <w:t>Manifest Akademickiego Wrocławia</w:t>
      </w:r>
      <w:r w:rsidR="00942D81">
        <w:t>”. W tym ramowy</w:t>
      </w:r>
      <w:r w:rsidR="00F160C3">
        <w:t>m</w:t>
      </w:r>
      <w:r w:rsidR="00942D81">
        <w:t xml:space="preserve"> dokumencie podkreśliły potrzebę umacniania pozycji Wrocławia jako wiodącego centrum intelektu i kultury, w tym również potrzebę tworzenia atmosfery i warunków do przyciągania talentów z całego świata.</w:t>
      </w:r>
    </w:p>
    <w:p w:rsidR="00A64898" w:rsidRPr="000B5BE5" w:rsidRDefault="00A64898" w:rsidP="000B5BE5">
      <w:pPr>
        <w:spacing w:after="160"/>
      </w:pPr>
      <w:r>
        <w:br w:type="page"/>
      </w:r>
    </w:p>
    <w:p w:rsidR="00AD3564" w:rsidRPr="00AD3564" w:rsidRDefault="008B55DE" w:rsidP="008B55DE">
      <w:pPr>
        <w:pStyle w:val="Nagwek2"/>
        <w:numPr>
          <w:ilvl w:val="0"/>
          <w:numId w:val="0"/>
        </w:numPr>
        <w:ind w:left="993" w:hanging="851"/>
      </w:pPr>
      <w:bookmarkStart w:id="25" w:name="_Toc196905124"/>
      <w:r>
        <w:lastRenderedPageBreak/>
        <w:t xml:space="preserve">2.3. </w:t>
      </w:r>
      <w:r w:rsidR="00AD3564" w:rsidRPr="00AD3564">
        <w:t>Zdrowie</w:t>
      </w:r>
      <w:r w:rsidR="008E2583">
        <w:t xml:space="preserve"> Polaków</w:t>
      </w:r>
      <w:bookmarkEnd w:id="25"/>
    </w:p>
    <w:p w:rsidR="00AD3564" w:rsidRDefault="00AD3564" w:rsidP="00AD3564">
      <w:pPr>
        <w:spacing w:after="160"/>
      </w:pPr>
      <w:r>
        <w:t>Starzenie się ludności jest w Polsce silnie skorelowane ze stanem zdrowia. Ogółem stan zdrowia Polaków, którego wypadkową jest m. in. długość życia, jest gorszy niż w wielu europejskich krajach. Wynika to z kilku czynników, takich jak aktywność fizyczna, stan środowiska, dostęp do opieki zdrowotnej, profilaktyka zdrowia. Wraz ze starzeniem się społeczeństwa w Polsce widoczne będzie coraz większe obciążenie usług opieki zdrowotnej i</w:t>
      </w:r>
      <w:r w:rsidR="001F53C1">
        <w:t> </w:t>
      </w:r>
      <w:r>
        <w:t>społecznej. Wpływać to będzie również na aktywność zawodową i pogłębiać deficyt kadr na rynku pracy.</w:t>
      </w:r>
    </w:p>
    <w:p w:rsidR="001F53C1" w:rsidRDefault="001F53C1" w:rsidP="001F53C1">
      <w:r w:rsidRPr="001F53C1">
        <w:t>Prognoza Narodowego Funduszu Zdrowia</w:t>
      </w:r>
      <w:r w:rsidR="003405A0">
        <w:t xml:space="preserve"> ujęta w opracowaniu pod tytułem „Z</w:t>
      </w:r>
      <w:r w:rsidR="003405A0" w:rsidRPr="00715133">
        <w:t>drowa przyszłość ramy strategiczne rozwoju systemu ochrony zdrowia na lata 2021–2027, z</w:t>
      </w:r>
      <w:r w:rsidR="003405A0">
        <w:t> </w:t>
      </w:r>
      <w:r w:rsidR="003405A0" w:rsidRPr="00715133">
        <w:t>perspektywą do 2030</w:t>
      </w:r>
      <w:r w:rsidR="003405A0">
        <w:t> </w:t>
      </w:r>
      <w:proofErr w:type="spellStart"/>
      <w:r w:rsidR="003405A0" w:rsidRPr="00715133">
        <w:t>r</w:t>
      </w:r>
      <w:proofErr w:type="spellEnd"/>
      <w:r w:rsidR="003405A0">
        <w:t>”,</w:t>
      </w:r>
      <w:r w:rsidRPr="001F53C1">
        <w:t xml:space="preserve"> wskaz</w:t>
      </w:r>
      <w:r w:rsidR="00D932A8">
        <w:t>uje</w:t>
      </w:r>
      <w:r w:rsidRPr="001F53C1">
        <w:t xml:space="preserve">, że w przeciągu najbliższych kilkunastu lat zmiany demograficzne w Polsce zwiększą zapotrzebowanie na świadczenia szpitalne, </w:t>
      </w:r>
      <w:r w:rsidRPr="00A74B64">
        <w:t>z</w:t>
      </w:r>
      <w:r>
        <w:t> </w:t>
      </w:r>
      <w:r w:rsidRPr="00A74B64">
        <w:t>których korzystać będzie starsza część populacji. Dotyczyć to będzie w szczególności leczenia na oddziałach internistycznych, kardiologicznych i</w:t>
      </w:r>
      <w:r w:rsidR="002C2800">
        <w:t> </w:t>
      </w:r>
      <w:r w:rsidRPr="00A74B64">
        <w:t>chirurgicznych, a także w zakresie okulistyki (głównie w zakresie usunięcia zaćmy). Jednocześnie w sytuacji zmniejszenia populacji dzieci i</w:t>
      </w:r>
      <w:r>
        <w:t> </w:t>
      </w:r>
      <w:r w:rsidRPr="00A74B64">
        <w:t>młodzieży, zmniejszy się zapotrzebowanie na świadczenia szpitalne im dedykowane – pediatrię, neonatologię, chirurgię dziecięcą i</w:t>
      </w:r>
      <w:r w:rsidR="002C2800">
        <w:t> </w:t>
      </w:r>
      <w:r w:rsidRPr="00A74B64">
        <w:t>otolaryngologię. Istotnie zmniejszy się zapotrzebowani</w:t>
      </w:r>
      <w:r w:rsidR="00C81A0B">
        <w:t>e</w:t>
      </w:r>
      <w:r w:rsidRPr="00A74B64">
        <w:t xml:space="preserve"> na hospitalizacje położniczo ginekologiczne.</w:t>
      </w:r>
    </w:p>
    <w:p w:rsidR="001F53C1" w:rsidRPr="001F53C1" w:rsidRDefault="001F53C1" w:rsidP="001F53C1">
      <w:r w:rsidRPr="001F53C1">
        <w:t>W ocenie autorów Prognozy korzystania ze świadczeń szpitalnych finansowanych przez Narodowy Fundusz Zdrowia w kontekście zmian demograficznych w Polsce, dalszej analizie powinny podlegać zasoby lecznictwa stacjonarnego, szczególnie w zakresie zapotrzebowania na personel medyczny poszczególnych zawodów i specjalności w kontekście zmian demograficznych (dotyczących także tego personelu).</w:t>
      </w:r>
      <w:r w:rsidR="00F83836">
        <w:rPr>
          <w:rStyle w:val="Odwoanieprzypisudolnego"/>
        </w:rPr>
        <w:footnoteReference w:id="3"/>
      </w:r>
    </w:p>
    <w:p w:rsidR="00DD12D7" w:rsidRDefault="00DD12D7" w:rsidP="007F7C70">
      <w:pPr>
        <w:spacing w:after="160"/>
      </w:pPr>
      <w:r>
        <w:t xml:space="preserve">Prognoza demograficzna dla </w:t>
      </w:r>
      <w:proofErr w:type="spellStart"/>
      <w:r>
        <w:t>WrOF</w:t>
      </w:r>
      <w:proofErr w:type="spellEnd"/>
      <w:r>
        <w:t xml:space="preserve"> wskazuje na wzrost liczby mieszkańców starszych kategorii grup wieku. Ludność w wieku pow. 60 roku życia zwiększy się z poziomu 254 tys. w 2023 r. do około 385 tys. osób w 2053 roku. Jeszcze większy</w:t>
      </w:r>
      <w:r w:rsidR="00A113C9">
        <w:t xml:space="preserve"> procentowy</w:t>
      </w:r>
      <w:r>
        <w:t xml:space="preserve"> wzrost dotyczyć będzie kategorii wieku pow. 80 roku życia. W 2023 r. w </w:t>
      </w:r>
      <w:proofErr w:type="spellStart"/>
      <w:r>
        <w:t>WrOF</w:t>
      </w:r>
      <w:proofErr w:type="spellEnd"/>
      <w:r>
        <w:t xml:space="preserve"> liczba osób w wieku pow. 80 roku życia wynosiła prawie 44</w:t>
      </w:r>
      <w:r w:rsidR="00FD1882">
        <w:t> </w:t>
      </w:r>
      <w:r>
        <w:t>tys. W 2053 r. liczebność tej grupy wiekowej może wzrosnąć do około 82 tys. Prognoza demograficzna wskazuje przy tym na wzrost w</w:t>
      </w:r>
      <w:r w:rsidR="00251487">
        <w:t>e</w:t>
      </w:r>
      <w:r>
        <w:t xml:space="preserve"> </w:t>
      </w:r>
      <w:proofErr w:type="spellStart"/>
      <w:r>
        <w:t>WrOF</w:t>
      </w:r>
      <w:proofErr w:type="spellEnd"/>
      <w:r>
        <w:t xml:space="preserve"> udziału ludności w wieku </w:t>
      </w:r>
      <w:r w:rsidR="00D932A8">
        <w:t>po</w:t>
      </w:r>
      <w:r>
        <w:t>produkcyjnym. Udział ludności w wieku pow. 65 roku życia wzrośnie z poziomu 18,8% w 2023 r. do 23,7% w 2053</w:t>
      </w:r>
      <w:r w:rsidR="00A113C9">
        <w:t> </w:t>
      </w:r>
      <w:r>
        <w:t xml:space="preserve">r. </w:t>
      </w:r>
      <w:r>
        <w:br w:type="page"/>
      </w:r>
    </w:p>
    <w:p w:rsidR="001F53C1" w:rsidRDefault="00DD12D7" w:rsidP="003405A0">
      <w:pPr>
        <w:pStyle w:val="Legenda"/>
      </w:pPr>
      <w:bookmarkStart w:id="26" w:name="_Toc197678822"/>
      <w:r>
        <w:lastRenderedPageBreak/>
        <w:t xml:space="preserve">Wykres </w:t>
      </w:r>
      <w:r w:rsidR="00646D05">
        <w:fldChar w:fldCharType="begin"/>
      </w:r>
      <w:r>
        <w:instrText xml:space="preserve"> SEQ Wykres \* ARABIC </w:instrText>
      </w:r>
      <w:r w:rsidR="00646D05">
        <w:fldChar w:fldCharType="separate"/>
      </w:r>
      <w:r w:rsidR="0084338D">
        <w:rPr>
          <w:noProof/>
        </w:rPr>
        <w:t>8</w:t>
      </w:r>
      <w:r w:rsidR="00646D05">
        <w:fldChar w:fldCharType="end"/>
      </w:r>
      <w:r>
        <w:t>. Prognoza liczby osób pow. 60, 70 i 80 roku życia w</w:t>
      </w:r>
      <w:r w:rsidR="00251487">
        <w:t>e</w:t>
      </w:r>
      <w:r>
        <w:t xml:space="preserve"> </w:t>
      </w:r>
      <w:proofErr w:type="spellStart"/>
      <w:r>
        <w:t>WrOF</w:t>
      </w:r>
      <w:bookmarkEnd w:id="26"/>
      <w:proofErr w:type="spellEnd"/>
    </w:p>
    <w:p w:rsidR="00D7305A" w:rsidRDefault="00DD12D7" w:rsidP="00AD3564">
      <w:pPr>
        <w:spacing w:after="160"/>
      </w:pPr>
      <w:r>
        <w:rPr>
          <w:noProof/>
          <w:lang w:eastAsia="pl-PL"/>
        </w:rPr>
        <w:drawing>
          <wp:inline distT="0" distB="0" distL="0" distR="0">
            <wp:extent cx="5791200" cy="2743200"/>
            <wp:effectExtent l="0" t="0" r="0" b="0"/>
            <wp:docPr id="950986264" name="Wykres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C294BE1E-2BC2-A55A-307D-BCD6329EE4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D12D7" w:rsidRDefault="00DD12D7" w:rsidP="00D62CBB">
      <w:pPr>
        <w:pStyle w:val="rdo"/>
      </w:pPr>
      <w:r>
        <w:t>Źródło: opracowanie własne na podstawie danych wyjściowych GUS</w:t>
      </w:r>
      <w:r w:rsidR="0013615C">
        <w:t xml:space="preserve"> (dostęp 30.01.2025)</w:t>
      </w:r>
    </w:p>
    <w:p w:rsidR="00DD12D7" w:rsidRDefault="00DD12D7" w:rsidP="003405A0">
      <w:pPr>
        <w:pStyle w:val="Legenda"/>
      </w:pPr>
      <w:bookmarkStart w:id="27" w:name="_Toc197678823"/>
      <w:r>
        <w:t xml:space="preserve">Wykres </w:t>
      </w:r>
      <w:r w:rsidR="00646D05">
        <w:fldChar w:fldCharType="begin"/>
      </w:r>
      <w:r>
        <w:instrText xml:space="preserve"> SEQ Wykres \* ARABIC </w:instrText>
      </w:r>
      <w:r w:rsidR="00646D05">
        <w:fldChar w:fldCharType="separate"/>
      </w:r>
      <w:r w:rsidR="0084338D">
        <w:rPr>
          <w:noProof/>
        </w:rPr>
        <w:t>9</w:t>
      </w:r>
      <w:r w:rsidR="00646D05">
        <w:fldChar w:fldCharType="end"/>
      </w:r>
      <w:r>
        <w:t>. Prognoza liczby wybranych grup wieku w</w:t>
      </w:r>
      <w:r w:rsidR="00251487">
        <w:t xml:space="preserve">e </w:t>
      </w:r>
      <w:proofErr w:type="spellStart"/>
      <w:r>
        <w:t>WrOF</w:t>
      </w:r>
      <w:bookmarkEnd w:id="27"/>
      <w:proofErr w:type="spellEnd"/>
    </w:p>
    <w:p w:rsidR="00DD12D7" w:rsidRDefault="00DD12D7" w:rsidP="00AD3564">
      <w:pPr>
        <w:spacing w:after="160"/>
      </w:pPr>
      <w:r>
        <w:rPr>
          <w:noProof/>
          <w:lang w:eastAsia="pl-PL"/>
        </w:rPr>
        <w:drawing>
          <wp:inline distT="0" distB="0" distL="0" distR="0">
            <wp:extent cx="5762625" cy="3119120"/>
            <wp:effectExtent l="0" t="0" r="0" b="0"/>
            <wp:docPr id="1981613494" name="Wykres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4BF33464-3875-6CBC-F59B-5AC992F892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113C9" w:rsidRDefault="00A113C9" w:rsidP="00D62CBB">
      <w:pPr>
        <w:pStyle w:val="rdo"/>
      </w:pPr>
      <w:r>
        <w:t>Źródło: opracowanie własne na podstawie danych wyjściowych GUS</w:t>
      </w:r>
      <w:r w:rsidR="0013615C">
        <w:t xml:space="preserve"> (dostęp 30.01.2025)</w:t>
      </w:r>
    </w:p>
    <w:p w:rsidR="00A113C9" w:rsidRDefault="00A113C9" w:rsidP="00AD3564">
      <w:pPr>
        <w:spacing w:after="160"/>
      </w:pPr>
      <w:r>
        <w:t xml:space="preserve">Dane GUS wskazują, że do głównych przyczyn zgonów w kraju i na Dolnym Śląsku należy zaliczyć choroby układu krążenia, a następnie nowotwory. Zarówno w skali kraju, jak też w skali regionu, obserwuje się wzrost śmiertelności spowodowanej przez nowotwory, jak też choroby układu krążenia w relacji do liczby mieszkańców. Wskaźniki te skorelowane są ze strukturą wiekową. Na tle </w:t>
      </w:r>
      <w:proofErr w:type="spellStart"/>
      <w:r>
        <w:t>WrOF</w:t>
      </w:r>
      <w:proofErr w:type="spellEnd"/>
      <w:r>
        <w:t xml:space="preserve"> najniższe wskaźniki śmiertelności ogółem, jak też w powodu określonej choroby, dotyczą powiatu </w:t>
      </w:r>
      <w:r>
        <w:lastRenderedPageBreak/>
        <w:t>wrocławskiego, czyli przestrzeni, którą charakteryzowała najkorzystniejsza struktura demograficzna i stosunkowo niski udział osób starszych.</w:t>
      </w:r>
      <w:r w:rsidR="00BE4218">
        <w:t xml:space="preserve"> Warto też zwrócić uwagę na to, że ogółem na Dolnym Śląsku, jak też w powiatach obejmujących swoim zasięgiem gminy </w:t>
      </w:r>
      <w:proofErr w:type="spellStart"/>
      <w:r w:rsidR="00BE4218">
        <w:t>WrOF</w:t>
      </w:r>
      <w:proofErr w:type="spellEnd"/>
      <w:r w:rsidR="00BE4218">
        <w:t xml:space="preserve">, obserwowano na tle kraju wyższe wskaźniki zgonów, których przyczyną są choroby układu krążenia. W przestrzeni </w:t>
      </w:r>
      <w:proofErr w:type="spellStart"/>
      <w:r w:rsidR="00BE4218">
        <w:t>WrOF</w:t>
      </w:r>
      <w:proofErr w:type="spellEnd"/>
      <w:r w:rsidR="00BE4218">
        <w:t xml:space="preserve"> w 2023 r. najwyższe wskaźniki zgonów z powodu chorób układu krążenia dotyczyły powiatu oławskiego (460,1 zgonów na 100 tys. ludności) oraz Wrocławia (464,9). </w:t>
      </w:r>
    </w:p>
    <w:p w:rsidR="00272C85" w:rsidRPr="007F7C70" w:rsidRDefault="00BE4218" w:rsidP="00AD3564">
      <w:pPr>
        <w:spacing w:after="160"/>
      </w:pPr>
      <w:r w:rsidRPr="007F7C70">
        <w:t>Należy odnotować, iż poza powiatem wrocławskim</w:t>
      </w:r>
      <w:r w:rsidR="00FD1882" w:rsidRPr="007F7C70">
        <w:t xml:space="preserve">, we wszystkich powiatach obejmujących swoim zasięgiem gminy </w:t>
      </w:r>
      <w:proofErr w:type="spellStart"/>
      <w:r w:rsidR="00FD1882" w:rsidRPr="007F7C70">
        <w:t>WrOF</w:t>
      </w:r>
      <w:proofErr w:type="spellEnd"/>
      <w:r w:rsidR="00D932A8" w:rsidRPr="007F7C70">
        <w:t>,</w:t>
      </w:r>
      <w:r w:rsidRPr="007F7C70">
        <w:t xml:space="preserve"> od 2013 do 2023 r. odnotowano wzrost wskaźników zgonów z</w:t>
      </w:r>
      <w:r w:rsidR="00FD1882" w:rsidRPr="007F7C70">
        <w:t> </w:t>
      </w:r>
      <w:r w:rsidRPr="007F7C70">
        <w:t>powodu nowotworów jak też chorób układu krążenia.</w:t>
      </w:r>
      <w:r w:rsidR="00FD1882" w:rsidRPr="007F7C70">
        <w:t xml:space="preserve"> </w:t>
      </w:r>
      <w:r w:rsidR="00D932A8" w:rsidRPr="007F7C70">
        <w:t>N</w:t>
      </w:r>
      <w:r w:rsidR="00FD1882" w:rsidRPr="007F7C70">
        <w:t>a</w:t>
      </w:r>
      <w:r w:rsidR="00D932A8" w:rsidRPr="007F7C70">
        <w:t xml:space="preserve"> możliwą</w:t>
      </w:r>
      <w:r w:rsidR="00FD1882" w:rsidRPr="007F7C70">
        <w:t xml:space="preserve"> poprawę sytuacji zdrowotnej mieszkańców </w:t>
      </w:r>
      <w:proofErr w:type="spellStart"/>
      <w:r w:rsidR="00FD1882" w:rsidRPr="007F7C70">
        <w:t>WrOF</w:t>
      </w:r>
      <w:proofErr w:type="spellEnd"/>
      <w:r w:rsidR="00FD1882" w:rsidRPr="007F7C70">
        <w:t xml:space="preserve"> </w:t>
      </w:r>
      <w:r w:rsidR="00D932A8" w:rsidRPr="007F7C70">
        <w:t>wskazują dane</w:t>
      </w:r>
      <w:r w:rsidR="00FD1882" w:rsidRPr="007F7C70">
        <w:t xml:space="preserve"> dot. </w:t>
      </w:r>
      <w:r w:rsidR="00FD1882" w:rsidRPr="007F7C70">
        <w:rPr>
          <w:rFonts w:eastAsia="Times New Roman" w:cs="Calibri"/>
          <w:kern w:val="0"/>
          <w:lang w:eastAsia="pl-PL"/>
        </w:rPr>
        <w:t>zgonów osób w wieku do 65 lat z powodu chorób układu krążenia na 100 tys. mieszkańców. W tym przypadku pomiędzy 2013 a 2023 r. odnotowano spadek wskaźników śmiertelności.</w:t>
      </w:r>
    </w:p>
    <w:p w:rsidR="007F7C70" w:rsidRPr="007F7C70" w:rsidRDefault="007F7C70" w:rsidP="00AD3564">
      <w:pPr>
        <w:spacing w:after="160"/>
      </w:pPr>
    </w:p>
    <w:p w:rsidR="00272C85" w:rsidRDefault="00272C85" w:rsidP="00AD3564">
      <w:pPr>
        <w:spacing w:after="160"/>
        <w:sectPr w:rsidR="00272C85" w:rsidSect="00572FBC">
          <w:footerReference w:type="default" r:id="rId21"/>
          <w:footerReference w:type="first" r:id="rId22"/>
          <w:pgSz w:w="11906" w:h="16838"/>
          <w:pgMar w:top="1417" w:right="1417" w:bottom="1417" w:left="1417" w:header="708" w:footer="708" w:gutter="0"/>
          <w:cols w:space="708"/>
          <w:titlePg/>
          <w:docGrid w:linePitch="360"/>
        </w:sectPr>
      </w:pPr>
    </w:p>
    <w:p w:rsidR="00272C85" w:rsidRDefault="00DD12D7" w:rsidP="003405A0">
      <w:pPr>
        <w:pStyle w:val="Legenda"/>
      </w:pPr>
      <w:bookmarkStart w:id="28" w:name="_Toc196905067"/>
      <w:r>
        <w:lastRenderedPageBreak/>
        <w:t xml:space="preserve">Tabela </w:t>
      </w:r>
      <w:r w:rsidR="00646D05">
        <w:fldChar w:fldCharType="begin"/>
      </w:r>
      <w:r>
        <w:instrText xml:space="preserve"> SEQ Tabela \* ARABIC </w:instrText>
      </w:r>
      <w:r w:rsidR="00646D05">
        <w:fldChar w:fldCharType="separate"/>
      </w:r>
      <w:r w:rsidR="0084338D">
        <w:rPr>
          <w:noProof/>
        </w:rPr>
        <w:t>3</w:t>
      </w:r>
      <w:r w:rsidR="00646D05">
        <w:fldChar w:fldCharType="end"/>
      </w:r>
      <w:r>
        <w:t xml:space="preserve">. </w:t>
      </w:r>
      <w:r w:rsidR="00272C85">
        <w:t>Wybrane przyczyny zgonów w 2013 i 2023 r.</w:t>
      </w:r>
      <w:bookmarkEnd w:id="28"/>
      <w:r>
        <w:t xml:space="preserve"> </w:t>
      </w:r>
    </w:p>
    <w:tbl>
      <w:tblPr>
        <w:tblStyle w:val="Tabela-Siatka"/>
        <w:tblW w:w="5000" w:type="pct"/>
        <w:tblLook w:val="04A0"/>
      </w:tblPr>
      <w:tblGrid>
        <w:gridCol w:w="2802"/>
        <w:gridCol w:w="1402"/>
        <w:gridCol w:w="1399"/>
        <w:gridCol w:w="1399"/>
        <w:gridCol w:w="1632"/>
        <w:gridCol w:w="1396"/>
        <w:gridCol w:w="1399"/>
        <w:gridCol w:w="1396"/>
        <w:gridCol w:w="1393"/>
      </w:tblGrid>
      <w:tr w:rsidR="00272C85" w:rsidRPr="00272C85" w:rsidTr="00272C85">
        <w:trPr>
          <w:trHeight w:val="1245"/>
        </w:trPr>
        <w:tc>
          <w:tcPr>
            <w:tcW w:w="985" w:type="pct"/>
            <w:vMerge w:val="restart"/>
            <w:shd w:val="clear" w:color="auto" w:fill="000000" w:themeFill="text1"/>
          </w:tcPr>
          <w:p w:rsidR="00272C85" w:rsidRPr="00272C85" w:rsidRDefault="00272C85" w:rsidP="00272C85">
            <w:pPr>
              <w:spacing w:after="0" w:line="240" w:lineRule="auto"/>
              <w:jc w:val="left"/>
              <w:rPr>
                <w:rFonts w:ascii="Calibri" w:eastAsia="Times New Roman" w:hAnsi="Calibri" w:cs="Calibri"/>
                <w:color w:val="FFFFFF" w:themeColor="background1"/>
                <w:kern w:val="0"/>
                <w:lang w:eastAsia="pl-PL"/>
              </w:rPr>
            </w:pPr>
            <w:r w:rsidRPr="00272C85">
              <w:rPr>
                <w:rFonts w:ascii="Calibri" w:eastAsia="Times New Roman" w:hAnsi="Calibri" w:cs="Calibri"/>
                <w:color w:val="FFFFFF" w:themeColor="background1"/>
                <w:kern w:val="0"/>
                <w:lang w:eastAsia="pl-PL"/>
              </w:rPr>
              <w:t>Jednostka terytorialna</w:t>
            </w:r>
          </w:p>
        </w:tc>
        <w:tc>
          <w:tcPr>
            <w:tcW w:w="985" w:type="pct"/>
            <w:gridSpan w:val="2"/>
            <w:shd w:val="clear" w:color="auto" w:fill="F3CD42" w:themeFill="accent2"/>
            <w:hideMark/>
          </w:tcPr>
          <w:p w:rsidR="00272C85" w:rsidRPr="00272C85" w:rsidRDefault="00272C85" w:rsidP="00272C85">
            <w:pPr>
              <w:spacing w:after="0" w:line="240" w:lineRule="auto"/>
              <w:jc w:val="left"/>
              <w:rPr>
                <w:rFonts w:ascii="Calibri" w:eastAsia="Times New Roman" w:hAnsi="Calibri" w:cs="Calibri"/>
                <w:color w:val="000000"/>
                <w:kern w:val="0"/>
                <w:lang w:eastAsia="pl-PL"/>
              </w:rPr>
            </w:pPr>
            <w:r w:rsidRPr="00272C85">
              <w:rPr>
                <w:rFonts w:ascii="Calibri" w:eastAsia="Times New Roman" w:hAnsi="Calibri" w:cs="Calibri"/>
                <w:color w:val="000000"/>
                <w:kern w:val="0"/>
                <w:lang w:eastAsia="pl-PL"/>
              </w:rPr>
              <w:t>zgony ogółem na 100 tys. osób</w:t>
            </w:r>
          </w:p>
        </w:tc>
        <w:tc>
          <w:tcPr>
            <w:tcW w:w="1066" w:type="pct"/>
            <w:gridSpan w:val="2"/>
            <w:shd w:val="clear" w:color="auto" w:fill="F3CD42" w:themeFill="accent2"/>
            <w:hideMark/>
          </w:tcPr>
          <w:p w:rsidR="00272C85" w:rsidRPr="00272C85" w:rsidRDefault="00272C85" w:rsidP="00272C85">
            <w:pPr>
              <w:spacing w:after="0" w:line="240" w:lineRule="auto"/>
              <w:jc w:val="left"/>
              <w:rPr>
                <w:rFonts w:ascii="Calibri" w:eastAsia="Times New Roman" w:hAnsi="Calibri" w:cs="Calibri"/>
                <w:color w:val="000000"/>
                <w:kern w:val="0"/>
                <w:lang w:eastAsia="pl-PL"/>
              </w:rPr>
            </w:pPr>
            <w:r w:rsidRPr="00272C85">
              <w:rPr>
                <w:rFonts w:ascii="Calibri" w:eastAsia="Times New Roman" w:hAnsi="Calibri" w:cs="Calibri"/>
                <w:color w:val="000000"/>
                <w:kern w:val="0"/>
                <w:lang w:eastAsia="pl-PL"/>
              </w:rPr>
              <w:t>zgony z powodu nowotworów ogółem na 100 tys. ludności</w:t>
            </w:r>
          </w:p>
        </w:tc>
        <w:tc>
          <w:tcPr>
            <w:tcW w:w="983" w:type="pct"/>
            <w:gridSpan w:val="2"/>
            <w:shd w:val="clear" w:color="auto" w:fill="F3CD42" w:themeFill="accent2"/>
            <w:hideMark/>
          </w:tcPr>
          <w:p w:rsidR="00272C85" w:rsidRPr="00272C85" w:rsidRDefault="00272C85" w:rsidP="00272C85">
            <w:pPr>
              <w:spacing w:after="0" w:line="240" w:lineRule="auto"/>
              <w:jc w:val="left"/>
              <w:rPr>
                <w:rFonts w:ascii="Calibri" w:eastAsia="Times New Roman" w:hAnsi="Calibri" w:cs="Calibri"/>
                <w:color w:val="000000"/>
                <w:kern w:val="0"/>
                <w:lang w:eastAsia="pl-PL"/>
              </w:rPr>
            </w:pPr>
            <w:r w:rsidRPr="00272C85">
              <w:rPr>
                <w:rFonts w:ascii="Calibri" w:eastAsia="Times New Roman" w:hAnsi="Calibri" w:cs="Calibri"/>
                <w:color w:val="000000"/>
                <w:kern w:val="0"/>
                <w:lang w:eastAsia="pl-PL"/>
              </w:rPr>
              <w:t>zgony osób z powodu chorób układu krążenia na 100 tys. ludności</w:t>
            </w:r>
          </w:p>
        </w:tc>
        <w:tc>
          <w:tcPr>
            <w:tcW w:w="981" w:type="pct"/>
            <w:gridSpan w:val="2"/>
            <w:shd w:val="clear" w:color="auto" w:fill="F3CD42" w:themeFill="accent2"/>
            <w:hideMark/>
          </w:tcPr>
          <w:p w:rsidR="00272C85" w:rsidRPr="00272C85" w:rsidRDefault="00272C85" w:rsidP="00272C85">
            <w:pPr>
              <w:spacing w:after="0" w:line="240" w:lineRule="auto"/>
              <w:jc w:val="left"/>
              <w:rPr>
                <w:rFonts w:ascii="Calibri" w:eastAsia="Times New Roman" w:hAnsi="Calibri" w:cs="Calibri"/>
                <w:color w:val="000000"/>
                <w:kern w:val="0"/>
                <w:lang w:eastAsia="pl-PL"/>
              </w:rPr>
            </w:pPr>
            <w:r w:rsidRPr="00272C85">
              <w:rPr>
                <w:rFonts w:ascii="Calibri" w:eastAsia="Times New Roman" w:hAnsi="Calibri" w:cs="Calibri"/>
                <w:color w:val="000000"/>
                <w:kern w:val="0"/>
                <w:lang w:eastAsia="pl-PL"/>
              </w:rPr>
              <w:t>zgony osób w wieku do 65 lat z powodu chorób układu krążenia na 100 tys. ludności w tym wieku</w:t>
            </w:r>
          </w:p>
        </w:tc>
      </w:tr>
      <w:tr w:rsidR="00272C85" w:rsidRPr="00272C85" w:rsidTr="00272C85">
        <w:trPr>
          <w:trHeight w:val="300"/>
        </w:trPr>
        <w:tc>
          <w:tcPr>
            <w:tcW w:w="985" w:type="pct"/>
            <w:vMerge/>
            <w:shd w:val="clear" w:color="auto" w:fill="000000" w:themeFill="text1"/>
          </w:tcPr>
          <w:p w:rsidR="00272C85" w:rsidRPr="00272C85" w:rsidRDefault="00272C85" w:rsidP="00272C85">
            <w:pPr>
              <w:spacing w:after="0" w:line="240" w:lineRule="auto"/>
              <w:jc w:val="left"/>
              <w:rPr>
                <w:rFonts w:ascii="Calibri" w:eastAsia="Times New Roman" w:hAnsi="Calibri" w:cs="Calibri"/>
                <w:color w:val="FFFFFF" w:themeColor="background1"/>
                <w:kern w:val="0"/>
                <w:lang w:eastAsia="pl-PL"/>
              </w:rPr>
            </w:pPr>
          </w:p>
        </w:tc>
        <w:tc>
          <w:tcPr>
            <w:tcW w:w="493" w:type="pct"/>
            <w:hideMark/>
          </w:tcPr>
          <w:p w:rsidR="00272C85" w:rsidRPr="00272C85" w:rsidRDefault="00272C85" w:rsidP="00272C85">
            <w:pPr>
              <w:spacing w:after="0" w:line="240" w:lineRule="auto"/>
              <w:jc w:val="left"/>
              <w:rPr>
                <w:rFonts w:ascii="Calibri" w:eastAsia="Times New Roman" w:hAnsi="Calibri" w:cs="Calibri"/>
                <w:color w:val="000000"/>
                <w:kern w:val="0"/>
                <w:lang w:eastAsia="pl-PL"/>
              </w:rPr>
            </w:pPr>
            <w:r w:rsidRPr="00272C85">
              <w:rPr>
                <w:rFonts w:ascii="Calibri" w:eastAsia="Times New Roman" w:hAnsi="Calibri" w:cs="Calibri"/>
                <w:color w:val="000000"/>
                <w:kern w:val="0"/>
                <w:lang w:eastAsia="pl-PL"/>
              </w:rPr>
              <w:t>2013</w:t>
            </w:r>
          </w:p>
        </w:tc>
        <w:tc>
          <w:tcPr>
            <w:tcW w:w="492" w:type="pct"/>
            <w:hideMark/>
          </w:tcPr>
          <w:p w:rsidR="00272C85" w:rsidRPr="00272C85" w:rsidRDefault="00272C85" w:rsidP="00272C85">
            <w:pPr>
              <w:spacing w:after="0" w:line="240" w:lineRule="auto"/>
              <w:jc w:val="left"/>
              <w:rPr>
                <w:rFonts w:ascii="Calibri" w:eastAsia="Times New Roman" w:hAnsi="Calibri" w:cs="Calibri"/>
                <w:color w:val="000000"/>
                <w:kern w:val="0"/>
                <w:lang w:eastAsia="pl-PL"/>
              </w:rPr>
            </w:pPr>
            <w:r w:rsidRPr="00272C85">
              <w:rPr>
                <w:rFonts w:ascii="Calibri" w:eastAsia="Times New Roman" w:hAnsi="Calibri" w:cs="Calibri"/>
                <w:color w:val="000000"/>
                <w:kern w:val="0"/>
                <w:lang w:eastAsia="pl-PL"/>
              </w:rPr>
              <w:t>2023</w:t>
            </w:r>
          </w:p>
        </w:tc>
        <w:tc>
          <w:tcPr>
            <w:tcW w:w="492" w:type="pct"/>
            <w:hideMark/>
          </w:tcPr>
          <w:p w:rsidR="00272C85" w:rsidRPr="00272C85" w:rsidRDefault="00272C85" w:rsidP="00272C85">
            <w:pPr>
              <w:spacing w:after="0" w:line="240" w:lineRule="auto"/>
              <w:jc w:val="left"/>
              <w:rPr>
                <w:rFonts w:ascii="Calibri" w:eastAsia="Times New Roman" w:hAnsi="Calibri" w:cs="Calibri"/>
                <w:color w:val="000000"/>
                <w:kern w:val="0"/>
                <w:lang w:eastAsia="pl-PL"/>
              </w:rPr>
            </w:pPr>
            <w:r w:rsidRPr="00272C85">
              <w:rPr>
                <w:rFonts w:ascii="Calibri" w:eastAsia="Times New Roman" w:hAnsi="Calibri" w:cs="Calibri"/>
                <w:color w:val="000000"/>
                <w:kern w:val="0"/>
                <w:lang w:eastAsia="pl-PL"/>
              </w:rPr>
              <w:t>2013</w:t>
            </w:r>
          </w:p>
        </w:tc>
        <w:tc>
          <w:tcPr>
            <w:tcW w:w="574" w:type="pct"/>
            <w:hideMark/>
          </w:tcPr>
          <w:p w:rsidR="00272C85" w:rsidRPr="00272C85" w:rsidRDefault="00272C85" w:rsidP="00272C85">
            <w:pPr>
              <w:spacing w:after="0" w:line="240" w:lineRule="auto"/>
              <w:jc w:val="left"/>
              <w:rPr>
                <w:rFonts w:ascii="Calibri" w:eastAsia="Times New Roman" w:hAnsi="Calibri" w:cs="Calibri"/>
                <w:color w:val="000000"/>
                <w:kern w:val="0"/>
                <w:lang w:eastAsia="pl-PL"/>
              </w:rPr>
            </w:pPr>
            <w:r w:rsidRPr="00272C85">
              <w:rPr>
                <w:rFonts w:ascii="Calibri" w:eastAsia="Times New Roman" w:hAnsi="Calibri" w:cs="Calibri"/>
                <w:color w:val="000000"/>
                <w:kern w:val="0"/>
                <w:lang w:eastAsia="pl-PL"/>
              </w:rPr>
              <w:t>2023</w:t>
            </w:r>
          </w:p>
        </w:tc>
        <w:tc>
          <w:tcPr>
            <w:tcW w:w="491" w:type="pct"/>
            <w:hideMark/>
          </w:tcPr>
          <w:p w:rsidR="00272C85" w:rsidRPr="00272C85" w:rsidRDefault="00272C85" w:rsidP="00272C85">
            <w:pPr>
              <w:spacing w:after="0" w:line="240" w:lineRule="auto"/>
              <w:jc w:val="left"/>
              <w:rPr>
                <w:rFonts w:ascii="Calibri" w:eastAsia="Times New Roman" w:hAnsi="Calibri" w:cs="Calibri"/>
                <w:color w:val="000000"/>
                <w:kern w:val="0"/>
                <w:lang w:eastAsia="pl-PL"/>
              </w:rPr>
            </w:pPr>
            <w:r w:rsidRPr="00272C85">
              <w:rPr>
                <w:rFonts w:ascii="Calibri" w:eastAsia="Times New Roman" w:hAnsi="Calibri" w:cs="Calibri"/>
                <w:color w:val="000000"/>
                <w:kern w:val="0"/>
                <w:lang w:eastAsia="pl-PL"/>
              </w:rPr>
              <w:t>2013</w:t>
            </w:r>
          </w:p>
        </w:tc>
        <w:tc>
          <w:tcPr>
            <w:tcW w:w="492" w:type="pct"/>
            <w:hideMark/>
          </w:tcPr>
          <w:p w:rsidR="00272C85" w:rsidRPr="00272C85" w:rsidRDefault="00272C85" w:rsidP="00272C85">
            <w:pPr>
              <w:spacing w:after="0" w:line="240" w:lineRule="auto"/>
              <w:jc w:val="left"/>
              <w:rPr>
                <w:rFonts w:ascii="Calibri" w:eastAsia="Times New Roman" w:hAnsi="Calibri" w:cs="Calibri"/>
                <w:color w:val="000000"/>
                <w:kern w:val="0"/>
                <w:lang w:eastAsia="pl-PL"/>
              </w:rPr>
            </w:pPr>
            <w:r w:rsidRPr="00272C85">
              <w:rPr>
                <w:rFonts w:ascii="Calibri" w:eastAsia="Times New Roman" w:hAnsi="Calibri" w:cs="Calibri"/>
                <w:color w:val="000000"/>
                <w:kern w:val="0"/>
                <w:lang w:eastAsia="pl-PL"/>
              </w:rPr>
              <w:t>2023</w:t>
            </w:r>
          </w:p>
        </w:tc>
        <w:tc>
          <w:tcPr>
            <w:tcW w:w="491" w:type="pct"/>
            <w:hideMark/>
          </w:tcPr>
          <w:p w:rsidR="00272C85" w:rsidRPr="00272C85" w:rsidRDefault="00272C85" w:rsidP="00272C85">
            <w:pPr>
              <w:spacing w:after="0" w:line="240" w:lineRule="auto"/>
              <w:jc w:val="left"/>
              <w:rPr>
                <w:rFonts w:ascii="Calibri" w:eastAsia="Times New Roman" w:hAnsi="Calibri" w:cs="Calibri"/>
                <w:color w:val="000000"/>
                <w:kern w:val="0"/>
                <w:lang w:eastAsia="pl-PL"/>
              </w:rPr>
            </w:pPr>
            <w:r w:rsidRPr="00272C85">
              <w:rPr>
                <w:rFonts w:ascii="Calibri" w:eastAsia="Times New Roman" w:hAnsi="Calibri" w:cs="Calibri"/>
                <w:color w:val="000000"/>
                <w:kern w:val="0"/>
                <w:lang w:eastAsia="pl-PL"/>
              </w:rPr>
              <w:t>2013</w:t>
            </w:r>
          </w:p>
        </w:tc>
        <w:tc>
          <w:tcPr>
            <w:tcW w:w="490" w:type="pct"/>
            <w:hideMark/>
          </w:tcPr>
          <w:p w:rsidR="00272C85" w:rsidRPr="00272C85" w:rsidRDefault="00272C85" w:rsidP="00272C85">
            <w:pPr>
              <w:spacing w:after="0" w:line="240" w:lineRule="auto"/>
              <w:jc w:val="left"/>
              <w:rPr>
                <w:rFonts w:ascii="Calibri" w:eastAsia="Times New Roman" w:hAnsi="Calibri" w:cs="Calibri"/>
                <w:color w:val="000000"/>
                <w:kern w:val="0"/>
                <w:lang w:eastAsia="pl-PL"/>
              </w:rPr>
            </w:pPr>
            <w:r w:rsidRPr="00272C85">
              <w:rPr>
                <w:rFonts w:ascii="Calibri" w:eastAsia="Times New Roman" w:hAnsi="Calibri" w:cs="Calibri"/>
                <w:color w:val="000000"/>
                <w:kern w:val="0"/>
                <w:lang w:eastAsia="pl-PL"/>
              </w:rPr>
              <w:t>2023</w:t>
            </w:r>
          </w:p>
        </w:tc>
      </w:tr>
      <w:tr w:rsidR="00272C85" w:rsidRPr="00272C85" w:rsidTr="00272C85">
        <w:trPr>
          <w:trHeight w:val="300"/>
        </w:trPr>
        <w:tc>
          <w:tcPr>
            <w:tcW w:w="985" w:type="pct"/>
            <w:shd w:val="clear" w:color="auto" w:fill="000000" w:themeFill="text1"/>
            <w:vAlign w:val="bottom"/>
          </w:tcPr>
          <w:p w:rsidR="00272C85" w:rsidRPr="00272C85" w:rsidRDefault="00272C85" w:rsidP="00272C85">
            <w:pPr>
              <w:spacing w:after="0" w:line="240" w:lineRule="auto"/>
              <w:jc w:val="left"/>
              <w:rPr>
                <w:rFonts w:ascii="Calibri" w:eastAsia="Times New Roman" w:hAnsi="Calibri" w:cs="Calibri"/>
                <w:color w:val="FFFFFF" w:themeColor="background1"/>
                <w:kern w:val="0"/>
                <w:lang w:eastAsia="pl-PL"/>
              </w:rPr>
            </w:pPr>
            <w:r w:rsidRPr="00272C85">
              <w:rPr>
                <w:rFonts w:ascii="Calibri" w:hAnsi="Calibri" w:cs="Calibri"/>
                <w:color w:val="FFFFFF" w:themeColor="background1"/>
              </w:rPr>
              <w:t>P</w:t>
            </w:r>
            <w:r w:rsidR="00A113C9">
              <w:rPr>
                <w:rFonts w:ascii="Calibri" w:hAnsi="Calibri" w:cs="Calibri"/>
                <w:color w:val="FFFFFF" w:themeColor="background1"/>
              </w:rPr>
              <w:t>olska</w:t>
            </w:r>
          </w:p>
        </w:tc>
        <w:tc>
          <w:tcPr>
            <w:tcW w:w="493"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1 005,9</w:t>
            </w:r>
          </w:p>
        </w:tc>
        <w:tc>
          <w:tcPr>
            <w:tcW w:w="492"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1 085,0</w:t>
            </w:r>
          </w:p>
        </w:tc>
        <w:tc>
          <w:tcPr>
            <w:tcW w:w="492"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256,9</w:t>
            </w:r>
          </w:p>
        </w:tc>
        <w:tc>
          <w:tcPr>
            <w:tcW w:w="574"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289,7</w:t>
            </w:r>
          </w:p>
        </w:tc>
        <w:tc>
          <w:tcPr>
            <w:tcW w:w="491"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460,8</w:t>
            </w:r>
          </w:p>
        </w:tc>
        <w:tc>
          <w:tcPr>
            <w:tcW w:w="492"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400,4</w:t>
            </w:r>
          </w:p>
        </w:tc>
        <w:tc>
          <w:tcPr>
            <w:tcW w:w="491" w:type="pct"/>
            <w:noWrap/>
            <w:hideMark/>
          </w:tcPr>
          <w:p w:rsidR="00272C85" w:rsidRPr="00FD1882" w:rsidRDefault="00272C85" w:rsidP="00272C85">
            <w:pPr>
              <w:spacing w:after="0" w:line="240" w:lineRule="auto"/>
              <w:jc w:val="right"/>
              <w:rPr>
                <w:rFonts w:ascii="Calibri" w:eastAsia="Times New Roman" w:hAnsi="Calibri" w:cs="Calibri"/>
                <w:kern w:val="0"/>
                <w:lang w:eastAsia="pl-PL"/>
              </w:rPr>
            </w:pPr>
            <w:r w:rsidRPr="00FD1882">
              <w:rPr>
                <w:rFonts w:ascii="Calibri" w:eastAsia="Times New Roman" w:hAnsi="Calibri" w:cs="Calibri"/>
                <w:kern w:val="0"/>
                <w:lang w:eastAsia="pl-PL"/>
              </w:rPr>
              <w:t>91,7</w:t>
            </w:r>
          </w:p>
        </w:tc>
        <w:tc>
          <w:tcPr>
            <w:tcW w:w="490" w:type="pct"/>
            <w:noWrap/>
            <w:hideMark/>
          </w:tcPr>
          <w:p w:rsidR="00272C85" w:rsidRPr="00FD1882" w:rsidRDefault="00272C85" w:rsidP="00272C85">
            <w:pPr>
              <w:spacing w:after="0" w:line="240" w:lineRule="auto"/>
              <w:jc w:val="right"/>
              <w:rPr>
                <w:rFonts w:ascii="Calibri" w:eastAsia="Times New Roman" w:hAnsi="Calibri" w:cs="Calibri"/>
                <w:kern w:val="0"/>
                <w:lang w:eastAsia="pl-PL"/>
              </w:rPr>
            </w:pPr>
            <w:r w:rsidRPr="00FD1882">
              <w:rPr>
                <w:rFonts w:ascii="Calibri" w:eastAsia="Times New Roman" w:hAnsi="Calibri" w:cs="Calibri"/>
                <w:kern w:val="0"/>
                <w:lang w:eastAsia="pl-PL"/>
              </w:rPr>
              <w:t>55,8</w:t>
            </w:r>
          </w:p>
        </w:tc>
      </w:tr>
      <w:tr w:rsidR="00272C85" w:rsidRPr="00272C85" w:rsidTr="00272C85">
        <w:trPr>
          <w:trHeight w:val="300"/>
        </w:trPr>
        <w:tc>
          <w:tcPr>
            <w:tcW w:w="985" w:type="pct"/>
            <w:shd w:val="clear" w:color="auto" w:fill="000000" w:themeFill="text1"/>
            <w:vAlign w:val="bottom"/>
          </w:tcPr>
          <w:p w:rsidR="00272C85" w:rsidRPr="00272C85" w:rsidRDefault="00272C85" w:rsidP="00272C85">
            <w:pPr>
              <w:spacing w:after="0" w:line="240" w:lineRule="auto"/>
              <w:jc w:val="left"/>
              <w:rPr>
                <w:rFonts w:ascii="Calibri" w:eastAsia="Times New Roman" w:hAnsi="Calibri" w:cs="Calibri"/>
                <w:color w:val="FFFFFF" w:themeColor="background1"/>
                <w:kern w:val="0"/>
                <w:lang w:eastAsia="pl-PL"/>
              </w:rPr>
            </w:pPr>
            <w:r w:rsidRPr="00272C85">
              <w:rPr>
                <w:rFonts w:ascii="Calibri" w:hAnsi="Calibri" w:cs="Calibri"/>
                <w:color w:val="FFFFFF" w:themeColor="background1"/>
              </w:rPr>
              <w:t>D</w:t>
            </w:r>
            <w:r w:rsidR="00A113C9">
              <w:rPr>
                <w:rFonts w:ascii="Calibri" w:hAnsi="Calibri" w:cs="Calibri"/>
                <w:color w:val="FFFFFF" w:themeColor="background1"/>
              </w:rPr>
              <w:t>olnośląskie</w:t>
            </w:r>
          </w:p>
        </w:tc>
        <w:tc>
          <w:tcPr>
            <w:tcW w:w="493"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1 047,7</w:t>
            </w:r>
          </w:p>
        </w:tc>
        <w:tc>
          <w:tcPr>
            <w:tcW w:w="492"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1 117,2</w:t>
            </w:r>
          </w:p>
        </w:tc>
        <w:tc>
          <w:tcPr>
            <w:tcW w:w="492"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268,2</w:t>
            </w:r>
          </w:p>
        </w:tc>
        <w:tc>
          <w:tcPr>
            <w:tcW w:w="574"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296,9</w:t>
            </w:r>
          </w:p>
        </w:tc>
        <w:tc>
          <w:tcPr>
            <w:tcW w:w="491"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496,1</w:t>
            </w:r>
          </w:p>
        </w:tc>
        <w:tc>
          <w:tcPr>
            <w:tcW w:w="492"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512,5</w:t>
            </w:r>
          </w:p>
        </w:tc>
        <w:tc>
          <w:tcPr>
            <w:tcW w:w="491" w:type="pct"/>
            <w:noWrap/>
            <w:hideMark/>
          </w:tcPr>
          <w:p w:rsidR="00272C85" w:rsidRPr="00FD1882" w:rsidRDefault="00272C85" w:rsidP="00272C85">
            <w:pPr>
              <w:spacing w:after="0" w:line="240" w:lineRule="auto"/>
              <w:jc w:val="right"/>
              <w:rPr>
                <w:rFonts w:ascii="Calibri" w:eastAsia="Times New Roman" w:hAnsi="Calibri" w:cs="Calibri"/>
                <w:kern w:val="0"/>
                <w:lang w:eastAsia="pl-PL"/>
              </w:rPr>
            </w:pPr>
            <w:r w:rsidRPr="00FD1882">
              <w:rPr>
                <w:rFonts w:ascii="Calibri" w:eastAsia="Times New Roman" w:hAnsi="Calibri" w:cs="Calibri"/>
                <w:kern w:val="0"/>
                <w:lang w:eastAsia="pl-PL"/>
              </w:rPr>
              <w:t>107,6</w:t>
            </w:r>
          </w:p>
        </w:tc>
        <w:tc>
          <w:tcPr>
            <w:tcW w:w="490" w:type="pct"/>
            <w:noWrap/>
            <w:hideMark/>
          </w:tcPr>
          <w:p w:rsidR="00272C85" w:rsidRPr="00FD1882" w:rsidRDefault="00272C85" w:rsidP="00272C85">
            <w:pPr>
              <w:spacing w:after="0" w:line="240" w:lineRule="auto"/>
              <w:jc w:val="right"/>
              <w:rPr>
                <w:rFonts w:ascii="Calibri" w:eastAsia="Times New Roman" w:hAnsi="Calibri" w:cs="Calibri"/>
                <w:kern w:val="0"/>
                <w:lang w:eastAsia="pl-PL"/>
              </w:rPr>
            </w:pPr>
            <w:r w:rsidRPr="00FD1882">
              <w:rPr>
                <w:rFonts w:ascii="Calibri" w:eastAsia="Times New Roman" w:hAnsi="Calibri" w:cs="Calibri"/>
                <w:kern w:val="0"/>
                <w:lang w:eastAsia="pl-PL"/>
              </w:rPr>
              <w:t>86,2</w:t>
            </w:r>
          </w:p>
        </w:tc>
      </w:tr>
      <w:tr w:rsidR="00272C85" w:rsidRPr="00272C85" w:rsidTr="00272C85">
        <w:trPr>
          <w:trHeight w:val="300"/>
        </w:trPr>
        <w:tc>
          <w:tcPr>
            <w:tcW w:w="985" w:type="pct"/>
            <w:shd w:val="clear" w:color="auto" w:fill="000000" w:themeFill="text1"/>
            <w:vAlign w:val="bottom"/>
          </w:tcPr>
          <w:p w:rsidR="00272C85" w:rsidRPr="00272C85" w:rsidRDefault="00272C85" w:rsidP="00272C85">
            <w:pPr>
              <w:spacing w:after="0" w:line="240" w:lineRule="auto"/>
              <w:jc w:val="left"/>
              <w:rPr>
                <w:rFonts w:ascii="Calibri" w:eastAsia="Times New Roman" w:hAnsi="Calibri" w:cs="Calibri"/>
                <w:color w:val="FFFFFF" w:themeColor="background1"/>
                <w:kern w:val="0"/>
                <w:lang w:eastAsia="pl-PL"/>
              </w:rPr>
            </w:pPr>
            <w:r w:rsidRPr="00272C85">
              <w:rPr>
                <w:rFonts w:ascii="Calibri" w:hAnsi="Calibri" w:cs="Calibri"/>
                <w:color w:val="FFFFFF" w:themeColor="background1"/>
              </w:rPr>
              <w:t>Powiat oleśnicki</w:t>
            </w:r>
          </w:p>
        </w:tc>
        <w:tc>
          <w:tcPr>
            <w:tcW w:w="493"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948,9</w:t>
            </w:r>
          </w:p>
        </w:tc>
        <w:tc>
          <w:tcPr>
            <w:tcW w:w="492"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949,9</w:t>
            </w:r>
          </w:p>
        </w:tc>
        <w:tc>
          <w:tcPr>
            <w:tcW w:w="492"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267,9</w:t>
            </w:r>
          </w:p>
        </w:tc>
        <w:tc>
          <w:tcPr>
            <w:tcW w:w="574"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265,9</w:t>
            </w:r>
          </w:p>
        </w:tc>
        <w:tc>
          <w:tcPr>
            <w:tcW w:w="491"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408,4</w:t>
            </w:r>
          </w:p>
        </w:tc>
        <w:tc>
          <w:tcPr>
            <w:tcW w:w="492"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417,2</w:t>
            </w:r>
          </w:p>
        </w:tc>
        <w:tc>
          <w:tcPr>
            <w:tcW w:w="491" w:type="pct"/>
            <w:noWrap/>
            <w:hideMark/>
          </w:tcPr>
          <w:p w:rsidR="00272C85" w:rsidRPr="00FD1882" w:rsidRDefault="00272C85" w:rsidP="00272C85">
            <w:pPr>
              <w:spacing w:after="0" w:line="240" w:lineRule="auto"/>
              <w:jc w:val="right"/>
              <w:rPr>
                <w:rFonts w:ascii="Calibri" w:eastAsia="Times New Roman" w:hAnsi="Calibri" w:cs="Calibri"/>
                <w:kern w:val="0"/>
                <w:lang w:eastAsia="pl-PL"/>
              </w:rPr>
            </w:pPr>
            <w:r w:rsidRPr="00FD1882">
              <w:rPr>
                <w:rFonts w:ascii="Calibri" w:eastAsia="Times New Roman" w:hAnsi="Calibri" w:cs="Calibri"/>
                <w:kern w:val="0"/>
                <w:lang w:eastAsia="pl-PL"/>
              </w:rPr>
              <w:t>114,9</w:t>
            </w:r>
          </w:p>
        </w:tc>
        <w:tc>
          <w:tcPr>
            <w:tcW w:w="490" w:type="pct"/>
            <w:noWrap/>
            <w:hideMark/>
          </w:tcPr>
          <w:p w:rsidR="00272C85" w:rsidRPr="00FD1882" w:rsidRDefault="00272C85" w:rsidP="00272C85">
            <w:pPr>
              <w:spacing w:after="0" w:line="240" w:lineRule="auto"/>
              <w:jc w:val="right"/>
              <w:rPr>
                <w:rFonts w:ascii="Calibri" w:eastAsia="Times New Roman" w:hAnsi="Calibri" w:cs="Calibri"/>
                <w:kern w:val="0"/>
                <w:lang w:eastAsia="pl-PL"/>
              </w:rPr>
            </w:pPr>
            <w:r w:rsidRPr="00FD1882">
              <w:rPr>
                <w:rFonts w:ascii="Calibri" w:eastAsia="Times New Roman" w:hAnsi="Calibri" w:cs="Calibri"/>
                <w:kern w:val="0"/>
                <w:lang w:eastAsia="pl-PL"/>
              </w:rPr>
              <w:t>79,9</w:t>
            </w:r>
          </w:p>
        </w:tc>
      </w:tr>
      <w:tr w:rsidR="00272C85" w:rsidRPr="00272C85" w:rsidTr="00272C85">
        <w:trPr>
          <w:trHeight w:val="300"/>
        </w:trPr>
        <w:tc>
          <w:tcPr>
            <w:tcW w:w="985" w:type="pct"/>
            <w:shd w:val="clear" w:color="auto" w:fill="000000" w:themeFill="text1"/>
            <w:vAlign w:val="bottom"/>
          </w:tcPr>
          <w:p w:rsidR="00272C85" w:rsidRPr="00272C85" w:rsidRDefault="00272C85" w:rsidP="00272C85">
            <w:pPr>
              <w:spacing w:after="0" w:line="240" w:lineRule="auto"/>
              <w:jc w:val="left"/>
              <w:rPr>
                <w:rFonts w:ascii="Calibri" w:eastAsia="Times New Roman" w:hAnsi="Calibri" w:cs="Calibri"/>
                <w:color w:val="FFFFFF" w:themeColor="background1"/>
                <w:kern w:val="0"/>
                <w:lang w:eastAsia="pl-PL"/>
              </w:rPr>
            </w:pPr>
            <w:r w:rsidRPr="00272C85">
              <w:rPr>
                <w:rFonts w:ascii="Calibri" w:hAnsi="Calibri" w:cs="Calibri"/>
                <w:color w:val="FFFFFF" w:themeColor="background1"/>
              </w:rPr>
              <w:t>Powiat oławski</w:t>
            </w:r>
          </w:p>
        </w:tc>
        <w:tc>
          <w:tcPr>
            <w:tcW w:w="493"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830,3</w:t>
            </w:r>
          </w:p>
        </w:tc>
        <w:tc>
          <w:tcPr>
            <w:tcW w:w="492"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951,2</w:t>
            </w:r>
          </w:p>
        </w:tc>
        <w:tc>
          <w:tcPr>
            <w:tcW w:w="492"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221,8</w:t>
            </w:r>
          </w:p>
        </w:tc>
        <w:tc>
          <w:tcPr>
            <w:tcW w:w="574"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268,8</w:t>
            </w:r>
          </w:p>
        </w:tc>
        <w:tc>
          <w:tcPr>
            <w:tcW w:w="491"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419,8</w:t>
            </w:r>
          </w:p>
        </w:tc>
        <w:tc>
          <w:tcPr>
            <w:tcW w:w="492"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460,1</w:t>
            </w:r>
          </w:p>
        </w:tc>
        <w:tc>
          <w:tcPr>
            <w:tcW w:w="491" w:type="pct"/>
            <w:noWrap/>
            <w:hideMark/>
          </w:tcPr>
          <w:p w:rsidR="00272C85" w:rsidRPr="00FD1882" w:rsidRDefault="00272C85" w:rsidP="00272C85">
            <w:pPr>
              <w:spacing w:after="0" w:line="240" w:lineRule="auto"/>
              <w:jc w:val="right"/>
              <w:rPr>
                <w:rFonts w:ascii="Calibri" w:eastAsia="Times New Roman" w:hAnsi="Calibri" w:cs="Calibri"/>
                <w:kern w:val="0"/>
                <w:lang w:eastAsia="pl-PL"/>
              </w:rPr>
            </w:pPr>
            <w:r w:rsidRPr="00FD1882">
              <w:rPr>
                <w:rFonts w:ascii="Calibri" w:eastAsia="Times New Roman" w:hAnsi="Calibri" w:cs="Calibri"/>
                <w:kern w:val="0"/>
                <w:lang w:eastAsia="pl-PL"/>
              </w:rPr>
              <w:t>96,9</w:t>
            </w:r>
          </w:p>
        </w:tc>
        <w:tc>
          <w:tcPr>
            <w:tcW w:w="490" w:type="pct"/>
            <w:noWrap/>
            <w:hideMark/>
          </w:tcPr>
          <w:p w:rsidR="00272C85" w:rsidRPr="00FD1882" w:rsidRDefault="00272C85" w:rsidP="00272C85">
            <w:pPr>
              <w:spacing w:after="0" w:line="240" w:lineRule="auto"/>
              <w:jc w:val="right"/>
              <w:rPr>
                <w:rFonts w:ascii="Calibri" w:eastAsia="Times New Roman" w:hAnsi="Calibri" w:cs="Calibri"/>
                <w:kern w:val="0"/>
                <w:lang w:eastAsia="pl-PL"/>
              </w:rPr>
            </w:pPr>
            <w:r w:rsidRPr="00FD1882">
              <w:rPr>
                <w:rFonts w:ascii="Calibri" w:eastAsia="Times New Roman" w:hAnsi="Calibri" w:cs="Calibri"/>
                <w:kern w:val="0"/>
                <w:lang w:eastAsia="pl-PL"/>
              </w:rPr>
              <w:t>83,7</w:t>
            </w:r>
          </w:p>
        </w:tc>
      </w:tr>
      <w:tr w:rsidR="00272C85" w:rsidRPr="00272C85" w:rsidTr="00272C85">
        <w:trPr>
          <w:trHeight w:val="300"/>
        </w:trPr>
        <w:tc>
          <w:tcPr>
            <w:tcW w:w="985" w:type="pct"/>
            <w:shd w:val="clear" w:color="auto" w:fill="000000" w:themeFill="text1"/>
            <w:vAlign w:val="bottom"/>
          </w:tcPr>
          <w:p w:rsidR="00272C85" w:rsidRPr="00272C85" w:rsidRDefault="00272C85" w:rsidP="00272C85">
            <w:pPr>
              <w:spacing w:after="0" w:line="240" w:lineRule="auto"/>
              <w:jc w:val="left"/>
              <w:rPr>
                <w:rFonts w:ascii="Calibri" w:eastAsia="Times New Roman" w:hAnsi="Calibri" w:cs="Calibri"/>
                <w:color w:val="FFFFFF" w:themeColor="background1"/>
                <w:kern w:val="0"/>
                <w:lang w:eastAsia="pl-PL"/>
              </w:rPr>
            </w:pPr>
            <w:r w:rsidRPr="00272C85">
              <w:rPr>
                <w:rFonts w:ascii="Calibri" w:hAnsi="Calibri" w:cs="Calibri"/>
                <w:color w:val="FFFFFF" w:themeColor="background1"/>
              </w:rPr>
              <w:t>Powiat średzki</w:t>
            </w:r>
          </w:p>
        </w:tc>
        <w:tc>
          <w:tcPr>
            <w:tcW w:w="493"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930,1</w:t>
            </w:r>
          </w:p>
        </w:tc>
        <w:tc>
          <w:tcPr>
            <w:tcW w:w="492"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909,8</w:t>
            </w:r>
          </w:p>
        </w:tc>
        <w:tc>
          <w:tcPr>
            <w:tcW w:w="492"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239,2</w:t>
            </w:r>
          </w:p>
        </w:tc>
        <w:tc>
          <w:tcPr>
            <w:tcW w:w="574"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243,6</w:t>
            </w:r>
          </w:p>
        </w:tc>
        <w:tc>
          <w:tcPr>
            <w:tcW w:w="491"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432,5</w:t>
            </w:r>
          </w:p>
        </w:tc>
        <w:tc>
          <w:tcPr>
            <w:tcW w:w="492"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439,6</w:t>
            </w:r>
          </w:p>
        </w:tc>
        <w:tc>
          <w:tcPr>
            <w:tcW w:w="491" w:type="pct"/>
            <w:noWrap/>
            <w:hideMark/>
          </w:tcPr>
          <w:p w:rsidR="00272C85" w:rsidRPr="00FD1882" w:rsidRDefault="00272C85" w:rsidP="00272C85">
            <w:pPr>
              <w:spacing w:after="0" w:line="240" w:lineRule="auto"/>
              <w:jc w:val="right"/>
              <w:rPr>
                <w:rFonts w:ascii="Calibri" w:eastAsia="Times New Roman" w:hAnsi="Calibri" w:cs="Calibri"/>
                <w:kern w:val="0"/>
                <w:lang w:eastAsia="pl-PL"/>
              </w:rPr>
            </w:pPr>
            <w:r w:rsidRPr="00FD1882">
              <w:rPr>
                <w:rFonts w:ascii="Calibri" w:eastAsia="Times New Roman" w:hAnsi="Calibri" w:cs="Calibri"/>
                <w:kern w:val="0"/>
                <w:lang w:eastAsia="pl-PL"/>
              </w:rPr>
              <w:t>104,3</w:t>
            </w:r>
          </w:p>
        </w:tc>
        <w:tc>
          <w:tcPr>
            <w:tcW w:w="490" w:type="pct"/>
            <w:noWrap/>
            <w:hideMark/>
          </w:tcPr>
          <w:p w:rsidR="00272C85" w:rsidRPr="00FD1882" w:rsidRDefault="00272C85" w:rsidP="00272C85">
            <w:pPr>
              <w:spacing w:after="0" w:line="240" w:lineRule="auto"/>
              <w:jc w:val="right"/>
              <w:rPr>
                <w:rFonts w:ascii="Calibri" w:eastAsia="Times New Roman" w:hAnsi="Calibri" w:cs="Calibri"/>
                <w:kern w:val="0"/>
                <w:lang w:eastAsia="pl-PL"/>
              </w:rPr>
            </w:pPr>
            <w:r w:rsidRPr="00FD1882">
              <w:rPr>
                <w:rFonts w:ascii="Calibri" w:eastAsia="Times New Roman" w:hAnsi="Calibri" w:cs="Calibri"/>
                <w:kern w:val="0"/>
                <w:lang w:eastAsia="pl-PL"/>
              </w:rPr>
              <w:t>95,9</w:t>
            </w:r>
          </w:p>
        </w:tc>
      </w:tr>
      <w:tr w:rsidR="00272C85" w:rsidRPr="00272C85" w:rsidTr="00272C85">
        <w:trPr>
          <w:trHeight w:val="300"/>
        </w:trPr>
        <w:tc>
          <w:tcPr>
            <w:tcW w:w="985" w:type="pct"/>
            <w:shd w:val="clear" w:color="auto" w:fill="000000" w:themeFill="text1"/>
            <w:vAlign w:val="bottom"/>
          </w:tcPr>
          <w:p w:rsidR="00272C85" w:rsidRPr="00272C85" w:rsidRDefault="00272C85" w:rsidP="00272C85">
            <w:pPr>
              <w:spacing w:after="0" w:line="240" w:lineRule="auto"/>
              <w:jc w:val="left"/>
              <w:rPr>
                <w:rFonts w:ascii="Calibri" w:eastAsia="Times New Roman" w:hAnsi="Calibri" w:cs="Calibri"/>
                <w:color w:val="FFFFFF" w:themeColor="background1"/>
                <w:kern w:val="0"/>
                <w:lang w:eastAsia="pl-PL"/>
              </w:rPr>
            </w:pPr>
            <w:r w:rsidRPr="00272C85">
              <w:rPr>
                <w:rFonts w:ascii="Calibri" w:hAnsi="Calibri" w:cs="Calibri"/>
                <w:color w:val="FFFFFF" w:themeColor="background1"/>
              </w:rPr>
              <w:t>Powiat trzebnicki</w:t>
            </w:r>
          </w:p>
        </w:tc>
        <w:tc>
          <w:tcPr>
            <w:tcW w:w="493"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931,5</w:t>
            </w:r>
          </w:p>
        </w:tc>
        <w:tc>
          <w:tcPr>
            <w:tcW w:w="492"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976,0</w:t>
            </w:r>
          </w:p>
        </w:tc>
        <w:tc>
          <w:tcPr>
            <w:tcW w:w="492"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245,3</w:t>
            </w:r>
          </w:p>
        </w:tc>
        <w:tc>
          <w:tcPr>
            <w:tcW w:w="574"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287,2</w:t>
            </w:r>
          </w:p>
        </w:tc>
        <w:tc>
          <w:tcPr>
            <w:tcW w:w="491"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444,6</w:t>
            </w:r>
          </w:p>
        </w:tc>
        <w:tc>
          <w:tcPr>
            <w:tcW w:w="492"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432,5</w:t>
            </w:r>
          </w:p>
        </w:tc>
        <w:tc>
          <w:tcPr>
            <w:tcW w:w="491" w:type="pct"/>
            <w:noWrap/>
            <w:hideMark/>
          </w:tcPr>
          <w:p w:rsidR="00272C85" w:rsidRPr="00FD1882" w:rsidRDefault="00272C85" w:rsidP="00272C85">
            <w:pPr>
              <w:spacing w:after="0" w:line="240" w:lineRule="auto"/>
              <w:jc w:val="right"/>
              <w:rPr>
                <w:rFonts w:ascii="Calibri" w:eastAsia="Times New Roman" w:hAnsi="Calibri" w:cs="Calibri"/>
                <w:kern w:val="0"/>
                <w:lang w:eastAsia="pl-PL"/>
              </w:rPr>
            </w:pPr>
            <w:r w:rsidRPr="00FD1882">
              <w:rPr>
                <w:rFonts w:ascii="Calibri" w:eastAsia="Times New Roman" w:hAnsi="Calibri" w:cs="Calibri"/>
                <w:kern w:val="0"/>
                <w:lang w:eastAsia="pl-PL"/>
              </w:rPr>
              <w:t>97,5</w:t>
            </w:r>
          </w:p>
        </w:tc>
        <w:tc>
          <w:tcPr>
            <w:tcW w:w="490" w:type="pct"/>
            <w:noWrap/>
            <w:hideMark/>
          </w:tcPr>
          <w:p w:rsidR="00272C85" w:rsidRPr="00FD1882" w:rsidRDefault="00272C85" w:rsidP="00272C85">
            <w:pPr>
              <w:spacing w:after="0" w:line="240" w:lineRule="auto"/>
              <w:jc w:val="right"/>
              <w:rPr>
                <w:rFonts w:ascii="Calibri" w:eastAsia="Times New Roman" w:hAnsi="Calibri" w:cs="Calibri"/>
                <w:kern w:val="0"/>
                <w:lang w:eastAsia="pl-PL"/>
              </w:rPr>
            </w:pPr>
            <w:r w:rsidRPr="00FD1882">
              <w:rPr>
                <w:rFonts w:ascii="Calibri" w:eastAsia="Times New Roman" w:hAnsi="Calibri" w:cs="Calibri"/>
                <w:kern w:val="0"/>
                <w:lang w:eastAsia="pl-PL"/>
              </w:rPr>
              <w:t>85,5</w:t>
            </w:r>
          </w:p>
        </w:tc>
      </w:tr>
      <w:tr w:rsidR="00272C85" w:rsidRPr="00272C85" w:rsidTr="00272C85">
        <w:trPr>
          <w:trHeight w:val="300"/>
        </w:trPr>
        <w:tc>
          <w:tcPr>
            <w:tcW w:w="985" w:type="pct"/>
            <w:shd w:val="clear" w:color="auto" w:fill="000000" w:themeFill="text1"/>
            <w:vAlign w:val="bottom"/>
          </w:tcPr>
          <w:p w:rsidR="00272C85" w:rsidRPr="00272C85" w:rsidRDefault="00272C85" w:rsidP="00272C85">
            <w:pPr>
              <w:spacing w:after="0" w:line="240" w:lineRule="auto"/>
              <w:jc w:val="left"/>
              <w:rPr>
                <w:rFonts w:ascii="Calibri" w:eastAsia="Times New Roman" w:hAnsi="Calibri" w:cs="Calibri"/>
                <w:color w:val="FFFFFF" w:themeColor="background1"/>
                <w:kern w:val="0"/>
                <w:lang w:eastAsia="pl-PL"/>
              </w:rPr>
            </w:pPr>
            <w:r w:rsidRPr="00272C85">
              <w:rPr>
                <w:rFonts w:ascii="Calibri" w:hAnsi="Calibri" w:cs="Calibri"/>
                <w:color w:val="FFFFFF" w:themeColor="background1"/>
              </w:rPr>
              <w:t>Powiat wrocławski</w:t>
            </w:r>
          </w:p>
        </w:tc>
        <w:tc>
          <w:tcPr>
            <w:tcW w:w="493"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730,3</w:t>
            </w:r>
          </w:p>
        </w:tc>
        <w:tc>
          <w:tcPr>
            <w:tcW w:w="492"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676,6</w:t>
            </w:r>
          </w:p>
        </w:tc>
        <w:tc>
          <w:tcPr>
            <w:tcW w:w="492"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190,1</w:t>
            </w:r>
          </w:p>
        </w:tc>
        <w:tc>
          <w:tcPr>
            <w:tcW w:w="574"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178,6</w:t>
            </w:r>
          </w:p>
        </w:tc>
        <w:tc>
          <w:tcPr>
            <w:tcW w:w="491"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330,3</w:t>
            </w:r>
          </w:p>
        </w:tc>
        <w:tc>
          <w:tcPr>
            <w:tcW w:w="492"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296,6</w:t>
            </w:r>
          </w:p>
        </w:tc>
        <w:tc>
          <w:tcPr>
            <w:tcW w:w="491" w:type="pct"/>
            <w:noWrap/>
            <w:hideMark/>
          </w:tcPr>
          <w:p w:rsidR="00272C85" w:rsidRPr="00FD1882" w:rsidRDefault="00272C85" w:rsidP="00272C85">
            <w:pPr>
              <w:spacing w:after="0" w:line="240" w:lineRule="auto"/>
              <w:jc w:val="right"/>
              <w:rPr>
                <w:rFonts w:ascii="Calibri" w:eastAsia="Times New Roman" w:hAnsi="Calibri" w:cs="Calibri"/>
                <w:kern w:val="0"/>
                <w:lang w:eastAsia="pl-PL"/>
              </w:rPr>
            </w:pPr>
            <w:r w:rsidRPr="00FD1882">
              <w:rPr>
                <w:rFonts w:ascii="Calibri" w:eastAsia="Times New Roman" w:hAnsi="Calibri" w:cs="Calibri"/>
                <w:kern w:val="0"/>
                <w:lang w:eastAsia="pl-PL"/>
              </w:rPr>
              <w:t>80,7</w:t>
            </w:r>
          </w:p>
        </w:tc>
        <w:tc>
          <w:tcPr>
            <w:tcW w:w="490" w:type="pct"/>
            <w:noWrap/>
            <w:hideMark/>
          </w:tcPr>
          <w:p w:rsidR="00272C85" w:rsidRPr="00FD1882" w:rsidRDefault="00272C85" w:rsidP="00272C85">
            <w:pPr>
              <w:spacing w:after="0" w:line="240" w:lineRule="auto"/>
              <w:jc w:val="right"/>
              <w:rPr>
                <w:rFonts w:ascii="Calibri" w:eastAsia="Times New Roman" w:hAnsi="Calibri" w:cs="Calibri"/>
                <w:kern w:val="0"/>
                <w:lang w:eastAsia="pl-PL"/>
              </w:rPr>
            </w:pPr>
            <w:r w:rsidRPr="00FD1882">
              <w:rPr>
                <w:rFonts w:ascii="Calibri" w:eastAsia="Times New Roman" w:hAnsi="Calibri" w:cs="Calibri"/>
                <w:kern w:val="0"/>
                <w:lang w:eastAsia="pl-PL"/>
              </w:rPr>
              <w:t>64,6</w:t>
            </w:r>
          </w:p>
        </w:tc>
      </w:tr>
      <w:tr w:rsidR="00272C85" w:rsidRPr="00272C85" w:rsidTr="00272C85">
        <w:trPr>
          <w:trHeight w:val="300"/>
        </w:trPr>
        <w:tc>
          <w:tcPr>
            <w:tcW w:w="985" w:type="pct"/>
            <w:shd w:val="clear" w:color="auto" w:fill="000000" w:themeFill="text1"/>
            <w:vAlign w:val="bottom"/>
          </w:tcPr>
          <w:p w:rsidR="00272C85" w:rsidRPr="00272C85" w:rsidRDefault="00272C85" w:rsidP="00272C85">
            <w:pPr>
              <w:spacing w:after="0" w:line="240" w:lineRule="auto"/>
              <w:jc w:val="left"/>
              <w:rPr>
                <w:rFonts w:ascii="Calibri" w:eastAsia="Times New Roman" w:hAnsi="Calibri" w:cs="Calibri"/>
                <w:color w:val="FFFFFF" w:themeColor="background1"/>
                <w:kern w:val="0"/>
                <w:lang w:eastAsia="pl-PL"/>
              </w:rPr>
            </w:pPr>
            <w:r w:rsidRPr="00272C85">
              <w:rPr>
                <w:rFonts w:ascii="Calibri" w:hAnsi="Calibri" w:cs="Calibri"/>
                <w:color w:val="FFFFFF" w:themeColor="background1"/>
              </w:rPr>
              <w:t>Powiat m. Wrocław</w:t>
            </w:r>
          </w:p>
        </w:tc>
        <w:tc>
          <w:tcPr>
            <w:tcW w:w="493"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1 029,8</w:t>
            </w:r>
          </w:p>
        </w:tc>
        <w:tc>
          <w:tcPr>
            <w:tcW w:w="492"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1 023,8</w:t>
            </w:r>
          </w:p>
        </w:tc>
        <w:tc>
          <w:tcPr>
            <w:tcW w:w="492"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276,9</w:t>
            </w:r>
          </w:p>
        </w:tc>
        <w:tc>
          <w:tcPr>
            <w:tcW w:w="574"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286,6</w:t>
            </w:r>
          </w:p>
        </w:tc>
        <w:tc>
          <w:tcPr>
            <w:tcW w:w="491"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474,9</w:t>
            </w:r>
          </w:p>
        </w:tc>
        <w:tc>
          <w:tcPr>
            <w:tcW w:w="492" w:type="pct"/>
            <w:noWrap/>
            <w:hideMark/>
          </w:tcPr>
          <w:p w:rsidR="00272C85" w:rsidRPr="00272C85" w:rsidRDefault="00272C85" w:rsidP="00272C85">
            <w:pPr>
              <w:spacing w:after="0" w:line="240" w:lineRule="auto"/>
              <w:jc w:val="right"/>
              <w:rPr>
                <w:rFonts w:ascii="Calibri" w:eastAsia="Times New Roman" w:hAnsi="Calibri" w:cs="Calibri"/>
                <w:kern w:val="0"/>
                <w:lang w:eastAsia="pl-PL"/>
              </w:rPr>
            </w:pPr>
            <w:r w:rsidRPr="00272C85">
              <w:rPr>
                <w:rFonts w:ascii="Calibri" w:eastAsia="Times New Roman" w:hAnsi="Calibri" w:cs="Calibri"/>
                <w:kern w:val="0"/>
                <w:lang w:eastAsia="pl-PL"/>
              </w:rPr>
              <w:t>464,9</w:t>
            </w:r>
          </w:p>
        </w:tc>
        <w:tc>
          <w:tcPr>
            <w:tcW w:w="491" w:type="pct"/>
            <w:noWrap/>
            <w:hideMark/>
          </w:tcPr>
          <w:p w:rsidR="00272C85" w:rsidRPr="00FD1882" w:rsidRDefault="00272C85" w:rsidP="00272C85">
            <w:pPr>
              <w:spacing w:after="0" w:line="240" w:lineRule="auto"/>
              <w:jc w:val="right"/>
              <w:rPr>
                <w:rFonts w:ascii="Calibri" w:eastAsia="Times New Roman" w:hAnsi="Calibri" w:cs="Calibri"/>
                <w:kern w:val="0"/>
                <w:lang w:eastAsia="pl-PL"/>
              </w:rPr>
            </w:pPr>
            <w:r w:rsidRPr="00FD1882">
              <w:rPr>
                <w:rFonts w:ascii="Calibri" w:eastAsia="Times New Roman" w:hAnsi="Calibri" w:cs="Calibri"/>
                <w:kern w:val="0"/>
                <w:lang w:eastAsia="pl-PL"/>
              </w:rPr>
              <w:t>89,2</w:t>
            </w:r>
          </w:p>
        </w:tc>
        <w:tc>
          <w:tcPr>
            <w:tcW w:w="490" w:type="pct"/>
            <w:noWrap/>
            <w:hideMark/>
          </w:tcPr>
          <w:p w:rsidR="00272C85" w:rsidRPr="00FD1882" w:rsidRDefault="00272C85" w:rsidP="00272C85">
            <w:pPr>
              <w:spacing w:after="0" w:line="240" w:lineRule="auto"/>
              <w:jc w:val="right"/>
              <w:rPr>
                <w:rFonts w:ascii="Calibri" w:eastAsia="Times New Roman" w:hAnsi="Calibri" w:cs="Calibri"/>
                <w:kern w:val="0"/>
                <w:lang w:eastAsia="pl-PL"/>
              </w:rPr>
            </w:pPr>
            <w:r w:rsidRPr="00FD1882">
              <w:rPr>
                <w:rFonts w:ascii="Calibri" w:eastAsia="Times New Roman" w:hAnsi="Calibri" w:cs="Calibri"/>
                <w:kern w:val="0"/>
                <w:lang w:eastAsia="pl-PL"/>
              </w:rPr>
              <w:t>80,2</w:t>
            </w:r>
          </w:p>
        </w:tc>
      </w:tr>
    </w:tbl>
    <w:p w:rsidR="00272C85" w:rsidRDefault="00272C85" w:rsidP="00D62CBB">
      <w:pPr>
        <w:pStyle w:val="rdo"/>
      </w:pPr>
      <w:r>
        <w:t>Źródło: opracowanie własne na podstawie danych GUS</w:t>
      </w:r>
      <w:r w:rsidR="0013615C">
        <w:t xml:space="preserve"> (dostęp 30.01.2025)</w:t>
      </w:r>
    </w:p>
    <w:p w:rsidR="00272C85" w:rsidRDefault="00272C85" w:rsidP="00AD3564">
      <w:pPr>
        <w:spacing w:after="160"/>
      </w:pPr>
    </w:p>
    <w:p w:rsidR="00DD12D7" w:rsidRDefault="00DD12D7" w:rsidP="00AD3564">
      <w:pPr>
        <w:spacing w:after="160"/>
        <w:sectPr w:rsidR="00DD12D7" w:rsidSect="00272C85">
          <w:pgSz w:w="16838" w:h="11906" w:orient="landscape"/>
          <w:pgMar w:top="1418" w:right="1418" w:bottom="1418" w:left="1418" w:header="709" w:footer="709" w:gutter="0"/>
          <w:cols w:space="708"/>
          <w:titlePg/>
          <w:docGrid w:linePitch="360"/>
        </w:sectPr>
      </w:pPr>
    </w:p>
    <w:p w:rsidR="00AD3564" w:rsidRPr="00AD3564" w:rsidRDefault="008B55DE" w:rsidP="008B55DE">
      <w:pPr>
        <w:pStyle w:val="Nagwek2"/>
        <w:numPr>
          <w:ilvl w:val="0"/>
          <w:numId w:val="0"/>
        </w:numPr>
        <w:ind w:left="993" w:hanging="851"/>
      </w:pPr>
      <w:bookmarkStart w:id="29" w:name="_Toc196905125"/>
      <w:r>
        <w:lastRenderedPageBreak/>
        <w:t xml:space="preserve">2.4. </w:t>
      </w:r>
      <w:r w:rsidR="00AD3564" w:rsidRPr="00AD3564">
        <w:t>Polityka mieszkaniowa</w:t>
      </w:r>
      <w:r w:rsidR="008E2583">
        <w:t xml:space="preserve"> kraju</w:t>
      </w:r>
      <w:bookmarkEnd w:id="29"/>
    </w:p>
    <w:p w:rsidR="00AD3564" w:rsidRDefault="00AD3564" w:rsidP="00AD3564">
      <w:pPr>
        <w:spacing w:after="160"/>
      </w:pPr>
      <w:r>
        <w:t>W Polsce dla pełnego zaspokojeni</w:t>
      </w:r>
      <w:r w:rsidR="00251487">
        <w:t>a</w:t>
      </w:r>
      <w:r>
        <w:t xml:space="preserve"> potrzeb mieszkaniowych brakuje kilk</w:t>
      </w:r>
      <w:r w:rsidR="007B452F">
        <w:t>u</w:t>
      </w:r>
      <w:r>
        <w:t xml:space="preserve"> milionów mieszkań. Istotnym problemem jest również stan infrastruktury mieszkaniowej, np. w centrach miast, gdzie dominuje stara zabudowa mieszkaniowa. Samorządy mają</w:t>
      </w:r>
      <w:r w:rsidR="007B452F">
        <w:t xml:space="preserve"> względnie małe</w:t>
      </w:r>
      <w:r>
        <w:t xml:space="preserve"> możliwości regulowania rynkowych zasad gry w sferze mieszkalnictwa. </w:t>
      </w:r>
      <w:r w:rsidR="00305126" w:rsidRPr="00305126">
        <w:t>Brakuje przy tym znacznej skali programów finansowanych ze źródeł zewnętrznych np.: rządowych, polityki spójności wspierających rozwój mieszkalnictwa komunalnego i społecznego.</w:t>
      </w:r>
      <w:r w:rsidR="00305126">
        <w:t xml:space="preserve"> </w:t>
      </w:r>
      <w:r>
        <w:t>Ceny mieszkań w</w:t>
      </w:r>
      <w:r w:rsidR="000E1FC8">
        <w:t>e</w:t>
      </w:r>
      <w:r>
        <w:t xml:space="preserve"> </w:t>
      </w:r>
      <w:proofErr w:type="spellStart"/>
      <w:r>
        <w:t>WrOF</w:t>
      </w:r>
      <w:proofErr w:type="spellEnd"/>
      <w:r>
        <w:t>, zarówno na rynku pierwotny</w:t>
      </w:r>
      <w:r w:rsidR="00BA2257">
        <w:t>m</w:t>
      </w:r>
      <w:r>
        <w:t>, wtórnym i najmu należą do najwyższych w</w:t>
      </w:r>
      <w:r w:rsidR="007B452F">
        <w:t> </w:t>
      </w:r>
      <w:r>
        <w:t>kraju. Prognozy demograficzne i migracyjne wskazują</w:t>
      </w:r>
      <w:r w:rsidR="007B452F">
        <w:t xml:space="preserve"> na to</w:t>
      </w:r>
      <w:r>
        <w:t xml:space="preserve">, że potrzeby mieszkaniowe we </w:t>
      </w:r>
      <w:proofErr w:type="spellStart"/>
      <w:r>
        <w:t>WrOF</w:t>
      </w:r>
      <w:proofErr w:type="spellEnd"/>
      <w:r>
        <w:t xml:space="preserve"> będą rosnąć, przy jednoczesn</w:t>
      </w:r>
      <w:r w:rsidR="007B452F">
        <w:t>ej</w:t>
      </w:r>
      <w:r>
        <w:t xml:space="preserve"> niedużej możliwości regulowania sytuacji podażowej ze strony budownictwa komunalnego i społecznego. </w:t>
      </w:r>
      <w:r w:rsidR="007B452F">
        <w:t>Wpływać to będzie</w:t>
      </w:r>
      <w:r>
        <w:t xml:space="preserve"> </w:t>
      </w:r>
      <w:r w:rsidR="007B452F">
        <w:t>na zmniejszenie</w:t>
      </w:r>
      <w:r>
        <w:t xml:space="preserve"> dostęp</w:t>
      </w:r>
      <w:r w:rsidR="007B452F">
        <w:t>ności</w:t>
      </w:r>
      <w:r>
        <w:t xml:space="preserve"> do mieszkań dla młodych, migrantów i innych mniej majętnych grup społecznych.</w:t>
      </w:r>
    </w:p>
    <w:p w:rsidR="004B6518" w:rsidRPr="004B6518" w:rsidRDefault="004B6518" w:rsidP="004B6518">
      <w:pPr>
        <w:spacing w:after="160"/>
      </w:pPr>
      <w:r>
        <w:t xml:space="preserve">Przyjęty w 2016 r. </w:t>
      </w:r>
      <w:r w:rsidRPr="004B6518">
        <w:t>uchwałą nr 115/2016 Rady Ministrów</w:t>
      </w:r>
      <w:r>
        <w:t xml:space="preserve"> </w:t>
      </w:r>
      <w:r w:rsidRPr="004B6518">
        <w:t>Narodowy Program Mieszkaniowy wyznacza</w:t>
      </w:r>
      <w:r>
        <w:t xml:space="preserve"> </w:t>
      </w:r>
      <w:r w:rsidRPr="004B6518">
        <w:t>główne kierunki realizacji polityki mieszkaniowej państwa w perspektywie do 2030 r.</w:t>
      </w:r>
      <w:r w:rsidR="001D3719">
        <w:t xml:space="preserve"> Program ten wskazuje potrzebę zwiększania nasycenia rynku mieszkaniami, w szczególności d</w:t>
      </w:r>
      <w:r w:rsidR="00D932A8">
        <w:t>la</w:t>
      </w:r>
      <w:r w:rsidR="001D3719">
        <w:t xml:space="preserve"> osób o niższych dochodach, jak też na potrzebę inwestowania w poprawę standardów mieszkaniowych.</w:t>
      </w:r>
      <w:r w:rsidR="007B452F">
        <w:t xml:space="preserve"> Postulaty zawarte w Programie Mieszkaniowym wydają się jednak trudne do zrealizowania w perspektywie 2030 r. ,zwłaszcza w odniesieniu do sytuacji w</w:t>
      </w:r>
      <w:r w:rsidR="000E1FC8">
        <w:t>e</w:t>
      </w:r>
      <w:r w:rsidR="007B452F">
        <w:t xml:space="preserve"> </w:t>
      </w:r>
      <w:proofErr w:type="spellStart"/>
      <w:r w:rsidR="007B452F">
        <w:t>WrOF</w:t>
      </w:r>
      <w:proofErr w:type="spellEnd"/>
      <w:r w:rsidR="007B452F">
        <w:t>, gdzie dostępność do mieszkań regulują mechanizmy rynkowe oraz wysoki popyt.</w:t>
      </w:r>
    </w:p>
    <w:p w:rsidR="004B6518" w:rsidRPr="004B6518" w:rsidRDefault="004B6518" w:rsidP="003405A0">
      <w:pPr>
        <w:pStyle w:val="Legenda"/>
      </w:pPr>
      <w:bookmarkStart w:id="30" w:name="_Toc189834223"/>
      <w:bookmarkStart w:id="31" w:name="_Toc196905068"/>
      <w:r>
        <w:t xml:space="preserve">Tabela </w:t>
      </w:r>
      <w:r w:rsidR="00646D05">
        <w:fldChar w:fldCharType="begin"/>
      </w:r>
      <w:r>
        <w:instrText xml:space="preserve"> SEQ Tabela \* ARABIC </w:instrText>
      </w:r>
      <w:r w:rsidR="00646D05">
        <w:fldChar w:fldCharType="separate"/>
      </w:r>
      <w:r w:rsidR="0084338D">
        <w:rPr>
          <w:noProof/>
        </w:rPr>
        <w:t>4</w:t>
      </w:r>
      <w:r w:rsidR="00646D05">
        <w:fldChar w:fldCharType="end"/>
      </w:r>
      <w:r>
        <w:t xml:space="preserve">. </w:t>
      </w:r>
      <w:r w:rsidRPr="004B6518">
        <w:t>Główne cele polityki mieszkaniowej państwa w perspektywie do 2030</w:t>
      </w:r>
      <w:bookmarkEnd w:id="30"/>
      <w:bookmarkEnd w:id="31"/>
    </w:p>
    <w:tbl>
      <w:tblPr>
        <w:tblStyle w:val="Tabela-Siatka"/>
        <w:tblW w:w="0" w:type="auto"/>
        <w:tblLook w:val="0420"/>
      </w:tblPr>
      <w:tblGrid>
        <w:gridCol w:w="4531"/>
        <w:gridCol w:w="4531"/>
      </w:tblGrid>
      <w:tr w:rsidR="004B6518" w:rsidRPr="004B6518" w:rsidTr="001D3719">
        <w:trPr>
          <w:tblHeader/>
        </w:trPr>
        <w:tc>
          <w:tcPr>
            <w:tcW w:w="4531" w:type="dxa"/>
            <w:tcBorders>
              <w:top w:val="single" w:sz="4" w:space="0" w:color="auto"/>
              <w:left w:val="single" w:sz="4" w:space="0" w:color="auto"/>
              <w:bottom w:val="single" w:sz="4" w:space="0" w:color="auto"/>
              <w:right w:val="single" w:sz="4" w:space="0" w:color="auto"/>
            </w:tcBorders>
            <w:shd w:val="clear" w:color="auto" w:fill="F3CD42" w:themeFill="accent2"/>
            <w:hideMark/>
          </w:tcPr>
          <w:p w:rsidR="004B6518" w:rsidRPr="004B6518" w:rsidRDefault="004B6518" w:rsidP="004B6518">
            <w:pPr>
              <w:spacing w:after="160"/>
            </w:pPr>
            <w:r w:rsidRPr="004B6518">
              <w:t>Cel</w:t>
            </w:r>
          </w:p>
        </w:tc>
        <w:tc>
          <w:tcPr>
            <w:tcW w:w="4531" w:type="dxa"/>
            <w:tcBorders>
              <w:top w:val="single" w:sz="4" w:space="0" w:color="auto"/>
              <w:left w:val="single" w:sz="4" w:space="0" w:color="auto"/>
              <w:bottom w:val="single" w:sz="4" w:space="0" w:color="auto"/>
              <w:right w:val="single" w:sz="4" w:space="0" w:color="auto"/>
            </w:tcBorders>
            <w:shd w:val="clear" w:color="auto" w:fill="F3CD42" w:themeFill="accent2"/>
            <w:hideMark/>
          </w:tcPr>
          <w:p w:rsidR="004B6518" w:rsidRPr="004B6518" w:rsidRDefault="004B6518" w:rsidP="004B6518">
            <w:pPr>
              <w:spacing w:after="160"/>
            </w:pPr>
            <w:r w:rsidRPr="004B6518">
              <w:t>Miernik</w:t>
            </w:r>
          </w:p>
        </w:tc>
      </w:tr>
      <w:tr w:rsidR="004B6518" w:rsidRPr="004B6518" w:rsidTr="004B6518">
        <w:tc>
          <w:tcPr>
            <w:tcW w:w="4531" w:type="dxa"/>
            <w:tcBorders>
              <w:top w:val="single" w:sz="4" w:space="0" w:color="auto"/>
              <w:left w:val="single" w:sz="4" w:space="0" w:color="auto"/>
              <w:bottom w:val="single" w:sz="4" w:space="0" w:color="auto"/>
              <w:right w:val="single" w:sz="4" w:space="0" w:color="auto"/>
            </w:tcBorders>
            <w:hideMark/>
          </w:tcPr>
          <w:p w:rsidR="004B6518" w:rsidRPr="004B6518" w:rsidRDefault="004B6518" w:rsidP="001D3719">
            <w:pPr>
              <w:spacing w:after="160"/>
              <w:jc w:val="left"/>
            </w:pPr>
            <w:r w:rsidRPr="004B6518">
              <w:t>Zwiększenie dostępu do mieszkań dla osób o</w:t>
            </w:r>
            <w:r w:rsidR="001D3719">
              <w:t> </w:t>
            </w:r>
            <w:r w:rsidRPr="004B6518">
              <w:t>dochodach uniemożliwiających nabycie lub wynajęcie mieszkania na zasadach komercyjnych</w:t>
            </w:r>
          </w:p>
        </w:tc>
        <w:tc>
          <w:tcPr>
            <w:tcW w:w="4531" w:type="dxa"/>
            <w:tcBorders>
              <w:top w:val="single" w:sz="4" w:space="0" w:color="auto"/>
              <w:left w:val="single" w:sz="4" w:space="0" w:color="auto"/>
              <w:bottom w:val="single" w:sz="4" w:space="0" w:color="auto"/>
              <w:right w:val="single" w:sz="4" w:space="0" w:color="auto"/>
            </w:tcBorders>
            <w:hideMark/>
          </w:tcPr>
          <w:p w:rsidR="004B6518" w:rsidRPr="004B6518" w:rsidRDefault="004B6518" w:rsidP="001D3719">
            <w:pPr>
              <w:spacing w:after="160"/>
              <w:jc w:val="left"/>
            </w:pPr>
            <w:r w:rsidRPr="004B6518">
              <w:t>Do 2030 r. liczba mieszkań, która przypada na 1 tys. mieszkańców powinna osiągnąć wysokość mieszczącą się w aktualnej średniej Unii Europejskiej. Oznacza to wzrost tego wskaźnika do 435 mieszkań na 1000 osób.</w:t>
            </w:r>
          </w:p>
        </w:tc>
      </w:tr>
      <w:tr w:rsidR="004B6518" w:rsidRPr="004B6518" w:rsidTr="004B6518">
        <w:tc>
          <w:tcPr>
            <w:tcW w:w="4531" w:type="dxa"/>
            <w:tcBorders>
              <w:top w:val="single" w:sz="4" w:space="0" w:color="auto"/>
              <w:left w:val="single" w:sz="4" w:space="0" w:color="auto"/>
              <w:bottom w:val="single" w:sz="4" w:space="0" w:color="auto"/>
              <w:right w:val="single" w:sz="4" w:space="0" w:color="auto"/>
            </w:tcBorders>
            <w:hideMark/>
          </w:tcPr>
          <w:p w:rsidR="004B6518" w:rsidRPr="004B6518" w:rsidRDefault="004B6518" w:rsidP="001D3719">
            <w:pPr>
              <w:spacing w:after="160"/>
              <w:jc w:val="left"/>
            </w:pPr>
            <w:r w:rsidRPr="004B6518">
              <w:t xml:space="preserve">Zwiększenie możliwości zaspokojenia podstawowych potrzeb mieszkaniowych osób zagrożonych wykluczeniem społecznym ze względu na niskie dochody lub szczególnie </w:t>
            </w:r>
            <w:r w:rsidRPr="004B6518">
              <w:lastRenderedPageBreak/>
              <w:t>trudną sytuację życiową</w:t>
            </w:r>
          </w:p>
        </w:tc>
        <w:tc>
          <w:tcPr>
            <w:tcW w:w="4531" w:type="dxa"/>
            <w:tcBorders>
              <w:top w:val="single" w:sz="4" w:space="0" w:color="auto"/>
              <w:left w:val="single" w:sz="4" w:space="0" w:color="auto"/>
              <w:bottom w:val="single" w:sz="4" w:space="0" w:color="auto"/>
              <w:right w:val="single" w:sz="4" w:space="0" w:color="auto"/>
            </w:tcBorders>
            <w:hideMark/>
          </w:tcPr>
          <w:p w:rsidR="004B6518" w:rsidRPr="004B6518" w:rsidRDefault="004B6518" w:rsidP="001D3719">
            <w:pPr>
              <w:spacing w:after="160"/>
              <w:jc w:val="left"/>
            </w:pPr>
            <w:r w:rsidRPr="004B6518">
              <w:lastRenderedPageBreak/>
              <w:t xml:space="preserve">Do 2030 r. samorządy gminne powinny dysponować możliwościami zaspokojenia potrzeb mieszkaniowych wszystkich gospodarstw domowych, które oczekują </w:t>
            </w:r>
            <w:r w:rsidRPr="004B6518">
              <w:lastRenderedPageBreak/>
              <w:t>aktualnie na najem mieszkania od gminy.</w:t>
            </w:r>
          </w:p>
        </w:tc>
      </w:tr>
      <w:tr w:rsidR="004B6518" w:rsidRPr="004B6518" w:rsidTr="004B6518">
        <w:tc>
          <w:tcPr>
            <w:tcW w:w="4531" w:type="dxa"/>
            <w:tcBorders>
              <w:top w:val="single" w:sz="4" w:space="0" w:color="auto"/>
              <w:left w:val="single" w:sz="4" w:space="0" w:color="auto"/>
              <w:bottom w:val="single" w:sz="4" w:space="0" w:color="auto"/>
              <w:right w:val="single" w:sz="4" w:space="0" w:color="auto"/>
            </w:tcBorders>
            <w:hideMark/>
          </w:tcPr>
          <w:p w:rsidR="004B6518" w:rsidRPr="004B6518" w:rsidRDefault="004B6518" w:rsidP="001D3719">
            <w:pPr>
              <w:spacing w:after="160"/>
              <w:jc w:val="left"/>
            </w:pPr>
            <w:r w:rsidRPr="004B6518">
              <w:lastRenderedPageBreak/>
              <w:t>Poprawa warunków mieszkaniowych społeczeństwa, stanu technicznego zasobów mieszkaniowych oraz zwiększenie efektywności energetycznej</w:t>
            </w:r>
          </w:p>
        </w:tc>
        <w:tc>
          <w:tcPr>
            <w:tcW w:w="4531" w:type="dxa"/>
            <w:tcBorders>
              <w:top w:val="single" w:sz="4" w:space="0" w:color="auto"/>
              <w:left w:val="single" w:sz="4" w:space="0" w:color="auto"/>
              <w:bottom w:val="single" w:sz="4" w:space="0" w:color="auto"/>
              <w:right w:val="single" w:sz="4" w:space="0" w:color="auto"/>
            </w:tcBorders>
            <w:hideMark/>
          </w:tcPr>
          <w:p w:rsidR="004B6518" w:rsidRPr="004B6518" w:rsidRDefault="004B6518" w:rsidP="001D3719">
            <w:pPr>
              <w:spacing w:after="160"/>
              <w:jc w:val="left"/>
            </w:pPr>
            <w:r w:rsidRPr="004B6518">
              <w:t>Do 2030 r. liczba osób mieszkających w</w:t>
            </w:r>
            <w:r w:rsidR="00D932A8">
              <w:t> </w:t>
            </w:r>
            <w:r w:rsidRPr="004B6518">
              <w:t xml:space="preserve">warunkach </w:t>
            </w:r>
            <w:proofErr w:type="spellStart"/>
            <w:r w:rsidRPr="004B6518">
              <w:t>substandardowych</w:t>
            </w:r>
            <w:proofErr w:type="spellEnd"/>
            <w:r w:rsidRPr="004B6518">
              <w:t xml:space="preserve"> powinna się obniżyć o 2 mln osób (z ok. 5,3 mln do ok. 3,3 mln).</w:t>
            </w:r>
          </w:p>
        </w:tc>
      </w:tr>
    </w:tbl>
    <w:p w:rsidR="004B6518" w:rsidRPr="004B6518" w:rsidRDefault="004B6518" w:rsidP="00D62CBB">
      <w:pPr>
        <w:pStyle w:val="rdo"/>
      </w:pPr>
      <w:r w:rsidRPr="004B6518">
        <w:t>Źródło: opracowanie własne na podstawie Narodowego Programu Mieszkaniowego</w:t>
      </w:r>
      <w:r w:rsidR="0013615C">
        <w:t xml:space="preserve"> (dostęp 31.01.2025)</w:t>
      </w:r>
    </w:p>
    <w:p w:rsidR="004B6518" w:rsidRDefault="001D3719" w:rsidP="00AD3564">
      <w:pPr>
        <w:spacing w:after="160"/>
      </w:pPr>
      <w:r>
        <w:t>W kontekście celów</w:t>
      </w:r>
      <w:r w:rsidR="007B452F">
        <w:t xml:space="preserve"> Narodowego Programu Mieszkaniowego</w:t>
      </w:r>
      <w:r>
        <w:t xml:space="preserve"> należy zwrócić uwagę, iż </w:t>
      </w:r>
      <w:proofErr w:type="spellStart"/>
      <w:r>
        <w:t>WrOF</w:t>
      </w:r>
      <w:proofErr w:type="spellEnd"/>
      <w:r>
        <w:t xml:space="preserve"> jest przestrzenią dynamicznych zmian, zarówno demograficznych, jak też związanych z rozwojem osadniczym. Procesy podażowe i popytowe w </w:t>
      </w:r>
      <w:proofErr w:type="spellStart"/>
      <w:r>
        <w:t>WrOF</w:t>
      </w:r>
      <w:proofErr w:type="spellEnd"/>
      <w:r w:rsidR="007B452F">
        <w:t xml:space="preserve"> odnoszące się do</w:t>
      </w:r>
      <w:r>
        <w:t xml:space="preserve"> mieszkalnictwa </w:t>
      </w:r>
      <w:r w:rsidR="00E35C98">
        <w:t>dotyczą</w:t>
      </w:r>
      <w:r>
        <w:t xml:space="preserve"> </w:t>
      </w:r>
      <w:r w:rsidR="007B452F">
        <w:t xml:space="preserve">zarówno </w:t>
      </w:r>
      <w:r>
        <w:t xml:space="preserve">budownictwa jednorodzinnego, jak też wielorodzinnego, </w:t>
      </w:r>
      <w:r w:rsidR="00E35C98">
        <w:t xml:space="preserve">widoczne są </w:t>
      </w:r>
      <w:r>
        <w:t>w przestrzeniach miejskich, jak też</w:t>
      </w:r>
      <w:r w:rsidR="007B452F">
        <w:t xml:space="preserve"> na</w:t>
      </w:r>
      <w:r>
        <w:t xml:space="preserve"> terenach wiejskich, w</w:t>
      </w:r>
      <w:r w:rsidR="00E35C98">
        <w:t> </w:t>
      </w:r>
      <w:r>
        <w:t>szczególności podmiejskich względem Wrocławia</w:t>
      </w:r>
      <w:r w:rsidR="00E35C98">
        <w:t xml:space="preserve"> oraz w miastach.</w:t>
      </w:r>
    </w:p>
    <w:p w:rsidR="001D3719" w:rsidRDefault="001D3719" w:rsidP="00AD3564">
      <w:pPr>
        <w:spacing w:after="160"/>
      </w:pPr>
      <w:r>
        <w:t>Jak pokazują dane demograficzne</w:t>
      </w:r>
      <w:r w:rsidR="00E35C98">
        <w:t>,</w:t>
      </w:r>
      <w:r>
        <w:t xml:space="preserve"> </w:t>
      </w:r>
      <w:proofErr w:type="spellStart"/>
      <w:r>
        <w:t>WrOF</w:t>
      </w:r>
      <w:proofErr w:type="spellEnd"/>
      <w:r w:rsidR="00E35C98">
        <w:t xml:space="preserve"> a w szczególności Wrocław</w:t>
      </w:r>
      <w:r>
        <w:t xml:space="preserve">, posiada znaczący potencjał przyciągania młodych mieszkańców. </w:t>
      </w:r>
      <w:r w:rsidR="00E35C98">
        <w:t>O</w:t>
      </w:r>
      <w:r>
        <w:t>bszary podmiejskie</w:t>
      </w:r>
      <w:r w:rsidR="00E35C98">
        <w:t xml:space="preserve"> z kolei</w:t>
      </w:r>
      <w:r>
        <w:t xml:space="preserve"> charakteryzuje duża dynamika rozwoju urbanizacyjnego</w:t>
      </w:r>
      <w:r w:rsidR="00E35C98">
        <w:t>. Te przestrzenie</w:t>
      </w:r>
      <w:r>
        <w:t xml:space="preserve"> przyciągają osoby, które stać z różnych względów na przeprowadzę poza miasto. Sprzyja temu proces bogacenia się społeczeństwa</w:t>
      </w:r>
      <w:r w:rsidR="00F277A4">
        <w:t xml:space="preserve"> i</w:t>
      </w:r>
      <w:r w:rsidR="007F7C70">
        <w:t> </w:t>
      </w:r>
      <w:r>
        <w:t>chęć poprawy warunków mieszkaniowych.</w:t>
      </w:r>
    </w:p>
    <w:p w:rsidR="002B54F2" w:rsidRPr="007B452F" w:rsidRDefault="006248D9" w:rsidP="007B452F">
      <w:pPr>
        <w:spacing w:after="160"/>
      </w:pPr>
      <w:r>
        <w:t xml:space="preserve">We wszystkich powiatach obejmujących swoim zasięgiem gminy </w:t>
      </w:r>
      <w:proofErr w:type="spellStart"/>
      <w:r>
        <w:t>WrOF</w:t>
      </w:r>
      <w:proofErr w:type="spellEnd"/>
      <w:r>
        <w:t xml:space="preserve"> od 2013 do 2023 r. </w:t>
      </w:r>
      <w:r w:rsidR="002B54F2">
        <w:t xml:space="preserve">odnotowano </w:t>
      </w:r>
      <w:r>
        <w:t>znaczący wzrost cen mieszkań. Dynamika wzrostu była wyższa od średniej dla województwa dolnośląskiego (75%) i kraju (81%). Najwyższy wzrost cen mieszkań odnotowano w</w:t>
      </w:r>
      <w:r w:rsidR="002B54F2">
        <w:t> </w:t>
      </w:r>
      <w:r>
        <w:t>powiecie średzkim (123%) i oleśnickim (103%), co związane jest niewątpliwe z coraz większym popytem na mieszkania na tym obszarze. Ceny mieszkań w przypadku powiatu średzkiego</w:t>
      </w:r>
      <w:r w:rsidR="002B54F2">
        <w:t xml:space="preserve">, </w:t>
      </w:r>
      <w:r>
        <w:t>oleśnickiego, jak też</w:t>
      </w:r>
      <w:r w:rsidR="002B54F2">
        <w:t xml:space="preserve"> cen mieszkań</w:t>
      </w:r>
      <w:r>
        <w:t xml:space="preserve"> w powiecie trzebnickim i oławskim w 2023 r. nadal były konkurencyjne względem cen mieszkań we Wrocławiu (10 151 zł za m</w:t>
      </w:r>
      <w:r>
        <w:rPr>
          <w:vertAlign w:val="superscript"/>
        </w:rPr>
        <w:t>2</w:t>
      </w:r>
      <w:r>
        <w:t xml:space="preserve">). </w:t>
      </w:r>
      <w:r w:rsidR="002B54F2">
        <w:t>C</w:t>
      </w:r>
      <w:r>
        <w:t>eny mieszkań we Wrocławiu należały do najwyższych w skali kraju. Należy prognozować, iż Wrocław podtrzyma swoją atrakcyjność mieszkaniową, w szczególności dla osób młodych</w:t>
      </w:r>
      <w:r w:rsidR="00344BD8">
        <w:t xml:space="preserve">, migrantów, studentów. </w:t>
      </w:r>
      <w:r w:rsidR="002B54F2">
        <w:t>W</w:t>
      </w:r>
      <w:r w:rsidR="00344BD8">
        <w:t>pływać</w:t>
      </w:r>
      <w:r w:rsidR="002B54F2">
        <w:t xml:space="preserve"> to</w:t>
      </w:r>
      <w:r w:rsidR="00344BD8">
        <w:t xml:space="preserve"> będzie na popyt na mieszkania, w tym w formie najmu</w:t>
      </w:r>
      <w:r w:rsidR="002B54F2">
        <w:t xml:space="preserve"> oraz na </w:t>
      </w:r>
      <w:r w:rsidR="00344BD8">
        <w:t>utrzymanie wysokich cen mieszkań</w:t>
      </w:r>
      <w:r w:rsidR="002B54F2">
        <w:t>. Docelowo</w:t>
      </w:r>
      <w:r w:rsidR="00344BD8">
        <w:t xml:space="preserve"> ograniczać będzie</w:t>
      </w:r>
      <w:r w:rsidR="002B54F2">
        <w:t xml:space="preserve"> to</w:t>
      </w:r>
      <w:r w:rsidR="00344BD8">
        <w:t xml:space="preserve"> zdolności </w:t>
      </w:r>
      <w:proofErr w:type="spellStart"/>
      <w:r w:rsidR="00344BD8">
        <w:t>WrOF</w:t>
      </w:r>
      <w:proofErr w:type="spellEnd"/>
      <w:r w:rsidR="00344BD8">
        <w:t xml:space="preserve"> do zaspokojenie rosnących potrzeb mieszkaniowych osób o niższych dochodach.</w:t>
      </w:r>
      <w:r w:rsidR="002B54F2">
        <w:br w:type="page"/>
      </w:r>
    </w:p>
    <w:p w:rsidR="00FD1882" w:rsidRDefault="00001EFB" w:rsidP="003405A0">
      <w:pPr>
        <w:pStyle w:val="Legenda"/>
      </w:pPr>
      <w:bookmarkStart w:id="32" w:name="_Toc197678824"/>
      <w:r>
        <w:lastRenderedPageBreak/>
        <w:t xml:space="preserve">Wykres </w:t>
      </w:r>
      <w:r w:rsidR="00646D05">
        <w:fldChar w:fldCharType="begin"/>
      </w:r>
      <w:r>
        <w:instrText xml:space="preserve"> SEQ Wykres \* ARABIC </w:instrText>
      </w:r>
      <w:r w:rsidR="00646D05">
        <w:fldChar w:fldCharType="separate"/>
      </w:r>
      <w:r w:rsidR="0084338D">
        <w:rPr>
          <w:noProof/>
        </w:rPr>
        <w:t>10</w:t>
      </w:r>
      <w:r w:rsidR="00646D05">
        <w:fldChar w:fldCharType="end"/>
      </w:r>
      <w:r>
        <w:t xml:space="preserve">. </w:t>
      </w:r>
      <w:r w:rsidR="006248D9">
        <w:t>Transakcje rynkowe na rynku nieruchomości – cena zakupu m</w:t>
      </w:r>
      <w:r w:rsidR="006248D9" w:rsidRPr="006248D9">
        <w:rPr>
          <w:vertAlign w:val="superscript"/>
        </w:rPr>
        <w:t>2</w:t>
      </w:r>
      <w:r w:rsidR="006248D9">
        <w:t xml:space="preserve"> powierzchni mieszkaniowej</w:t>
      </w:r>
      <w:bookmarkEnd w:id="32"/>
    </w:p>
    <w:p w:rsidR="00001EFB" w:rsidRDefault="00001EFB" w:rsidP="00AD3564">
      <w:pPr>
        <w:spacing w:after="160"/>
      </w:pPr>
      <w:r>
        <w:rPr>
          <w:noProof/>
          <w:lang w:eastAsia="pl-PL"/>
        </w:rPr>
        <w:drawing>
          <wp:inline distT="0" distB="0" distL="0" distR="0">
            <wp:extent cx="5829300" cy="3195320"/>
            <wp:effectExtent l="0" t="0" r="0" b="0"/>
            <wp:docPr id="562651742" name="Wykres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5EFE7892-C792-F262-5CD3-79F40AAB9A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344BD8" w:rsidRDefault="00344BD8" w:rsidP="00D62CBB">
      <w:pPr>
        <w:pStyle w:val="rdo"/>
      </w:pPr>
      <w:r w:rsidRPr="004B6518">
        <w:t>Źródło: opracowanie własne</w:t>
      </w:r>
      <w:r>
        <w:t xml:space="preserve"> na podstawie danych GUS</w:t>
      </w:r>
      <w:r w:rsidR="0013615C">
        <w:t xml:space="preserve"> (dostęp 31.01.2025)</w:t>
      </w:r>
    </w:p>
    <w:p w:rsidR="002B54F2" w:rsidRDefault="002B54F2" w:rsidP="002B54F2">
      <w:pPr>
        <w:spacing w:after="160"/>
      </w:pPr>
      <w:r>
        <w:t xml:space="preserve">Potwierdzeniem tezy o rosnącym popycie na mieszkania w </w:t>
      </w:r>
      <w:proofErr w:type="spellStart"/>
      <w:r>
        <w:t>WrOF</w:t>
      </w:r>
      <w:proofErr w:type="spellEnd"/>
      <w:r>
        <w:t xml:space="preserve"> są dane odnoszące się do transakcji na rynku nieruchomości w odniesieniu do rynku wtórnego. W tym przypadku skala wzrostu cen mieszkań w wybranych powiatach była wyraźnie wyższa od średniej wojewódzkiej i krajowej. W powiecie średzkim ceny mieszkań na rynku wtórnym wzrosły w okresie od 2013 r. do 2023 r. o 141,7%, we Wrocławiu o 125,7%, w powiecie wrocławskim o 121,6% a w powiecie oławskim o 121,1%. Ceny mieszkań na rynku wtórnym w 2023 r. były wyższe we Wrocławiu niż na rynku pierwotnym. </w:t>
      </w:r>
    </w:p>
    <w:p w:rsidR="0063753D" w:rsidRDefault="0063753D">
      <w:pPr>
        <w:spacing w:after="160" w:line="259" w:lineRule="auto"/>
        <w:jc w:val="left"/>
        <w:rPr>
          <w:iCs/>
          <w:color w:val="363735" w:themeColor="accent3"/>
          <w:sz w:val="20"/>
          <w:szCs w:val="18"/>
        </w:rPr>
      </w:pPr>
      <w:r>
        <w:br w:type="page"/>
      </w:r>
    </w:p>
    <w:p w:rsidR="0050091E" w:rsidRDefault="0050091E" w:rsidP="003405A0">
      <w:pPr>
        <w:pStyle w:val="Legenda"/>
      </w:pPr>
      <w:bookmarkStart w:id="33" w:name="_Toc197678825"/>
      <w:r>
        <w:lastRenderedPageBreak/>
        <w:t xml:space="preserve">Wykres </w:t>
      </w:r>
      <w:r w:rsidR="00646D05">
        <w:fldChar w:fldCharType="begin"/>
      </w:r>
      <w:r>
        <w:instrText xml:space="preserve"> SEQ Wykres \* ARABIC </w:instrText>
      </w:r>
      <w:r w:rsidR="00646D05">
        <w:fldChar w:fldCharType="separate"/>
      </w:r>
      <w:r w:rsidR="0084338D">
        <w:rPr>
          <w:noProof/>
        </w:rPr>
        <w:t>11</w:t>
      </w:r>
      <w:r w:rsidR="00646D05">
        <w:fldChar w:fldCharType="end"/>
      </w:r>
      <w:r>
        <w:t>. Transakcje rynkowe na rynku nieruchomości – cena zakupu m</w:t>
      </w:r>
      <w:r w:rsidRPr="006248D9">
        <w:rPr>
          <w:vertAlign w:val="superscript"/>
        </w:rPr>
        <w:t>2</w:t>
      </w:r>
      <w:r>
        <w:t xml:space="preserve"> powierzchni mieszkaniowej na rynku wtórnym</w:t>
      </w:r>
      <w:bookmarkEnd w:id="33"/>
    </w:p>
    <w:p w:rsidR="0050091E" w:rsidRDefault="0050091E">
      <w:pPr>
        <w:spacing w:after="160" w:line="259" w:lineRule="auto"/>
        <w:jc w:val="left"/>
      </w:pPr>
      <w:r>
        <w:rPr>
          <w:noProof/>
          <w:lang w:eastAsia="pl-PL"/>
        </w:rPr>
        <w:drawing>
          <wp:inline distT="0" distB="0" distL="0" distR="0">
            <wp:extent cx="5924550" cy="3052445"/>
            <wp:effectExtent l="0" t="0" r="0" b="0"/>
            <wp:docPr id="1992706477" name="Wykres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3B9F5A2F-2534-1F44-7D94-9480A65A3F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0091E" w:rsidRDefault="0050091E" w:rsidP="00D62CBB">
      <w:pPr>
        <w:pStyle w:val="rdo"/>
      </w:pPr>
      <w:r w:rsidRPr="004B6518">
        <w:t>Źródło: opracowanie własne</w:t>
      </w:r>
      <w:r>
        <w:t xml:space="preserve"> na podstawie danych GUS</w:t>
      </w:r>
      <w:r w:rsidR="0013615C">
        <w:t xml:space="preserve"> (dostęp 31.01.2025)</w:t>
      </w:r>
    </w:p>
    <w:p w:rsidR="00FD1882" w:rsidRDefault="00FD1882">
      <w:pPr>
        <w:spacing w:after="160" w:line="259" w:lineRule="auto"/>
        <w:jc w:val="left"/>
        <w:rPr>
          <w:rFonts w:asciiTheme="majorHAnsi" w:eastAsiaTheme="majorEastAsia" w:hAnsiTheme="majorHAnsi" w:cstheme="majorBidi"/>
          <w:color w:val="1E7DBF" w:themeColor="accent1"/>
          <w:sz w:val="32"/>
          <w:szCs w:val="32"/>
        </w:rPr>
      </w:pPr>
      <w:r>
        <w:br w:type="page"/>
      </w:r>
    </w:p>
    <w:p w:rsidR="00AD3564" w:rsidRPr="00AD3564" w:rsidRDefault="008B55DE" w:rsidP="008B55DE">
      <w:pPr>
        <w:pStyle w:val="Nagwek2"/>
        <w:numPr>
          <w:ilvl w:val="0"/>
          <w:numId w:val="0"/>
        </w:numPr>
        <w:ind w:left="993" w:hanging="851"/>
      </w:pPr>
      <w:bookmarkStart w:id="34" w:name="_Toc196905126"/>
      <w:r>
        <w:lastRenderedPageBreak/>
        <w:t xml:space="preserve">2.5. </w:t>
      </w:r>
      <w:r w:rsidR="008E2583">
        <w:t>Rozwój e</w:t>
      </w:r>
      <w:r w:rsidR="00AD3564" w:rsidRPr="00AD3564">
        <w:t>dukacj</w:t>
      </w:r>
      <w:r w:rsidR="008E2583">
        <w:t>i</w:t>
      </w:r>
      <w:bookmarkEnd w:id="34"/>
    </w:p>
    <w:p w:rsidR="00AD3564" w:rsidRPr="003E5A69" w:rsidRDefault="00AD3564" w:rsidP="00AD3564">
      <w:r w:rsidRPr="003E5A69">
        <w:t xml:space="preserve">Strategia umiejętności OECD Polska wskazuje na </w:t>
      </w:r>
      <w:proofErr w:type="spellStart"/>
      <w:r w:rsidRPr="003E5A69">
        <w:t>megatrendy</w:t>
      </w:r>
      <w:proofErr w:type="spellEnd"/>
      <w:r w:rsidRPr="003E5A69">
        <w:t>, do których zalicza globalizację, cyfryzację i zmiany demograficzne, zmieniające stanowiska pracy, funkcjonowanie społeczeństw oraz interakcje międzyludzkie.</w:t>
      </w:r>
    </w:p>
    <w:p w:rsidR="00AD3564" w:rsidRPr="003E5A69" w:rsidRDefault="00AD3564" w:rsidP="00AD3564">
      <w:r w:rsidRPr="003E5A69">
        <w:t>Polska przeżywa okres mocnego wzrostu gospodarczego. Jednak wzrost gospodarczy i konwergencja dochodów w Polsce w dużej mierze wynikają z bardziej efektywnej alokacji zasobów, zatem potrzebne są nowe źródła wzrostu. Polska nadal pozostaje w tyle pod względem niemal wszystkich mierników innowacyjności.</w:t>
      </w:r>
    </w:p>
    <w:p w:rsidR="00AD3564" w:rsidRPr="003E5A69" w:rsidRDefault="00AD3564" w:rsidP="00AD3564">
      <w:r w:rsidRPr="003E5A69">
        <w:t>Obecna korzystna sytuacja gospodarcza Polski daje jej wyjątkową szansę na wzmocnienie systemu umiejętności, czyli sposobu rozwijania i wykorzystywania umiejętności oraz sposobu zarządzania polityką w zakresie umiejętności.</w:t>
      </w:r>
    </w:p>
    <w:p w:rsidR="00AD3564" w:rsidRDefault="00AD3564" w:rsidP="00AD3564">
      <w:pPr>
        <w:spacing w:after="160"/>
      </w:pPr>
      <w:r w:rsidRPr="003E5A69">
        <w:t>Zakłada się, iż w przyszłych koncepcjach rozwoju kraju model edukacji ukierunkowany przez całe życie stanie się jednym z priorytetów. Oznacza to, że wspierane i realizowane będą inwestycje w</w:t>
      </w:r>
      <w:r w:rsidR="003E5A69" w:rsidRPr="003E5A69">
        <w:t> </w:t>
      </w:r>
      <w:r w:rsidRPr="003E5A69">
        <w:t xml:space="preserve">ten model edukacji. </w:t>
      </w:r>
      <w:proofErr w:type="spellStart"/>
      <w:r w:rsidRPr="003E5A69">
        <w:t>WrOF</w:t>
      </w:r>
      <w:proofErr w:type="spellEnd"/>
      <w:r w:rsidRPr="003E5A69">
        <w:t xml:space="preserve"> posiada szczególne potencjały dla rozwoju wysokiej jakości edukacji, co związane jest z istniejącym potencjałem edukacji i wychowania oraz potencjałem i możliwościami rozwoju innowacyjnych branż i dziedzin gospodarki.</w:t>
      </w:r>
      <w:r w:rsidR="004A600C">
        <w:rPr>
          <w:rStyle w:val="Odwoanieprzypisudolnego"/>
        </w:rPr>
        <w:footnoteReference w:id="4"/>
      </w:r>
    </w:p>
    <w:p w:rsidR="003E5A69" w:rsidRDefault="003E5A69" w:rsidP="003405A0">
      <w:pPr>
        <w:pStyle w:val="Legenda"/>
      </w:pPr>
      <w:bookmarkStart w:id="35" w:name="_Toc189834222"/>
      <w:bookmarkStart w:id="36" w:name="_Toc196905069"/>
      <w:r>
        <w:t xml:space="preserve">Tabela </w:t>
      </w:r>
      <w:r w:rsidR="00646D05">
        <w:fldChar w:fldCharType="begin"/>
      </w:r>
      <w:r>
        <w:instrText xml:space="preserve"> SEQ Tabela \* ARABIC </w:instrText>
      </w:r>
      <w:r w:rsidR="00646D05">
        <w:fldChar w:fldCharType="separate"/>
      </w:r>
      <w:r w:rsidR="0084338D">
        <w:rPr>
          <w:noProof/>
        </w:rPr>
        <w:t>5</w:t>
      </w:r>
      <w:r w:rsidR="00646D05">
        <w:rPr>
          <w:noProof/>
        </w:rPr>
        <w:fldChar w:fldCharType="end"/>
      </w:r>
      <w:r>
        <w:t xml:space="preserve">. Ramy </w:t>
      </w:r>
      <w:r w:rsidRPr="00BD21AB">
        <w:t>Strategii Umiejętności OECD</w:t>
      </w:r>
      <w:r>
        <w:t xml:space="preserve"> w stosunku do Polski</w:t>
      </w:r>
      <w:bookmarkEnd w:id="35"/>
      <w:bookmarkEnd w:id="36"/>
    </w:p>
    <w:tbl>
      <w:tblPr>
        <w:tblStyle w:val="Tabela-Siatka"/>
        <w:tblW w:w="0" w:type="auto"/>
        <w:tblLook w:val="0420"/>
      </w:tblPr>
      <w:tblGrid>
        <w:gridCol w:w="2689"/>
        <w:gridCol w:w="6373"/>
      </w:tblGrid>
      <w:tr w:rsidR="003E5A69" w:rsidRPr="009424A5" w:rsidTr="00442AFE">
        <w:trPr>
          <w:tblHeader/>
        </w:trPr>
        <w:tc>
          <w:tcPr>
            <w:tcW w:w="2689" w:type="dxa"/>
            <w:shd w:val="clear" w:color="auto" w:fill="F3CD42" w:themeFill="accent2"/>
          </w:tcPr>
          <w:p w:rsidR="003E5A69" w:rsidRPr="009424A5" w:rsidRDefault="003E5A69" w:rsidP="00A31037">
            <w:pPr>
              <w:spacing w:line="276" w:lineRule="auto"/>
            </w:pPr>
            <w:r>
              <w:t>Obszar strategiczny</w:t>
            </w:r>
          </w:p>
        </w:tc>
        <w:tc>
          <w:tcPr>
            <w:tcW w:w="6373" w:type="dxa"/>
            <w:shd w:val="clear" w:color="auto" w:fill="F3CD42" w:themeFill="accent2"/>
          </w:tcPr>
          <w:p w:rsidR="003E5A69" w:rsidRPr="009424A5" w:rsidRDefault="003E5A69" w:rsidP="00A31037">
            <w:pPr>
              <w:spacing w:line="276" w:lineRule="auto"/>
            </w:pPr>
            <w:r w:rsidRPr="009424A5">
              <w:t>Opis</w:t>
            </w:r>
          </w:p>
        </w:tc>
      </w:tr>
      <w:tr w:rsidR="003E5A69" w:rsidRPr="009424A5" w:rsidTr="00442AFE">
        <w:tc>
          <w:tcPr>
            <w:tcW w:w="2689" w:type="dxa"/>
          </w:tcPr>
          <w:p w:rsidR="003E5A69" w:rsidRPr="009424A5" w:rsidRDefault="003E5A69" w:rsidP="00A31037">
            <w:pPr>
              <w:spacing w:line="276" w:lineRule="auto"/>
            </w:pPr>
            <w:r w:rsidRPr="009424A5">
              <w:t>Rozwijanie potrzebnych umiejętności przez całe życie</w:t>
            </w:r>
          </w:p>
        </w:tc>
        <w:tc>
          <w:tcPr>
            <w:tcW w:w="6373" w:type="dxa"/>
          </w:tcPr>
          <w:p w:rsidR="003E5A69" w:rsidRPr="009424A5" w:rsidRDefault="003E5A69" w:rsidP="00A31037">
            <w:pPr>
              <w:spacing w:line="276" w:lineRule="auto"/>
            </w:pPr>
            <w:r w:rsidRPr="009424A5">
              <w:t>Aby kraje były w stanie dostosować się i rozwijać w szybko zmieniającym się świecie, wszyscy ludzie muszą mieć możliwość rozwoju i utrzymania szerokiego zestawu umiejętności na wysokim poziomie. Proces ten trwa całe życie, począwszy od dzieciństwa i okresu młodzieńczego, a następnie przez całą dorosłość. Dotyczy on wszystkich aspektów życia i występuje zarówno formalnie w szkołach i szkolnictwie wyższym, jak i</w:t>
            </w:r>
            <w:r>
              <w:t> </w:t>
            </w:r>
            <w:proofErr w:type="spellStart"/>
            <w:r w:rsidRPr="009424A5">
              <w:t>pozaformalnie</w:t>
            </w:r>
            <w:proofErr w:type="spellEnd"/>
            <w:r w:rsidRPr="009424A5">
              <w:t xml:space="preserve"> oraz nieformalnie w domu, społeczności i</w:t>
            </w:r>
            <w:r>
              <w:t> </w:t>
            </w:r>
            <w:r w:rsidRPr="009424A5">
              <w:t>miejscach pracy.</w:t>
            </w:r>
          </w:p>
        </w:tc>
      </w:tr>
      <w:tr w:rsidR="003E5A69" w:rsidRPr="009424A5" w:rsidTr="00442AFE">
        <w:tc>
          <w:tcPr>
            <w:tcW w:w="2689" w:type="dxa"/>
          </w:tcPr>
          <w:p w:rsidR="003E5A69" w:rsidRPr="009424A5" w:rsidRDefault="003E5A69" w:rsidP="00A31037">
            <w:pPr>
              <w:spacing w:line="276" w:lineRule="auto"/>
            </w:pPr>
            <w:r w:rsidRPr="009424A5">
              <w:t>Skuteczne korzystanie z umiejętności w pracy i życiu społecznym</w:t>
            </w:r>
          </w:p>
        </w:tc>
        <w:tc>
          <w:tcPr>
            <w:tcW w:w="6373" w:type="dxa"/>
          </w:tcPr>
          <w:p w:rsidR="003E5A69" w:rsidRPr="009424A5" w:rsidRDefault="003E5A69" w:rsidP="00A31037">
            <w:pPr>
              <w:spacing w:line="276" w:lineRule="auto"/>
            </w:pPr>
            <w:r w:rsidRPr="009424A5">
              <w:t>Rozwijanie solidnego i szerokiego zestawu umiejętności to tylko pierwszy krok. Aby poszczególne kraje oraz ich mieszkańcy wykorzystywali w pełni (zarówno gospodarczo, jak i społecznie) inwestycje w rozwój umiejętności, niezbędne im są także możliwości, zachęty i bodźce do pełnego i skutecznego wykorzystywania swoich umiejętności w pracy i w życiu społecznym.</w:t>
            </w:r>
          </w:p>
        </w:tc>
      </w:tr>
      <w:tr w:rsidR="003E5A69" w:rsidRPr="009424A5" w:rsidTr="00442AFE">
        <w:tc>
          <w:tcPr>
            <w:tcW w:w="2689" w:type="dxa"/>
          </w:tcPr>
          <w:p w:rsidR="003E5A69" w:rsidRPr="009424A5" w:rsidRDefault="003E5A69" w:rsidP="00A31037">
            <w:pPr>
              <w:spacing w:line="276" w:lineRule="auto"/>
            </w:pPr>
            <w:r w:rsidRPr="009424A5">
              <w:lastRenderedPageBreak/>
              <w:t>Doskonalenie zarządzania systemami umiejętności</w:t>
            </w:r>
          </w:p>
        </w:tc>
        <w:tc>
          <w:tcPr>
            <w:tcW w:w="6373" w:type="dxa"/>
          </w:tcPr>
          <w:p w:rsidR="003E5A69" w:rsidRPr="009424A5" w:rsidRDefault="003E5A69" w:rsidP="00A31037">
            <w:pPr>
              <w:spacing w:line="276" w:lineRule="auto"/>
            </w:pPr>
            <w:r w:rsidRPr="009424A5">
              <w:t xml:space="preserve">Aby skutecznie rozwijać i wykorzystywać potrzebne umiejętności, konieczne są dobre rozwiązania w zakresie zarządzania, pozwalające promować koordynację i współpracę pomiędzy wszystkimi organami administracji publicznej, angażować </w:t>
            </w:r>
            <w:proofErr w:type="spellStart"/>
            <w:r w:rsidRPr="009424A5">
              <w:t>interesariuszy</w:t>
            </w:r>
            <w:proofErr w:type="spellEnd"/>
            <w:r w:rsidRPr="009424A5">
              <w:t xml:space="preserve"> w całym cyklu polityki, budować zintegrowane systemy informacyjne oraz dostosowywać i koordynować uzgodnienia dotyczące finansowania.</w:t>
            </w:r>
          </w:p>
        </w:tc>
      </w:tr>
    </w:tbl>
    <w:p w:rsidR="003E5A69" w:rsidRDefault="003E5A69" w:rsidP="00D62CBB">
      <w:pPr>
        <w:pStyle w:val="rdo"/>
      </w:pPr>
      <w:r>
        <w:t xml:space="preserve">Źródło: </w:t>
      </w:r>
      <w:r w:rsidRPr="009424A5">
        <w:t>Strategia umiejętności OECD Polska</w:t>
      </w:r>
      <w:r w:rsidR="0013615C">
        <w:t xml:space="preserve"> (dostęp 29.01.2025)</w:t>
      </w:r>
    </w:p>
    <w:p w:rsidR="00FD1882" w:rsidRDefault="00FD1882">
      <w:pPr>
        <w:spacing w:after="160" w:line="259" w:lineRule="auto"/>
        <w:jc w:val="left"/>
        <w:rPr>
          <w:rFonts w:asciiTheme="majorHAnsi" w:eastAsiaTheme="majorEastAsia" w:hAnsiTheme="majorHAnsi" w:cstheme="majorBidi"/>
          <w:color w:val="1E7DBF" w:themeColor="accent1"/>
          <w:sz w:val="32"/>
          <w:szCs w:val="32"/>
        </w:rPr>
      </w:pPr>
      <w:r>
        <w:br w:type="page"/>
      </w:r>
    </w:p>
    <w:p w:rsidR="00AD3564" w:rsidRPr="00AD3564" w:rsidRDefault="008B55DE" w:rsidP="008B55DE">
      <w:pPr>
        <w:pStyle w:val="Nagwek2"/>
        <w:numPr>
          <w:ilvl w:val="0"/>
          <w:numId w:val="0"/>
        </w:numPr>
        <w:ind w:left="993" w:hanging="851"/>
      </w:pPr>
      <w:bookmarkStart w:id="37" w:name="_Toc196905127"/>
      <w:r>
        <w:lastRenderedPageBreak/>
        <w:t xml:space="preserve">2.6. </w:t>
      </w:r>
      <w:r w:rsidR="008E2583">
        <w:t>Wzmocnienie k</w:t>
      </w:r>
      <w:r w:rsidR="00AD3564" w:rsidRPr="00AD3564">
        <w:t>onkurencyjnoś</w:t>
      </w:r>
      <w:r w:rsidR="008E2583">
        <w:t>ci</w:t>
      </w:r>
      <w:r w:rsidR="00AD3564" w:rsidRPr="00AD3564">
        <w:t xml:space="preserve"> gospodarki</w:t>
      </w:r>
      <w:bookmarkEnd w:id="37"/>
    </w:p>
    <w:p w:rsidR="00AD3564" w:rsidRDefault="00AD3564" w:rsidP="00AD3564">
      <w:r>
        <w:t>W pe</w:t>
      </w:r>
      <w:r w:rsidR="00301DA2">
        <w:t>r</w:t>
      </w:r>
      <w:r>
        <w:t>spektywie długookresowej przewiduje się dalszy rozw</w:t>
      </w:r>
      <w:r w:rsidR="0063753D">
        <w:t>ój</w:t>
      </w:r>
      <w:r>
        <w:t xml:space="preserve"> gospodarczy kraju, a tym samym </w:t>
      </w:r>
      <w:proofErr w:type="spellStart"/>
      <w:r>
        <w:t>WrOF</w:t>
      </w:r>
      <w:proofErr w:type="spellEnd"/>
      <w:r>
        <w:t>. Przed Polską stoją jednak wyzwania</w:t>
      </w:r>
      <w:r w:rsidR="00D932A8">
        <w:t xml:space="preserve">, które dotyczą </w:t>
      </w:r>
      <w:r w:rsidR="0063753D">
        <w:t>zrównoważon</w:t>
      </w:r>
      <w:r w:rsidR="00D932A8">
        <w:t>ego</w:t>
      </w:r>
      <w:r w:rsidR="0063753D">
        <w:t xml:space="preserve"> </w:t>
      </w:r>
      <w:r>
        <w:t>rozw</w:t>
      </w:r>
      <w:r w:rsidR="00D932A8">
        <w:t>oju</w:t>
      </w:r>
      <w:r>
        <w:t xml:space="preserve"> gospodarcz</w:t>
      </w:r>
      <w:r w:rsidR="00D932A8">
        <w:t>ego</w:t>
      </w:r>
      <w:r w:rsidR="0063753D">
        <w:t xml:space="preserve"> kraju i poszczególnych regionów</w:t>
      </w:r>
      <w:r>
        <w:t>. Należy do nich zaliczyć m. in. pogarszającą się sytuację demograficzną kraju, coraz większą presję na środowisko, konieczność zasadniczej zmiany w sektorze energetycznym. Nie bez znaczenia są także regulacje i zobowiązania przyjęte przez Polskę w związku z członkostwem w Unii Europejskiej i wynikające ze zobowiązań międzynarodowych, w szczególności związanych z ochroną środowiska i klimatu.</w:t>
      </w:r>
    </w:p>
    <w:p w:rsidR="00AD3564" w:rsidRDefault="00AD3564" w:rsidP="00AD3564">
      <w:pPr>
        <w:spacing w:after="160"/>
      </w:pPr>
      <w:r>
        <w:t>Polska posiada istotne atuty dla podtrzymania konkurencyjności gospodarki i jej dalszego rozwoju. Są to przede wszystkim lokalizacja w centrum Europy i sieci powiązań gospodarczych. Polska infrastruktura nadal modernizuje się. Dotyczy to m. i</w:t>
      </w:r>
      <w:r w:rsidR="00301DA2">
        <w:t>n</w:t>
      </w:r>
      <w:r>
        <w:t>. sieci drogowej, kolejowej, infrastruktury lotniczej. Polska planuje przy tym przeznaczyć duże środki na modernizację i</w:t>
      </w:r>
      <w:r w:rsidR="004A600C">
        <w:t> </w:t>
      </w:r>
      <w:r>
        <w:t xml:space="preserve">rozwój sektora energetycznego. Istotnym wyzwaniem będzie rozwój zasobów ludzkich i umiejętności, które są kluczowe dla innowacyjnych branż. </w:t>
      </w:r>
      <w:proofErr w:type="spellStart"/>
      <w:r>
        <w:t>WrOF</w:t>
      </w:r>
      <w:proofErr w:type="spellEnd"/>
      <w:r>
        <w:t xml:space="preserve"> posiada istotny potencjał dla moderowania rozwoju gospodarczego i wykorzystania synergii związanej z dalszą modernizacją kraju (np. rozwój takich projektów jak CPK). Kluczowym zasobem </w:t>
      </w:r>
      <w:proofErr w:type="spellStart"/>
      <w:r>
        <w:t>WrOF</w:t>
      </w:r>
      <w:proofErr w:type="spellEnd"/>
      <w:r>
        <w:t xml:space="preserve">, który pozwoli wykorzystać szansę związaną ze wzrostem konkurencyjności polskiej gospodarki, jest kapitał ludzki, istniejący </w:t>
      </w:r>
      <w:r w:rsidR="007B452F">
        <w:t xml:space="preserve">już </w:t>
      </w:r>
      <w:r>
        <w:t>potencjał gospodarczy</w:t>
      </w:r>
      <w:r w:rsidR="007B452F">
        <w:t xml:space="preserve"> i wysoki poziom przedsiębiorczości</w:t>
      </w:r>
      <w:r>
        <w:t>, potencjał naukowo-badawczy oraz powiązania komunikacyjne. Nie bez znaczeni</w:t>
      </w:r>
      <w:r w:rsidR="00301DA2">
        <w:t>a</w:t>
      </w:r>
      <w:r>
        <w:t xml:space="preserve"> jest również potencjał turystyczny, przede wszystkim Wrocławia.</w:t>
      </w:r>
    </w:p>
    <w:p w:rsidR="00912947" w:rsidRPr="00912947" w:rsidRDefault="00912947" w:rsidP="00912947">
      <w:pPr>
        <w:spacing w:after="160"/>
      </w:pPr>
      <w:r>
        <w:t xml:space="preserve">Nadrzędnym dokumentem krajowym, który określa cele i kierunki rozwoju polskiej gospodarki, jest </w:t>
      </w:r>
      <w:r w:rsidRPr="00912947">
        <w:t>Strategia produktywności 2030</w:t>
      </w:r>
      <w:r>
        <w:t>.</w:t>
      </w:r>
      <w:r w:rsidR="004A600C">
        <w:rPr>
          <w:rStyle w:val="Odwoanieprzypisudolnego"/>
        </w:rPr>
        <w:footnoteReference w:id="5"/>
      </w:r>
      <w:r>
        <w:t xml:space="preserve"> Celem nadrzędnym tego dokumentu, jest kreowanie rozwoju kraju w taki sposób, </w:t>
      </w:r>
      <w:r w:rsidRPr="00912947">
        <w:t xml:space="preserve">aby pobudzić wzrost inwestycji i produktywności przedsiębiorstw. </w:t>
      </w:r>
      <w:r>
        <w:t xml:space="preserve">Kluczowe zagadnienia obejmują </w:t>
      </w:r>
      <w:r w:rsidRPr="00912947">
        <w:t>m.in. wsparcie cyfrowe</w:t>
      </w:r>
      <w:r>
        <w:t>j</w:t>
      </w:r>
      <w:r w:rsidRPr="00912947">
        <w:t>, zielonej i</w:t>
      </w:r>
      <w:r>
        <w:t xml:space="preserve"> </w:t>
      </w:r>
      <w:r w:rsidRPr="00912947">
        <w:t xml:space="preserve">organizacyjnej transformacji polskich firm. </w:t>
      </w:r>
      <w:r>
        <w:t>P</w:t>
      </w:r>
      <w:r w:rsidRPr="00912947">
        <w:t>olska gospodarka powinna czerpać przewagi konkurencyjne z zaawansowania technicznego oraz wykorzystania wiedzy, a nie z relatywnie niskich kosztów pracy.</w:t>
      </w:r>
    </w:p>
    <w:p w:rsidR="00912947" w:rsidRPr="00912947" w:rsidRDefault="00912947" w:rsidP="00912947">
      <w:pPr>
        <w:spacing w:after="160"/>
      </w:pPr>
      <w:r w:rsidRPr="00912947">
        <w:t>Strategia produktywności 2030 wskazuje na potrzebę głębokiej, modernizującej zmiany charakteru polskiej gospodarki. Zakłada się zwiększenie wykorzystania surowców wtórnych i odnawialnych, zmniejszającą przemysłową produkcję odpadów. Zakłada się wprowadzenie bardziej sprawiedliw</w:t>
      </w:r>
      <w:r w:rsidR="00614A2B">
        <w:t>ego</w:t>
      </w:r>
      <w:r w:rsidRPr="00912947">
        <w:t xml:space="preserve"> system</w:t>
      </w:r>
      <w:r w:rsidR="00614A2B">
        <w:t>u</w:t>
      </w:r>
      <w:r w:rsidRPr="00912947">
        <w:t xml:space="preserve"> odpowiedzialności za zanieczyszczanie środowiska, co powinno zwiększyć starania producentów o jak najmniejszą szkodliwość środowiskową produkowanych dóbr.</w:t>
      </w:r>
      <w:r>
        <w:rPr>
          <w:rStyle w:val="Odwoanieprzypisudolnego"/>
        </w:rPr>
        <w:footnoteReference w:id="6"/>
      </w:r>
      <w:bookmarkStart w:id="38" w:name="_Toc189834224"/>
    </w:p>
    <w:p w:rsidR="00912947" w:rsidRPr="00912947" w:rsidRDefault="00145426" w:rsidP="003405A0">
      <w:pPr>
        <w:pStyle w:val="Legenda"/>
      </w:pPr>
      <w:bookmarkStart w:id="39" w:name="_Toc196905070"/>
      <w:r>
        <w:lastRenderedPageBreak/>
        <w:t xml:space="preserve">Tabela </w:t>
      </w:r>
      <w:r w:rsidR="00646D05">
        <w:fldChar w:fldCharType="begin"/>
      </w:r>
      <w:r>
        <w:instrText xml:space="preserve"> SEQ Tabela \* ARABIC </w:instrText>
      </w:r>
      <w:r w:rsidR="00646D05">
        <w:fldChar w:fldCharType="separate"/>
      </w:r>
      <w:r w:rsidR="0084338D">
        <w:rPr>
          <w:noProof/>
        </w:rPr>
        <w:t>6</w:t>
      </w:r>
      <w:r w:rsidR="00646D05">
        <w:fldChar w:fldCharType="end"/>
      </w:r>
      <w:r>
        <w:t xml:space="preserve">. </w:t>
      </w:r>
      <w:r w:rsidR="00912947" w:rsidRPr="00912947">
        <w:t>Obszary i cele Strategii produktywności 2030</w:t>
      </w:r>
      <w:bookmarkEnd w:id="38"/>
      <w:bookmarkEnd w:id="39"/>
    </w:p>
    <w:tbl>
      <w:tblPr>
        <w:tblStyle w:val="Tabela-Siatka"/>
        <w:tblW w:w="0" w:type="auto"/>
        <w:tblLook w:val="0420"/>
      </w:tblPr>
      <w:tblGrid>
        <w:gridCol w:w="3964"/>
        <w:gridCol w:w="5098"/>
      </w:tblGrid>
      <w:tr w:rsidR="00912947" w:rsidRPr="00912947" w:rsidTr="00912947">
        <w:trPr>
          <w:tblHeader/>
        </w:trPr>
        <w:tc>
          <w:tcPr>
            <w:tcW w:w="3964" w:type="dxa"/>
            <w:tcBorders>
              <w:top w:val="single" w:sz="4" w:space="0" w:color="auto"/>
              <w:left w:val="single" w:sz="4" w:space="0" w:color="auto"/>
              <w:bottom w:val="single" w:sz="4" w:space="0" w:color="auto"/>
              <w:right w:val="single" w:sz="4" w:space="0" w:color="auto"/>
            </w:tcBorders>
            <w:shd w:val="clear" w:color="auto" w:fill="F3CD42" w:themeFill="accent2"/>
            <w:hideMark/>
          </w:tcPr>
          <w:p w:rsidR="00912947" w:rsidRPr="00912947" w:rsidRDefault="00912947" w:rsidP="00912947">
            <w:pPr>
              <w:spacing w:after="160" w:line="276" w:lineRule="auto"/>
            </w:pPr>
            <w:r w:rsidRPr="00912947">
              <w:t>Obszar strategii</w:t>
            </w:r>
          </w:p>
        </w:tc>
        <w:tc>
          <w:tcPr>
            <w:tcW w:w="5098" w:type="dxa"/>
            <w:tcBorders>
              <w:top w:val="single" w:sz="4" w:space="0" w:color="auto"/>
              <w:left w:val="single" w:sz="4" w:space="0" w:color="auto"/>
              <w:bottom w:val="single" w:sz="4" w:space="0" w:color="auto"/>
              <w:right w:val="single" w:sz="4" w:space="0" w:color="auto"/>
            </w:tcBorders>
            <w:shd w:val="clear" w:color="auto" w:fill="F3CD42" w:themeFill="accent2"/>
            <w:hideMark/>
          </w:tcPr>
          <w:p w:rsidR="00912947" w:rsidRPr="00912947" w:rsidRDefault="00912947" w:rsidP="00912947">
            <w:pPr>
              <w:spacing w:after="160" w:line="276" w:lineRule="auto"/>
            </w:pPr>
            <w:r w:rsidRPr="00912947">
              <w:t>Cel</w:t>
            </w:r>
          </w:p>
        </w:tc>
      </w:tr>
      <w:tr w:rsidR="00912947" w:rsidRPr="00912947" w:rsidTr="00912947">
        <w:tc>
          <w:tcPr>
            <w:tcW w:w="3964" w:type="dxa"/>
            <w:tcBorders>
              <w:top w:val="single" w:sz="4" w:space="0" w:color="auto"/>
              <w:left w:val="single" w:sz="4" w:space="0" w:color="auto"/>
              <w:bottom w:val="single" w:sz="4" w:space="0" w:color="auto"/>
              <w:right w:val="single" w:sz="4" w:space="0" w:color="auto"/>
            </w:tcBorders>
            <w:hideMark/>
          </w:tcPr>
          <w:p w:rsidR="00912947" w:rsidRPr="00912947" w:rsidRDefault="00912947" w:rsidP="00912947">
            <w:pPr>
              <w:spacing w:after="160" w:line="276" w:lineRule="auto"/>
            </w:pPr>
            <w:r w:rsidRPr="00912947">
              <w:t>Zasoby naturalne</w:t>
            </w:r>
          </w:p>
        </w:tc>
        <w:tc>
          <w:tcPr>
            <w:tcW w:w="5098" w:type="dxa"/>
            <w:tcBorders>
              <w:top w:val="single" w:sz="4" w:space="0" w:color="auto"/>
              <w:left w:val="single" w:sz="4" w:space="0" w:color="auto"/>
              <w:bottom w:val="single" w:sz="4" w:space="0" w:color="auto"/>
              <w:right w:val="single" w:sz="4" w:space="0" w:color="auto"/>
            </w:tcBorders>
            <w:hideMark/>
          </w:tcPr>
          <w:p w:rsidR="00912947" w:rsidRPr="00912947" w:rsidRDefault="00912947" w:rsidP="00912947">
            <w:pPr>
              <w:spacing w:after="160" w:line="276" w:lineRule="auto"/>
            </w:pPr>
            <w:r w:rsidRPr="00912947">
              <w:t>Wzrost wydajności surowcowej gospodarki</w:t>
            </w:r>
          </w:p>
        </w:tc>
      </w:tr>
      <w:tr w:rsidR="00912947" w:rsidRPr="00912947" w:rsidTr="00912947">
        <w:tc>
          <w:tcPr>
            <w:tcW w:w="3964" w:type="dxa"/>
            <w:tcBorders>
              <w:top w:val="single" w:sz="4" w:space="0" w:color="auto"/>
              <w:left w:val="single" w:sz="4" w:space="0" w:color="auto"/>
              <w:bottom w:val="single" w:sz="4" w:space="0" w:color="auto"/>
              <w:right w:val="single" w:sz="4" w:space="0" w:color="auto"/>
            </w:tcBorders>
            <w:hideMark/>
          </w:tcPr>
          <w:p w:rsidR="00912947" w:rsidRPr="00912947" w:rsidRDefault="00912947" w:rsidP="00912947">
            <w:pPr>
              <w:spacing w:after="160" w:line="276" w:lineRule="auto"/>
            </w:pPr>
            <w:r w:rsidRPr="00912947">
              <w:t>Zasoby naturalne</w:t>
            </w:r>
          </w:p>
        </w:tc>
        <w:tc>
          <w:tcPr>
            <w:tcW w:w="5098" w:type="dxa"/>
            <w:tcBorders>
              <w:top w:val="single" w:sz="4" w:space="0" w:color="auto"/>
              <w:left w:val="single" w:sz="4" w:space="0" w:color="auto"/>
              <w:bottom w:val="single" w:sz="4" w:space="0" w:color="auto"/>
              <w:right w:val="single" w:sz="4" w:space="0" w:color="auto"/>
            </w:tcBorders>
            <w:hideMark/>
          </w:tcPr>
          <w:p w:rsidR="00912947" w:rsidRPr="00912947" w:rsidRDefault="00912947" w:rsidP="00912947">
            <w:pPr>
              <w:spacing w:after="160" w:line="276" w:lineRule="auto"/>
            </w:pPr>
            <w:r w:rsidRPr="00912947">
              <w:t>Wzrost wykorzystania surowców odnawialnych i</w:t>
            </w:r>
            <w:r w:rsidR="00CD7C63">
              <w:t> </w:t>
            </w:r>
            <w:r w:rsidRPr="00912947">
              <w:t>biomasy w gospodarce</w:t>
            </w:r>
          </w:p>
        </w:tc>
      </w:tr>
      <w:tr w:rsidR="00912947" w:rsidRPr="00912947" w:rsidTr="00912947">
        <w:tc>
          <w:tcPr>
            <w:tcW w:w="3964" w:type="dxa"/>
            <w:tcBorders>
              <w:top w:val="single" w:sz="4" w:space="0" w:color="auto"/>
              <w:left w:val="single" w:sz="4" w:space="0" w:color="auto"/>
              <w:bottom w:val="single" w:sz="4" w:space="0" w:color="auto"/>
              <w:right w:val="single" w:sz="4" w:space="0" w:color="auto"/>
            </w:tcBorders>
            <w:hideMark/>
          </w:tcPr>
          <w:p w:rsidR="00912947" w:rsidRPr="00912947" w:rsidRDefault="00912947" w:rsidP="00912947">
            <w:pPr>
              <w:spacing w:after="160" w:line="276" w:lineRule="auto"/>
            </w:pPr>
            <w:r w:rsidRPr="00912947">
              <w:t>Praca i kapitał ludzki</w:t>
            </w:r>
          </w:p>
        </w:tc>
        <w:tc>
          <w:tcPr>
            <w:tcW w:w="5098" w:type="dxa"/>
            <w:tcBorders>
              <w:top w:val="single" w:sz="4" w:space="0" w:color="auto"/>
              <w:left w:val="single" w:sz="4" w:space="0" w:color="auto"/>
              <w:bottom w:val="single" w:sz="4" w:space="0" w:color="auto"/>
              <w:right w:val="single" w:sz="4" w:space="0" w:color="auto"/>
            </w:tcBorders>
            <w:hideMark/>
          </w:tcPr>
          <w:p w:rsidR="00912947" w:rsidRPr="00912947" w:rsidRDefault="00912947" w:rsidP="00912947">
            <w:pPr>
              <w:spacing w:after="160" w:line="276" w:lineRule="auto"/>
            </w:pPr>
            <w:r w:rsidRPr="00912947">
              <w:t>Rozwój nowoczesnego uczenia się przez całe życie</w:t>
            </w:r>
          </w:p>
        </w:tc>
      </w:tr>
      <w:tr w:rsidR="00912947" w:rsidRPr="00912947" w:rsidTr="00912947">
        <w:tc>
          <w:tcPr>
            <w:tcW w:w="3964" w:type="dxa"/>
            <w:tcBorders>
              <w:top w:val="single" w:sz="4" w:space="0" w:color="auto"/>
              <w:left w:val="single" w:sz="4" w:space="0" w:color="auto"/>
              <w:bottom w:val="single" w:sz="4" w:space="0" w:color="auto"/>
              <w:right w:val="single" w:sz="4" w:space="0" w:color="auto"/>
            </w:tcBorders>
            <w:hideMark/>
          </w:tcPr>
          <w:p w:rsidR="00912947" w:rsidRPr="00912947" w:rsidRDefault="00912947" w:rsidP="00912947">
            <w:pPr>
              <w:spacing w:after="160" w:line="276" w:lineRule="auto"/>
            </w:pPr>
            <w:r w:rsidRPr="00912947">
              <w:t>Praca i kapitał ludzki</w:t>
            </w:r>
          </w:p>
        </w:tc>
        <w:tc>
          <w:tcPr>
            <w:tcW w:w="5098" w:type="dxa"/>
            <w:tcBorders>
              <w:top w:val="single" w:sz="4" w:space="0" w:color="auto"/>
              <w:left w:val="single" w:sz="4" w:space="0" w:color="auto"/>
              <w:bottom w:val="single" w:sz="4" w:space="0" w:color="auto"/>
              <w:right w:val="single" w:sz="4" w:space="0" w:color="auto"/>
            </w:tcBorders>
            <w:hideMark/>
          </w:tcPr>
          <w:p w:rsidR="00912947" w:rsidRPr="00912947" w:rsidRDefault="00912947" w:rsidP="00912947">
            <w:pPr>
              <w:spacing w:after="160" w:line="276" w:lineRule="auto"/>
            </w:pPr>
            <w:r w:rsidRPr="00912947">
              <w:t>Przygotowanie kompetentnych kadr na potrzeby gospodarki cyfrowej</w:t>
            </w:r>
          </w:p>
        </w:tc>
      </w:tr>
      <w:tr w:rsidR="00912947" w:rsidRPr="00912947" w:rsidTr="00912947">
        <w:tc>
          <w:tcPr>
            <w:tcW w:w="3964" w:type="dxa"/>
            <w:tcBorders>
              <w:top w:val="single" w:sz="4" w:space="0" w:color="auto"/>
              <w:left w:val="single" w:sz="4" w:space="0" w:color="auto"/>
              <w:bottom w:val="single" w:sz="4" w:space="0" w:color="auto"/>
              <w:right w:val="single" w:sz="4" w:space="0" w:color="auto"/>
            </w:tcBorders>
            <w:hideMark/>
          </w:tcPr>
          <w:p w:rsidR="00912947" w:rsidRPr="00912947" w:rsidRDefault="00912947" w:rsidP="00912947">
            <w:pPr>
              <w:spacing w:after="160" w:line="276" w:lineRule="auto"/>
            </w:pPr>
            <w:r w:rsidRPr="00912947">
              <w:t>Inwestycje w kapitał trwały i finansowy</w:t>
            </w:r>
          </w:p>
        </w:tc>
        <w:tc>
          <w:tcPr>
            <w:tcW w:w="5098" w:type="dxa"/>
            <w:tcBorders>
              <w:top w:val="single" w:sz="4" w:space="0" w:color="auto"/>
              <w:left w:val="single" w:sz="4" w:space="0" w:color="auto"/>
              <w:bottom w:val="single" w:sz="4" w:space="0" w:color="auto"/>
              <w:right w:val="single" w:sz="4" w:space="0" w:color="auto"/>
            </w:tcBorders>
            <w:hideMark/>
          </w:tcPr>
          <w:p w:rsidR="00912947" w:rsidRPr="00912947" w:rsidRDefault="00912947" w:rsidP="00912947">
            <w:pPr>
              <w:spacing w:after="160" w:line="276" w:lineRule="auto"/>
            </w:pPr>
            <w:r w:rsidRPr="00912947">
              <w:t>Trwałe zwiększenie stopy inwestycji prywatnych</w:t>
            </w:r>
          </w:p>
        </w:tc>
      </w:tr>
      <w:tr w:rsidR="00912947" w:rsidRPr="00912947" w:rsidTr="00912947">
        <w:tc>
          <w:tcPr>
            <w:tcW w:w="3964" w:type="dxa"/>
            <w:tcBorders>
              <w:top w:val="single" w:sz="4" w:space="0" w:color="auto"/>
              <w:left w:val="single" w:sz="4" w:space="0" w:color="auto"/>
              <w:bottom w:val="single" w:sz="4" w:space="0" w:color="auto"/>
              <w:right w:val="single" w:sz="4" w:space="0" w:color="auto"/>
            </w:tcBorders>
            <w:hideMark/>
          </w:tcPr>
          <w:p w:rsidR="00912947" w:rsidRPr="00912947" w:rsidRDefault="00912947" w:rsidP="00912947">
            <w:pPr>
              <w:spacing w:after="160" w:line="276" w:lineRule="auto"/>
            </w:pPr>
            <w:r w:rsidRPr="00912947">
              <w:t>Inwestycje w kapitał trwały i finansowy</w:t>
            </w:r>
          </w:p>
        </w:tc>
        <w:tc>
          <w:tcPr>
            <w:tcW w:w="5098" w:type="dxa"/>
            <w:tcBorders>
              <w:top w:val="single" w:sz="4" w:space="0" w:color="auto"/>
              <w:left w:val="single" w:sz="4" w:space="0" w:color="auto"/>
              <w:bottom w:val="single" w:sz="4" w:space="0" w:color="auto"/>
              <w:right w:val="single" w:sz="4" w:space="0" w:color="auto"/>
            </w:tcBorders>
            <w:hideMark/>
          </w:tcPr>
          <w:p w:rsidR="00912947" w:rsidRPr="00912947" w:rsidRDefault="00912947" w:rsidP="00912947">
            <w:pPr>
              <w:spacing w:after="160" w:line="276" w:lineRule="auto"/>
            </w:pPr>
            <w:r w:rsidRPr="00912947">
              <w:t>Automatyzacja, robotyzacja i cyfryzacja przedsiębiorstw</w:t>
            </w:r>
          </w:p>
        </w:tc>
      </w:tr>
      <w:tr w:rsidR="00912947" w:rsidRPr="00912947" w:rsidTr="00912947">
        <w:tc>
          <w:tcPr>
            <w:tcW w:w="3964" w:type="dxa"/>
            <w:tcBorders>
              <w:top w:val="single" w:sz="4" w:space="0" w:color="auto"/>
              <w:left w:val="single" w:sz="4" w:space="0" w:color="auto"/>
              <w:bottom w:val="single" w:sz="4" w:space="0" w:color="auto"/>
              <w:right w:val="single" w:sz="4" w:space="0" w:color="auto"/>
            </w:tcBorders>
            <w:hideMark/>
          </w:tcPr>
          <w:p w:rsidR="00912947" w:rsidRPr="00912947" w:rsidRDefault="00912947" w:rsidP="00912947">
            <w:pPr>
              <w:spacing w:after="160" w:line="276" w:lineRule="auto"/>
            </w:pPr>
            <w:r w:rsidRPr="00912947">
              <w:t>Organizacja i instytucje</w:t>
            </w:r>
          </w:p>
        </w:tc>
        <w:tc>
          <w:tcPr>
            <w:tcW w:w="5098" w:type="dxa"/>
            <w:tcBorders>
              <w:top w:val="single" w:sz="4" w:space="0" w:color="auto"/>
              <w:left w:val="single" w:sz="4" w:space="0" w:color="auto"/>
              <w:bottom w:val="single" w:sz="4" w:space="0" w:color="auto"/>
              <w:right w:val="single" w:sz="4" w:space="0" w:color="auto"/>
            </w:tcBorders>
            <w:hideMark/>
          </w:tcPr>
          <w:p w:rsidR="00912947" w:rsidRPr="00912947" w:rsidRDefault="00912947" w:rsidP="00912947">
            <w:pPr>
              <w:spacing w:after="160" w:line="276" w:lineRule="auto"/>
            </w:pPr>
            <w:r w:rsidRPr="00912947">
              <w:t>Podniesienie jakości zarządzania w</w:t>
            </w:r>
            <w:r w:rsidR="00FD722E">
              <w:t> </w:t>
            </w:r>
            <w:r w:rsidRPr="00912947">
              <w:t>przedsiębiorstwach i instytucjach publicznych</w:t>
            </w:r>
          </w:p>
        </w:tc>
      </w:tr>
      <w:tr w:rsidR="00912947" w:rsidRPr="00912947" w:rsidTr="00912947">
        <w:tc>
          <w:tcPr>
            <w:tcW w:w="3964" w:type="dxa"/>
            <w:tcBorders>
              <w:top w:val="single" w:sz="4" w:space="0" w:color="auto"/>
              <w:left w:val="single" w:sz="4" w:space="0" w:color="auto"/>
              <w:bottom w:val="single" w:sz="4" w:space="0" w:color="auto"/>
              <w:right w:val="single" w:sz="4" w:space="0" w:color="auto"/>
            </w:tcBorders>
            <w:hideMark/>
          </w:tcPr>
          <w:p w:rsidR="00912947" w:rsidRPr="00912947" w:rsidRDefault="00912947" w:rsidP="00912947">
            <w:pPr>
              <w:spacing w:after="160" w:line="276" w:lineRule="auto"/>
            </w:pPr>
            <w:r w:rsidRPr="00912947">
              <w:t>Organizacja i instytucje</w:t>
            </w:r>
          </w:p>
        </w:tc>
        <w:tc>
          <w:tcPr>
            <w:tcW w:w="5098" w:type="dxa"/>
            <w:tcBorders>
              <w:top w:val="single" w:sz="4" w:space="0" w:color="auto"/>
              <w:left w:val="single" w:sz="4" w:space="0" w:color="auto"/>
              <w:bottom w:val="single" w:sz="4" w:space="0" w:color="auto"/>
              <w:right w:val="single" w:sz="4" w:space="0" w:color="auto"/>
            </w:tcBorders>
            <w:hideMark/>
          </w:tcPr>
          <w:p w:rsidR="00912947" w:rsidRPr="00912947" w:rsidRDefault="00912947" w:rsidP="00912947">
            <w:pPr>
              <w:spacing w:after="160" w:line="276" w:lineRule="auto"/>
            </w:pPr>
            <w:r w:rsidRPr="00912947">
              <w:t>Stymulowanie mechanizmów współpracy pomiędzy podmiotami gospodarczymi</w:t>
            </w:r>
          </w:p>
        </w:tc>
      </w:tr>
      <w:tr w:rsidR="00912947" w:rsidRPr="00912947" w:rsidTr="00912947">
        <w:tc>
          <w:tcPr>
            <w:tcW w:w="3964" w:type="dxa"/>
            <w:tcBorders>
              <w:top w:val="single" w:sz="4" w:space="0" w:color="auto"/>
              <w:left w:val="single" w:sz="4" w:space="0" w:color="auto"/>
              <w:bottom w:val="single" w:sz="4" w:space="0" w:color="auto"/>
              <w:right w:val="single" w:sz="4" w:space="0" w:color="auto"/>
            </w:tcBorders>
            <w:hideMark/>
          </w:tcPr>
          <w:p w:rsidR="00912947" w:rsidRPr="00912947" w:rsidRDefault="00912947" w:rsidP="00912947">
            <w:pPr>
              <w:spacing w:after="160" w:line="276" w:lineRule="auto"/>
            </w:pPr>
            <w:r w:rsidRPr="00912947">
              <w:t>Wiedza</w:t>
            </w:r>
          </w:p>
        </w:tc>
        <w:tc>
          <w:tcPr>
            <w:tcW w:w="5098" w:type="dxa"/>
            <w:tcBorders>
              <w:top w:val="single" w:sz="4" w:space="0" w:color="auto"/>
              <w:left w:val="single" w:sz="4" w:space="0" w:color="auto"/>
              <w:bottom w:val="single" w:sz="4" w:space="0" w:color="auto"/>
              <w:right w:val="single" w:sz="4" w:space="0" w:color="auto"/>
            </w:tcBorders>
            <w:hideMark/>
          </w:tcPr>
          <w:p w:rsidR="00912947" w:rsidRPr="00912947" w:rsidRDefault="00912947" w:rsidP="00912947">
            <w:pPr>
              <w:spacing w:after="160" w:line="276" w:lineRule="auto"/>
            </w:pPr>
            <w:r w:rsidRPr="00912947">
              <w:t>Wzrost intensywności wykorzystania wiedzy i</w:t>
            </w:r>
            <w:r w:rsidR="00FD722E">
              <w:t> </w:t>
            </w:r>
            <w:r w:rsidRPr="00912947">
              <w:t>technologii w gospodarce</w:t>
            </w:r>
          </w:p>
        </w:tc>
      </w:tr>
      <w:tr w:rsidR="00912947" w:rsidRPr="00912947" w:rsidTr="00912947">
        <w:tc>
          <w:tcPr>
            <w:tcW w:w="3964" w:type="dxa"/>
            <w:tcBorders>
              <w:top w:val="single" w:sz="4" w:space="0" w:color="auto"/>
              <w:left w:val="single" w:sz="4" w:space="0" w:color="auto"/>
              <w:bottom w:val="single" w:sz="4" w:space="0" w:color="auto"/>
              <w:right w:val="single" w:sz="4" w:space="0" w:color="auto"/>
            </w:tcBorders>
            <w:hideMark/>
          </w:tcPr>
          <w:p w:rsidR="00912947" w:rsidRPr="00912947" w:rsidRDefault="00912947" w:rsidP="00912947">
            <w:pPr>
              <w:spacing w:after="160" w:line="276" w:lineRule="auto"/>
            </w:pPr>
            <w:r w:rsidRPr="00912947">
              <w:t>Dane</w:t>
            </w:r>
          </w:p>
        </w:tc>
        <w:tc>
          <w:tcPr>
            <w:tcW w:w="5098" w:type="dxa"/>
            <w:tcBorders>
              <w:top w:val="single" w:sz="4" w:space="0" w:color="auto"/>
              <w:left w:val="single" w:sz="4" w:space="0" w:color="auto"/>
              <w:bottom w:val="single" w:sz="4" w:space="0" w:color="auto"/>
              <w:right w:val="single" w:sz="4" w:space="0" w:color="auto"/>
            </w:tcBorders>
            <w:hideMark/>
          </w:tcPr>
          <w:p w:rsidR="00912947" w:rsidRPr="00912947" w:rsidRDefault="00912947" w:rsidP="00912947">
            <w:pPr>
              <w:spacing w:after="160" w:line="276" w:lineRule="auto"/>
            </w:pPr>
            <w:r w:rsidRPr="00912947">
              <w:t>Rozwój algorytmicznej gospodarki opartej na danych, czyli np. rozwój sztucznej inteligencji</w:t>
            </w:r>
          </w:p>
        </w:tc>
      </w:tr>
      <w:tr w:rsidR="00912947" w:rsidRPr="00912947" w:rsidTr="00912947">
        <w:tc>
          <w:tcPr>
            <w:tcW w:w="3964" w:type="dxa"/>
            <w:tcBorders>
              <w:top w:val="single" w:sz="4" w:space="0" w:color="auto"/>
              <w:left w:val="single" w:sz="4" w:space="0" w:color="auto"/>
              <w:bottom w:val="single" w:sz="4" w:space="0" w:color="auto"/>
              <w:right w:val="single" w:sz="4" w:space="0" w:color="auto"/>
            </w:tcBorders>
            <w:hideMark/>
          </w:tcPr>
          <w:p w:rsidR="00912947" w:rsidRPr="00912947" w:rsidRDefault="00912947" w:rsidP="00912947">
            <w:pPr>
              <w:spacing w:after="160" w:line="276" w:lineRule="auto"/>
            </w:pPr>
            <w:r w:rsidRPr="00912947">
              <w:t>Umiędzynarodowienie</w:t>
            </w:r>
          </w:p>
        </w:tc>
        <w:tc>
          <w:tcPr>
            <w:tcW w:w="5098" w:type="dxa"/>
            <w:tcBorders>
              <w:top w:val="single" w:sz="4" w:space="0" w:color="auto"/>
              <w:left w:val="single" w:sz="4" w:space="0" w:color="auto"/>
              <w:bottom w:val="single" w:sz="4" w:space="0" w:color="auto"/>
              <w:right w:val="single" w:sz="4" w:space="0" w:color="auto"/>
            </w:tcBorders>
            <w:hideMark/>
          </w:tcPr>
          <w:p w:rsidR="00912947" w:rsidRPr="00912947" w:rsidRDefault="00912947" w:rsidP="00912947">
            <w:pPr>
              <w:spacing w:after="160" w:line="276" w:lineRule="auto"/>
            </w:pPr>
            <w:r w:rsidRPr="00912947">
              <w:t>Zwiększenie liczby eksporterów oraz wartości eksportu, w szczególności na rynkach pozaeuropejskich</w:t>
            </w:r>
          </w:p>
        </w:tc>
      </w:tr>
      <w:tr w:rsidR="00912947" w:rsidRPr="00912947" w:rsidTr="00912947">
        <w:tc>
          <w:tcPr>
            <w:tcW w:w="3964" w:type="dxa"/>
            <w:tcBorders>
              <w:top w:val="single" w:sz="4" w:space="0" w:color="auto"/>
              <w:left w:val="single" w:sz="4" w:space="0" w:color="auto"/>
              <w:bottom w:val="single" w:sz="4" w:space="0" w:color="auto"/>
              <w:right w:val="single" w:sz="4" w:space="0" w:color="auto"/>
            </w:tcBorders>
            <w:hideMark/>
          </w:tcPr>
          <w:p w:rsidR="00912947" w:rsidRPr="00912947" w:rsidRDefault="00912947" w:rsidP="00912947">
            <w:pPr>
              <w:spacing w:after="160" w:line="276" w:lineRule="auto"/>
            </w:pPr>
            <w:r w:rsidRPr="00912947">
              <w:t>Umiędzynarodowienie</w:t>
            </w:r>
          </w:p>
        </w:tc>
        <w:tc>
          <w:tcPr>
            <w:tcW w:w="5098" w:type="dxa"/>
            <w:tcBorders>
              <w:top w:val="single" w:sz="4" w:space="0" w:color="auto"/>
              <w:left w:val="single" w:sz="4" w:space="0" w:color="auto"/>
              <w:bottom w:val="single" w:sz="4" w:space="0" w:color="auto"/>
              <w:right w:val="single" w:sz="4" w:space="0" w:color="auto"/>
            </w:tcBorders>
            <w:hideMark/>
          </w:tcPr>
          <w:p w:rsidR="00912947" w:rsidRPr="00912947" w:rsidRDefault="00912947" w:rsidP="00912947">
            <w:pPr>
              <w:spacing w:after="160" w:line="276" w:lineRule="auto"/>
            </w:pPr>
            <w:r w:rsidRPr="00912947">
              <w:t>Zwiększenie eksportu towarów w obszarze wysokich technologii i kanałami e-commerce</w:t>
            </w:r>
          </w:p>
        </w:tc>
      </w:tr>
    </w:tbl>
    <w:p w:rsidR="00912947" w:rsidRPr="00912947" w:rsidRDefault="00912947" w:rsidP="00D62CBB">
      <w:pPr>
        <w:pStyle w:val="rdo"/>
      </w:pPr>
      <w:r w:rsidRPr="00912947">
        <w:t>Źródło: opracowanie własne</w:t>
      </w:r>
      <w:r w:rsidR="0013615C">
        <w:t xml:space="preserve"> na podstawie Strategii produktywności 2030 (dostęp 29.01.2025)</w:t>
      </w:r>
    </w:p>
    <w:p w:rsidR="00912947" w:rsidRDefault="0063753D" w:rsidP="00AD3564">
      <w:pPr>
        <w:spacing w:after="160"/>
      </w:pPr>
      <w:proofErr w:type="spellStart"/>
      <w:r>
        <w:t>WrOF</w:t>
      </w:r>
      <w:proofErr w:type="spellEnd"/>
      <w:r>
        <w:t xml:space="preserve"> posiada przewagi konkurencyjne</w:t>
      </w:r>
      <w:r w:rsidR="00912947">
        <w:t>, które umożliwiają podtrzymanie dynamiki rozwoju gospodarczego i rozwój innowacyjności</w:t>
      </w:r>
      <w:r>
        <w:t>. Kluczowym zasobem przyszłości będą kadry. Dane demograficzne wskazują na duży potencjał przyciągania</w:t>
      </w:r>
      <w:r w:rsidR="00912947" w:rsidRPr="00912947">
        <w:t xml:space="preserve"> </w:t>
      </w:r>
      <w:r w:rsidR="00912947">
        <w:t xml:space="preserve">do </w:t>
      </w:r>
      <w:proofErr w:type="spellStart"/>
      <w:r w:rsidR="00912947">
        <w:t>WrOF</w:t>
      </w:r>
      <w:proofErr w:type="spellEnd"/>
      <w:r>
        <w:t xml:space="preserve"> młodych mieszkańców</w:t>
      </w:r>
      <w:r w:rsidR="00912947">
        <w:t xml:space="preserve"> </w:t>
      </w:r>
      <w:r>
        <w:t xml:space="preserve">z kraju oraz studentów z zagranicy. Obecnie we Wrocławiu studiuje ponad 100 tys. osób. </w:t>
      </w:r>
    </w:p>
    <w:p w:rsidR="0063753D" w:rsidRDefault="00912947" w:rsidP="00AD3564">
      <w:pPr>
        <w:spacing w:after="160"/>
      </w:pPr>
      <w:r>
        <w:t>Należy przy tym dodać, iż z</w:t>
      </w:r>
      <w:r w:rsidR="0063753D">
        <w:t>miany demograficzne</w:t>
      </w:r>
      <w:r>
        <w:t xml:space="preserve"> w kraju</w:t>
      </w:r>
      <w:r w:rsidR="0063753D">
        <w:t xml:space="preserve"> mogą mieć duży wpływ na kształt</w:t>
      </w:r>
      <w:r>
        <w:t>owanie się</w:t>
      </w:r>
      <w:r w:rsidR="0063753D">
        <w:t xml:space="preserve"> potencjału</w:t>
      </w:r>
      <w:r>
        <w:t xml:space="preserve"> polskiej gospodarki, który</w:t>
      </w:r>
      <w:r w:rsidR="0063753D">
        <w:t xml:space="preserve"> opiera się na kapitale ludzkim. W</w:t>
      </w:r>
      <w:r w:rsidR="004A600C">
        <w:t> </w:t>
      </w:r>
      <w:r w:rsidR="0063753D">
        <w:t xml:space="preserve">perspektywie 2050 r. prognozuje się, iż </w:t>
      </w:r>
      <w:proofErr w:type="spellStart"/>
      <w:r w:rsidR="0063753D">
        <w:t>WrOF</w:t>
      </w:r>
      <w:proofErr w:type="spellEnd"/>
      <w:r w:rsidR="0063753D">
        <w:t xml:space="preserve"> utrzyma, a może nawet zwiększy swój zasób kapitału ludzkiego</w:t>
      </w:r>
      <w:r>
        <w:t>, w</w:t>
      </w:r>
      <w:r w:rsidR="00FD722E">
        <w:t> </w:t>
      </w:r>
      <w:r>
        <w:t>szczególności w</w:t>
      </w:r>
      <w:r w:rsidR="0063753D">
        <w:t xml:space="preserve"> odniesieniu do młodych mieszkańców. W dużym stopniu wynika to z </w:t>
      </w:r>
      <w:r>
        <w:t> </w:t>
      </w:r>
      <w:r w:rsidR="0063753D">
        <w:t xml:space="preserve">możliwości </w:t>
      </w:r>
      <w:r w:rsidR="0063753D">
        <w:lastRenderedPageBreak/>
        <w:t>przyciągania nowych mieszkańców</w:t>
      </w:r>
      <w:r>
        <w:t>, a w</w:t>
      </w:r>
      <w:r w:rsidR="0063753D">
        <w:t xml:space="preserve"> mniejszym stopniu </w:t>
      </w:r>
      <w:r>
        <w:t>wynika ze zjawisk naturalnych</w:t>
      </w:r>
      <w:r w:rsidR="00BB3E24">
        <w:t>.</w:t>
      </w:r>
      <w:r>
        <w:t xml:space="preserve"> Tzw. pułapka niskiej dzietności może mieć swoje negatywne konsekwencje dla struktury demograficznej i potencjału kapitału ludzkiego </w:t>
      </w:r>
      <w:proofErr w:type="spellStart"/>
      <w:r>
        <w:t>WrOF</w:t>
      </w:r>
      <w:proofErr w:type="spellEnd"/>
      <w:r w:rsidR="007B452F">
        <w:t>, w szczególności</w:t>
      </w:r>
      <w:r>
        <w:t xml:space="preserve"> </w:t>
      </w:r>
      <w:r w:rsidR="007B452F">
        <w:t xml:space="preserve">już </w:t>
      </w:r>
      <w:r>
        <w:t>po 2050</w:t>
      </w:r>
      <w:r w:rsidR="004A600C">
        <w:t> </w:t>
      </w:r>
      <w:r>
        <w:t>r.</w:t>
      </w:r>
    </w:p>
    <w:p w:rsidR="00BB3E24" w:rsidRDefault="00BB3E24" w:rsidP="00AD3564">
      <w:pPr>
        <w:spacing w:after="160"/>
      </w:pPr>
      <w:r>
        <w:t>Rozwój gospodarczy w</w:t>
      </w:r>
      <w:r w:rsidR="002504BA">
        <w:t>e</w:t>
      </w:r>
      <w:r>
        <w:t xml:space="preserve"> </w:t>
      </w:r>
      <w:proofErr w:type="spellStart"/>
      <w:r>
        <w:t>WrOF</w:t>
      </w:r>
      <w:proofErr w:type="spellEnd"/>
      <w:r>
        <w:t xml:space="preserve"> w największym stopniu generowany będzie poprzez mechanizmy rynkowe. Interwencja publiczna, choć istotna, m. in. ze względu na rozwój infrastruktury technicznej, w tym transportowej, rozwój systemów edukacji, czy też kształtowanie przyjaznego przedsiębiorcom otoczenia prawnego, będzie stanowić wsparcie dla inicjatyw podejmowanych przez przedsiębiorców.</w:t>
      </w:r>
    </w:p>
    <w:p w:rsidR="00BB3E24" w:rsidRPr="0037795F" w:rsidRDefault="007B452F" w:rsidP="00AD3564">
      <w:pPr>
        <w:spacing w:after="160"/>
      </w:pPr>
      <w:r>
        <w:t xml:space="preserve">Istotnym potencjałem </w:t>
      </w:r>
      <w:proofErr w:type="spellStart"/>
      <w:r>
        <w:t>W</w:t>
      </w:r>
      <w:r w:rsidR="00145426">
        <w:t>rOF</w:t>
      </w:r>
      <w:proofErr w:type="spellEnd"/>
      <w:r w:rsidR="00145426">
        <w:t xml:space="preserve"> jest wysoki poziom przedsiębiorczości mieszkańców. Od 2013 do </w:t>
      </w:r>
      <w:r w:rsidR="00145426" w:rsidRPr="0037795F">
        <w:t>2023 r. odnotowano wzrost wskaźników przedsiębiorczości. W 2023 r.</w:t>
      </w:r>
      <w:r w:rsidR="004A600C" w:rsidRPr="0037795F">
        <w:t>,</w:t>
      </w:r>
      <w:r w:rsidR="00145426" w:rsidRPr="0037795F">
        <w:t xml:space="preserve"> na tle</w:t>
      </w:r>
      <w:r w:rsidR="004A600C" w:rsidRPr="0037795F">
        <w:t xml:space="preserve"> powiatów, w których położone są gminy z</w:t>
      </w:r>
      <w:r w:rsidR="00145426" w:rsidRPr="0037795F">
        <w:t xml:space="preserve"> </w:t>
      </w:r>
      <w:proofErr w:type="spellStart"/>
      <w:r w:rsidR="00145426" w:rsidRPr="0037795F">
        <w:t>WrOF</w:t>
      </w:r>
      <w:proofErr w:type="spellEnd"/>
      <w:r w:rsidR="004A600C" w:rsidRPr="0037795F">
        <w:t>,</w:t>
      </w:r>
      <w:r w:rsidR="00145426" w:rsidRPr="0037795F">
        <w:t xml:space="preserve"> najwyższy poziom przedsiębiorczości charakteryzował mieszkańców Wrocławia i powiatu wrocławskiego. Działalność gospodarczą prowadziło tu</w:t>
      </w:r>
      <w:r w:rsidR="0037795F" w:rsidRPr="0037795F">
        <w:t> </w:t>
      </w:r>
      <w:r w:rsidR="00145426" w:rsidRPr="0037795F">
        <w:t>odpowiednio 135 i</w:t>
      </w:r>
      <w:r w:rsidR="00A03280">
        <w:t> </w:t>
      </w:r>
      <w:r w:rsidR="00145426" w:rsidRPr="0037795F">
        <w:t>128 osób na 1 tys. mieszkańców. Były to wartości znacznie powyżej średniej krajowej (97) i</w:t>
      </w:r>
      <w:r w:rsidR="00A03280">
        <w:t> </w:t>
      </w:r>
      <w:r w:rsidR="00145426" w:rsidRPr="0037795F">
        <w:t>dolnośląskiej (102).</w:t>
      </w:r>
    </w:p>
    <w:p w:rsidR="0037795F" w:rsidRPr="0037795F" w:rsidRDefault="0037795F">
      <w:pPr>
        <w:spacing w:after="160" w:line="259" w:lineRule="auto"/>
        <w:jc w:val="left"/>
        <w:rPr>
          <w:iCs/>
          <w:sz w:val="20"/>
          <w:szCs w:val="18"/>
        </w:rPr>
      </w:pPr>
      <w:bookmarkStart w:id="40" w:name="_Toc179822318"/>
      <w:r w:rsidRPr="0037795F">
        <w:br w:type="page"/>
      </w:r>
    </w:p>
    <w:p w:rsidR="00BB3E24" w:rsidRPr="00BB3E24" w:rsidRDefault="00145426" w:rsidP="003405A0">
      <w:pPr>
        <w:pStyle w:val="Legenda"/>
        <w:rPr>
          <w:i/>
        </w:rPr>
      </w:pPr>
      <w:bookmarkStart w:id="41" w:name="_Toc197678826"/>
      <w:r w:rsidRPr="00145426">
        <w:lastRenderedPageBreak/>
        <w:t xml:space="preserve">Wykres </w:t>
      </w:r>
      <w:r w:rsidR="00646D05" w:rsidRPr="00145426">
        <w:fldChar w:fldCharType="begin"/>
      </w:r>
      <w:r w:rsidRPr="00145426">
        <w:instrText xml:space="preserve"> SEQ Wykres \* ARABIC </w:instrText>
      </w:r>
      <w:r w:rsidR="00646D05" w:rsidRPr="00145426">
        <w:fldChar w:fldCharType="separate"/>
      </w:r>
      <w:r w:rsidR="0084338D">
        <w:rPr>
          <w:noProof/>
        </w:rPr>
        <w:t>12</w:t>
      </w:r>
      <w:r w:rsidR="00646D05" w:rsidRPr="00145426">
        <w:fldChar w:fldCharType="end"/>
      </w:r>
      <w:r w:rsidRPr="00145426">
        <w:t xml:space="preserve">. </w:t>
      </w:r>
      <w:r w:rsidR="00BB3E24" w:rsidRPr="00145426">
        <w:t>Osoby fizyczne prowadzące działalność gospodarczą na 1</w:t>
      </w:r>
      <w:r w:rsidRPr="00145426">
        <w:t xml:space="preserve"> tys</w:t>
      </w:r>
      <w:r w:rsidR="00BB3E24" w:rsidRPr="00145426">
        <w:t>. mieszkańcó</w:t>
      </w:r>
      <w:bookmarkEnd w:id="40"/>
      <w:r w:rsidRPr="00145426">
        <w:t>w</w:t>
      </w:r>
      <w:r w:rsidR="004A600C">
        <w:t xml:space="preserve"> w wybranych powiatach, w których położone są gminy </w:t>
      </w:r>
      <w:proofErr w:type="spellStart"/>
      <w:r w:rsidR="004A600C">
        <w:t>WrOF</w:t>
      </w:r>
      <w:bookmarkEnd w:id="41"/>
      <w:proofErr w:type="spellEnd"/>
    </w:p>
    <w:p w:rsidR="00BB3E24" w:rsidRPr="00BB3E24" w:rsidRDefault="00145426" w:rsidP="00BB3E24">
      <w:pPr>
        <w:spacing w:after="160"/>
      </w:pPr>
      <w:r>
        <w:rPr>
          <w:noProof/>
          <w:lang w:eastAsia="pl-PL"/>
        </w:rPr>
        <w:drawing>
          <wp:inline distT="0" distB="0" distL="0" distR="0">
            <wp:extent cx="5743575" cy="2871470"/>
            <wp:effectExtent l="0" t="0" r="0" b="0"/>
            <wp:docPr id="2112431956" name="Wykres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33A552B2-4E1A-E6F8-C941-DAB8220C68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BB3E24" w:rsidRPr="00BB3E24" w:rsidRDefault="00BB3E24" w:rsidP="00D62CBB">
      <w:pPr>
        <w:pStyle w:val="rdo"/>
      </w:pPr>
      <w:r w:rsidRPr="00BB3E24">
        <w:t>Źródło: opracowanie własne na podstawie GUS</w:t>
      </w:r>
      <w:r w:rsidR="0013615C">
        <w:t xml:space="preserve"> (dostęp 03.02.2025)</w:t>
      </w:r>
    </w:p>
    <w:p w:rsidR="00BB3E24" w:rsidRDefault="00BA76E8" w:rsidP="00AD3564">
      <w:pPr>
        <w:spacing w:after="160"/>
      </w:pPr>
      <w:r>
        <w:t xml:space="preserve">Potencjał gospodarczy </w:t>
      </w:r>
      <w:proofErr w:type="spellStart"/>
      <w:r>
        <w:t>WrOF</w:t>
      </w:r>
      <w:proofErr w:type="spellEnd"/>
      <w:r>
        <w:t xml:space="preserve"> potwierdzają dane liczby podmiotów gospodarczych z sektora usług wyższych. Wg danych z 2023 r. na tle kraju Wrocław osiągał bardzo wysokie wartości wskaźnika podmiotów gospodarczych w usługach wyższego rzędu na 1000 ludności. Wartości powyżej średniej wojewódzkiej tego wskaźnika odnotowano ponadto w powiecie wrocławskim. Na tle kraju i województwa od 2013 do 2023 r. we Wrocławiu i w powiecie wrocławskim odnotowano większą dynamikę wzrostu wskaźnika.</w:t>
      </w:r>
    </w:p>
    <w:p w:rsidR="0037795F" w:rsidRDefault="0037795F">
      <w:pPr>
        <w:spacing w:after="160" w:line="259" w:lineRule="auto"/>
        <w:jc w:val="left"/>
        <w:rPr>
          <w:iCs/>
          <w:color w:val="363735" w:themeColor="accent3"/>
          <w:sz w:val="20"/>
          <w:szCs w:val="18"/>
        </w:rPr>
      </w:pPr>
      <w:r>
        <w:br w:type="page"/>
      </w:r>
    </w:p>
    <w:p w:rsidR="00BB3E24" w:rsidRPr="00BB3E24" w:rsidRDefault="00145426" w:rsidP="003405A0">
      <w:pPr>
        <w:pStyle w:val="Legenda"/>
        <w:rPr>
          <w:i/>
        </w:rPr>
      </w:pPr>
      <w:bookmarkStart w:id="42" w:name="_Toc197678827"/>
      <w:r>
        <w:lastRenderedPageBreak/>
        <w:t xml:space="preserve">Wykres </w:t>
      </w:r>
      <w:r w:rsidR="00646D05">
        <w:fldChar w:fldCharType="begin"/>
      </w:r>
      <w:r>
        <w:instrText xml:space="preserve"> SEQ Wykres \* ARABIC </w:instrText>
      </w:r>
      <w:r w:rsidR="00646D05">
        <w:fldChar w:fldCharType="separate"/>
      </w:r>
      <w:r w:rsidR="0084338D">
        <w:rPr>
          <w:noProof/>
        </w:rPr>
        <w:t>13</w:t>
      </w:r>
      <w:r w:rsidR="00646D05">
        <w:fldChar w:fldCharType="end"/>
      </w:r>
      <w:r>
        <w:t>. P</w:t>
      </w:r>
      <w:r w:rsidRPr="00145426">
        <w:t xml:space="preserve">odmioty gospodarcze w usługach wyższego rzędu (sekcje </w:t>
      </w:r>
      <w:proofErr w:type="spellStart"/>
      <w:r w:rsidRPr="00145426">
        <w:t>J-R</w:t>
      </w:r>
      <w:proofErr w:type="spellEnd"/>
      <w:r w:rsidRPr="00145426">
        <w:t>) na 1000 ludności</w:t>
      </w:r>
      <w:bookmarkEnd w:id="42"/>
    </w:p>
    <w:p w:rsidR="00BB3E24" w:rsidRPr="00BB3E24" w:rsidRDefault="00145426" w:rsidP="00BB3E24">
      <w:pPr>
        <w:spacing w:after="160"/>
      </w:pPr>
      <w:r>
        <w:rPr>
          <w:noProof/>
          <w:lang w:eastAsia="pl-PL"/>
        </w:rPr>
        <w:drawing>
          <wp:inline distT="0" distB="0" distL="0" distR="0">
            <wp:extent cx="5800725" cy="3423920"/>
            <wp:effectExtent l="0" t="0" r="0" b="0"/>
            <wp:docPr id="1187499854" name="Wykres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F8837044-C044-10CE-6D34-E5F5AB68C4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BB3E24" w:rsidRDefault="00BB3E24" w:rsidP="00D62CBB">
      <w:pPr>
        <w:pStyle w:val="rdo"/>
      </w:pPr>
      <w:r w:rsidRPr="00BB3E24">
        <w:t>Źródło: opracowanie własne na podstawie GUS</w:t>
      </w:r>
      <w:r w:rsidR="0013615C">
        <w:t xml:space="preserve"> (dostęp 03.02.2025)</w:t>
      </w:r>
    </w:p>
    <w:p w:rsidR="00BA76E8" w:rsidRDefault="00BA76E8" w:rsidP="00BA76E8">
      <w:pPr>
        <w:spacing w:after="160"/>
      </w:pPr>
      <w:r>
        <w:t xml:space="preserve">W odniesieniu do rozwoju gospodarczego opierającego się na usługach wyższego rzędu warto podkreślić, iż </w:t>
      </w:r>
      <w:proofErr w:type="spellStart"/>
      <w:r>
        <w:t>WrOF</w:t>
      </w:r>
      <w:proofErr w:type="spellEnd"/>
      <w:r>
        <w:t xml:space="preserve"> będzie mierzyć się z coraz większą presją konkurencyjną ze strony innych dużych ośrodków miejskich w kraju. Jak pokazują dane odnoszące się do wskaźnika podmiotów gospodarczych w usługach wyższego rzędu na 1000 ludności, w zestawieniu dużych miast Polski najwyższą wartość wskaźnika w 2023 roku odnotowano w Warszawie (167,4). Zbliżoną wartość wskaźnika do Wrocławia charakteryzował się Poznań (124,8) oraz Kraków (117,9).</w:t>
      </w:r>
      <w:r w:rsidR="004D5437">
        <w:t xml:space="preserve"> Warszawa i Kraków charakteryzowały się najwyższą dynamiką wzrostu wskaźnika w okresie do 2013 i</w:t>
      </w:r>
      <w:r w:rsidR="005D77E0">
        <w:t> </w:t>
      </w:r>
      <w:r w:rsidR="004D5437">
        <w:t>2023</w:t>
      </w:r>
      <w:r w:rsidR="005D77E0">
        <w:t> </w:t>
      </w:r>
      <w:r w:rsidR="004D5437">
        <w:t>r.</w:t>
      </w:r>
    </w:p>
    <w:p w:rsidR="004D5437" w:rsidRDefault="004D5437">
      <w:pPr>
        <w:spacing w:after="160" w:line="259" w:lineRule="auto"/>
        <w:jc w:val="left"/>
        <w:rPr>
          <w:iCs/>
          <w:color w:val="363735" w:themeColor="accent3"/>
          <w:sz w:val="20"/>
          <w:szCs w:val="18"/>
        </w:rPr>
      </w:pPr>
      <w:r>
        <w:br w:type="page"/>
      </w:r>
    </w:p>
    <w:p w:rsidR="00BB3E24" w:rsidRDefault="00BA22EC" w:rsidP="003405A0">
      <w:pPr>
        <w:pStyle w:val="Legenda"/>
      </w:pPr>
      <w:r>
        <w:lastRenderedPageBreak/>
        <w:t xml:space="preserve"> </w:t>
      </w:r>
      <w:bookmarkStart w:id="43" w:name="_Toc197678828"/>
      <w:r w:rsidR="004D5437">
        <w:t xml:space="preserve">Wykres </w:t>
      </w:r>
      <w:r w:rsidR="00646D05">
        <w:fldChar w:fldCharType="begin"/>
      </w:r>
      <w:r w:rsidR="004D5437">
        <w:instrText xml:space="preserve"> SEQ Wykres \* ARABIC </w:instrText>
      </w:r>
      <w:r w:rsidR="00646D05">
        <w:fldChar w:fldCharType="separate"/>
      </w:r>
      <w:r w:rsidR="0084338D">
        <w:rPr>
          <w:noProof/>
        </w:rPr>
        <w:t>14</w:t>
      </w:r>
      <w:r w:rsidR="00646D05">
        <w:fldChar w:fldCharType="end"/>
      </w:r>
      <w:r w:rsidR="004D5437">
        <w:t>. P</w:t>
      </w:r>
      <w:r w:rsidR="004D5437" w:rsidRPr="00145426">
        <w:t xml:space="preserve">odmioty gospodarcze w usługach wyższego rzędu (sekcje </w:t>
      </w:r>
      <w:proofErr w:type="spellStart"/>
      <w:r w:rsidR="004D5437" w:rsidRPr="00145426">
        <w:t>J-R</w:t>
      </w:r>
      <w:proofErr w:type="spellEnd"/>
      <w:r w:rsidR="004D5437" w:rsidRPr="00145426">
        <w:t>) na 1000 ludności</w:t>
      </w:r>
      <w:r w:rsidR="004D5437">
        <w:t xml:space="preserve"> w dużych miastach w Polsce</w:t>
      </w:r>
      <w:bookmarkEnd w:id="43"/>
    </w:p>
    <w:p w:rsidR="00BA76E8" w:rsidRDefault="00BA76E8" w:rsidP="00BB3E24">
      <w:pPr>
        <w:spacing w:after="160"/>
      </w:pPr>
      <w:r>
        <w:rPr>
          <w:noProof/>
          <w:lang w:eastAsia="pl-PL"/>
        </w:rPr>
        <w:drawing>
          <wp:inline distT="0" distB="0" distL="0" distR="0">
            <wp:extent cx="5781675" cy="3366770"/>
            <wp:effectExtent l="0" t="0" r="0" b="0"/>
            <wp:docPr id="894597822" name="Wykres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B992D973-3AAE-958F-5A34-8C3779C146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BA76E8" w:rsidRDefault="00BA76E8" w:rsidP="00D62CBB">
      <w:pPr>
        <w:pStyle w:val="rdo"/>
      </w:pPr>
      <w:r w:rsidRPr="00BB3E24">
        <w:t>Źródło: opracowanie własne na podstawie GUS</w:t>
      </w:r>
      <w:r w:rsidR="0013615C">
        <w:t xml:space="preserve"> (dostęp 03.02.2025)</w:t>
      </w:r>
    </w:p>
    <w:p w:rsidR="00BA76E8" w:rsidRDefault="00C37342" w:rsidP="00BB3E24">
      <w:pPr>
        <w:spacing w:after="160"/>
      </w:pPr>
      <w:r w:rsidRPr="00912947">
        <w:t>Strategia produktywności 2030</w:t>
      </w:r>
      <w:r>
        <w:t xml:space="preserve"> wskazuje na kluczowe trendy rozwojowe, które należy uwzględniać w kontekście podtrzymania wzrostu gospodarczego. Są to w szczególności:</w:t>
      </w:r>
    </w:p>
    <w:p w:rsidR="00C37342" w:rsidRDefault="00C37342" w:rsidP="005E7CCF">
      <w:pPr>
        <w:pStyle w:val="Akapitzlist"/>
        <w:numPr>
          <w:ilvl w:val="0"/>
          <w:numId w:val="8"/>
        </w:numPr>
        <w:spacing w:after="160"/>
      </w:pPr>
      <w:r w:rsidRPr="00FD28DB">
        <w:t xml:space="preserve">powszechna cyfryzacja, prowadząca do czwartej rewolucji przemysłowej, </w:t>
      </w:r>
    </w:p>
    <w:p w:rsidR="00C37342" w:rsidRDefault="00C37342" w:rsidP="005E7CCF">
      <w:pPr>
        <w:pStyle w:val="Akapitzlist"/>
        <w:numPr>
          <w:ilvl w:val="0"/>
          <w:numId w:val="8"/>
        </w:numPr>
        <w:spacing w:after="160"/>
      </w:pPr>
      <w:r w:rsidRPr="00FD28DB">
        <w:t xml:space="preserve">budowa gospodarki o obiegu zamkniętym, </w:t>
      </w:r>
    </w:p>
    <w:p w:rsidR="00C37342" w:rsidRDefault="00C37342" w:rsidP="005E7CCF">
      <w:pPr>
        <w:pStyle w:val="Akapitzlist"/>
        <w:numPr>
          <w:ilvl w:val="0"/>
          <w:numId w:val="8"/>
        </w:numPr>
        <w:spacing w:after="160"/>
      </w:pPr>
      <w:r w:rsidRPr="00FD28DB">
        <w:t>dążenie do neutralności klimatycznej.</w:t>
      </w:r>
    </w:p>
    <w:p w:rsidR="00C37342" w:rsidRDefault="00C37342" w:rsidP="00C37342">
      <w:r>
        <w:t>Zagadnienia cyfryzacji dotykać będą szerokich aspektów</w:t>
      </w:r>
      <w:r w:rsidR="0079609C">
        <w:t xml:space="preserve"> życia. Obejmować będą zarówno sektor publiczny, jak też prywatny. Prognozuje się, iż rozwiązania opierające się na sztucznej inteligencji, </w:t>
      </w:r>
      <w:proofErr w:type="spellStart"/>
      <w:r w:rsidR="0079609C">
        <w:t>internecie</w:t>
      </w:r>
      <w:proofErr w:type="spellEnd"/>
      <w:r w:rsidR="0079609C">
        <w:t xml:space="preserve"> rzeczy czy też zintegrowanych bazach danych, stanowić mogą zarówno szansę jak też zagrożenie dla wielu sektorów życia i działalności, zarówno publicznych, jak też prywatnych. Prognozy wskazują, iż w ciągu najbliższych lat dojdzie do rewolucji w wykorzystaniu systemów sztucznej inteligencji, którą to można porównać do rewolucji cyfrowej, </w:t>
      </w:r>
      <w:r w:rsidR="00D932A8">
        <w:t xml:space="preserve">a </w:t>
      </w:r>
      <w:r w:rsidR="0079609C">
        <w:t xml:space="preserve">której zwieńczeniem było wynalezienie </w:t>
      </w:r>
      <w:proofErr w:type="spellStart"/>
      <w:r w:rsidR="0079609C">
        <w:t>internetu</w:t>
      </w:r>
      <w:proofErr w:type="spellEnd"/>
      <w:r w:rsidR="0079609C">
        <w:t xml:space="preserve">. Udoskonalenie sztucznej inteligencji, może znacząco poprawić produktywność wielu sektorów gospodarki i usług publicznych. Wpłynie to na zasadniczą zmianę konkurencyjności wybranych sektorów czy też konkretnych przedsiębiorstw. </w:t>
      </w:r>
    </w:p>
    <w:p w:rsidR="00FD1882" w:rsidRPr="004C2C43" w:rsidRDefault="0079609C" w:rsidP="00B15D9D">
      <w:pPr>
        <w:rPr>
          <w:color w:val="000000" w:themeColor="text1"/>
        </w:rPr>
      </w:pPr>
      <w:r>
        <w:t xml:space="preserve">Kolejnym kluczowym dla przyszłości polskiej gospodarki trendem jest budowa gospodarki o obiegu zamkniętym. Wynika to przede wszystkim z wyczerpywania się dostępnych zasobów surowcowych, przy jednoczesnym prognozowanym ciągłym wzroście popytu. Wymusza to </w:t>
      </w:r>
      <w:r w:rsidRPr="00B15D9D">
        <w:rPr>
          <w:color w:val="000000" w:themeColor="text1"/>
        </w:rPr>
        <w:t xml:space="preserve">poszukiwanie i wdrażanie </w:t>
      </w:r>
      <w:r w:rsidRPr="00B15D9D">
        <w:rPr>
          <w:color w:val="000000" w:themeColor="text1"/>
        </w:rPr>
        <w:lastRenderedPageBreak/>
        <w:t xml:space="preserve">rozwiązań, które przyczyniać się będą do </w:t>
      </w:r>
      <w:r w:rsidR="00BA22EC" w:rsidRPr="00B15D9D">
        <w:rPr>
          <w:color w:val="000000" w:themeColor="text1"/>
        </w:rPr>
        <w:t xml:space="preserve">ponownego użycia oraz recyklingu zasobów. Gospodarka o obiegu zamkniętym stanowi istotne wyzwanie dla praktycznie całego społeczeństwa i gospodarki. Jej przejawem są między innymi regulacje prawne (np. na poziomie unijnym), ale też narzędzia wspierające rozwój innowacji, które mogą zostać wdrożone w celu realizacji założeń gospodarki o obiegu zamkniętym. Kluczowym elementem rewolucji związanej z gospodarką o obiegu zamkniętym jest rozwój </w:t>
      </w:r>
      <w:proofErr w:type="spellStart"/>
      <w:r w:rsidR="00BA22EC" w:rsidRPr="00B15D9D">
        <w:rPr>
          <w:color w:val="000000" w:themeColor="text1"/>
        </w:rPr>
        <w:t>biogospodarki</w:t>
      </w:r>
      <w:proofErr w:type="spellEnd"/>
      <w:r w:rsidR="00BA22EC" w:rsidRPr="00B15D9D">
        <w:rPr>
          <w:color w:val="000000" w:themeColor="text1"/>
        </w:rPr>
        <w:t>, jak też rozwój biotechnologii.</w:t>
      </w:r>
    </w:p>
    <w:p w:rsidR="00A31037" w:rsidRDefault="00A31037">
      <w:pPr>
        <w:spacing w:after="160" w:line="259" w:lineRule="auto"/>
        <w:jc w:val="left"/>
        <w:rPr>
          <w:rFonts w:asciiTheme="majorHAnsi" w:eastAsiaTheme="majorEastAsia" w:hAnsiTheme="majorHAnsi" w:cstheme="majorBidi"/>
          <w:color w:val="1E7DBF" w:themeColor="accent1"/>
          <w:sz w:val="32"/>
          <w:szCs w:val="32"/>
        </w:rPr>
      </w:pPr>
      <w:r>
        <w:br w:type="page"/>
      </w:r>
    </w:p>
    <w:p w:rsidR="00AD3564" w:rsidRPr="00AD3564" w:rsidRDefault="008B55DE" w:rsidP="008B55DE">
      <w:pPr>
        <w:pStyle w:val="Nagwek2"/>
        <w:numPr>
          <w:ilvl w:val="0"/>
          <w:numId w:val="0"/>
        </w:numPr>
        <w:ind w:left="993" w:hanging="851"/>
      </w:pPr>
      <w:bookmarkStart w:id="44" w:name="_Toc196905128"/>
      <w:r>
        <w:lastRenderedPageBreak/>
        <w:t xml:space="preserve">2.7. </w:t>
      </w:r>
      <w:r w:rsidR="00AD3564" w:rsidRPr="00AD3564">
        <w:t>Rozwój turystyki i wzrost rozpoznawalności turystycznej</w:t>
      </w:r>
      <w:bookmarkEnd w:id="44"/>
    </w:p>
    <w:p w:rsidR="00AD3564" w:rsidRDefault="00AD3564" w:rsidP="00AD3564">
      <w:r>
        <w:t>Polska jest krajem coraz liczniej odwiedzanym przez turystów zagranicznych. Systematycznie rozwija się baza i infrastruktura noclegowa. Polacy są narodem coraz bogatszym, co również przekłada się na wzrost konsumpcji zewnętrznej. Prognozy wskazują na możliwość zwiększenia dochodów z turystyki z 5</w:t>
      </w:r>
      <w:r w:rsidR="000C0EB2">
        <w:t>%</w:t>
      </w:r>
      <w:r>
        <w:t xml:space="preserve"> do nawet 7% PKB kraju. W sferze turystyki nadal istnieją znaczące możliwości rozwoju. Związane jest to m.in. z poprawą dostępności komunikacyjnej kraju. Przykładem jest rozwój sieci autostrad i dróg ekspresowych, jak też prognozowana znacząca poprawa dostępności lotniczej kraju. Ministerstwo Sportu i Turystki jako k</w:t>
      </w:r>
      <w:r w:rsidRPr="007430C1">
        <w:t xml:space="preserve">luczowe czynniki </w:t>
      </w:r>
      <w:r w:rsidR="00B15D9D">
        <w:t>rozwoju</w:t>
      </w:r>
      <w:r w:rsidRPr="007430C1">
        <w:t xml:space="preserve"> </w:t>
      </w:r>
      <w:r>
        <w:t>turystki w Polsce postrzega</w:t>
      </w:r>
      <w:r w:rsidRPr="007430C1">
        <w:t xml:space="preserve"> potencjał kulturowy miast i</w:t>
      </w:r>
      <w:r>
        <w:t> </w:t>
      </w:r>
      <w:r w:rsidRPr="007430C1">
        <w:t xml:space="preserve">regionów, </w:t>
      </w:r>
      <w:r w:rsidR="00B15D9D">
        <w:t xml:space="preserve">dostępność </w:t>
      </w:r>
      <w:r w:rsidRPr="007430C1">
        <w:t>najwyższej klasy baz</w:t>
      </w:r>
      <w:r w:rsidR="00B15D9D">
        <w:t>y</w:t>
      </w:r>
      <w:r w:rsidRPr="007430C1">
        <w:t xml:space="preserve"> noclegow</w:t>
      </w:r>
      <w:r w:rsidR="00B15D9D">
        <w:t>ej</w:t>
      </w:r>
      <w:r w:rsidRPr="007430C1">
        <w:t xml:space="preserve">, </w:t>
      </w:r>
      <w:r w:rsidR="00B15D9D">
        <w:t xml:space="preserve">funkcjonowanie </w:t>
      </w:r>
      <w:r w:rsidRPr="007430C1">
        <w:t>wysokiej jakości i now</w:t>
      </w:r>
      <w:r w:rsidR="00B15D9D">
        <w:t>ej</w:t>
      </w:r>
      <w:r w:rsidRPr="007430C1">
        <w:t xml:space="preserve"> infrastruktur</w:t>
      </w:r>
      <w:r>
        <w:t>a</w:t>
      </w:r>
      <w:r w:rsidRPr="007430C1">
        <w:t xml:space="preserve"> MICE</w:t>
      </w:r>
      <w:r>
        <w:rPr>
          <w:rStyle w:val="Odwoanieprzypisudolnego"/>
        </w:rPr>
        <w:footnoteReference w:id="7"/>
      </w:r>
      <w:r w:rsidRPr="007430C1">
        <w:t xml:space="preserve">, </w:t>
      </w:r>
      <w:r w:rsidR="003444F0">
        <w:t xml:space="preserve">funkcjonowanie i rozwój </w:t>
      </w:r>
      <w:r w:rsidRPr="007430C1">
        <w:t>turystyk</w:t>
      </w:r>
      <w:r w:rsidR="003444F0">
        <w:t>i</w:t>
      </w:r>
      <w:r w:rsidRPr="007430C1">
        <w:t xml:space="preserve"> kulinarn</w:t>
      </w:r>
      <w:r w:rsidR="003444F0">
        <w:t>ej</w:t>
      </w:r>
      <w:r w:rsidRPr="007430C1">
        <w:t xml:space="preserve"> i</w:t>
      </w:r>
      <w:r>
        <w:t> </w:t>
      </w:r>
      <w:proofErr w:type="spellStart"/>
      <w:r w:rsidRPr="007430C1">
        <w:t>enoturystyk</w:t>
      </w:r>
      <w:r w:rsidR="003444F0">
        <w:t>i</w:t>
      </w:r>
      <w:proofErr w:type="spellEnd"/>
      <w:r w:rsidR="003444F0">
        <w:t>, jak też</w:t>
      </w:r>
      <w:r w:rsidRPr="007430C1">
        <w:t xml:space="preserve"> walory przyrodnicze</w:t>
      </w:r>
      <w:r w:rsidR="003444F0">
        <w:t xml:space="preserve"> Polski,</w:t>
      </w:r>
      <w:r w:rsidRPr="007430C1">
        <w:t xml:space="preserve"> umożliwiające uprawianie turystyki zrównoważonej i</w:t>
      </w:r>
      <w:r>
        <w:t> </w:t>
      </w:r>
      <w:r w:rsidRPr="007430C1">
        <w:t>regeneracyjnej</w:t>
      </w:r>
      <w:r>
        <w:t xml:space="preserve">. W tym kontekście </w:t>
      </w:r>
      <w:proofErr w:type="spellStart"/>
      <w:r>
        <w:t>WrOF</w:t>
      </w:r>
      <w:proofErr w:type="spellEnd"/>
      <w:r>
        <w:t xml:space="preserve"> może być jedną z kluczowych </w:t>
      </w:r>
      <w:proofErr w:type="spellStart"/>
      <w:r>
        <w:t>destynacji</w:t>
      </w:r>
      <w:proofErr w:type="spellEnd"/>
      <w:r>
        <w:t xml:space="preserve"> turystycznych kraju, w</w:t>
      </w:r>
      <w:r w:rsidR="000C0EB2">
        <w:t> </w:t>
      </w:r>
      <w:r>
        <w:t>szczególności ze względu na potencjał kulturowy i potencjał MICE, jak też ze względu na bardzo dobrą dostępność komunikacyjną z wielu regionów Europy.</w:t>
      </w:r>
    </w:p>
    <w:p w:rsidR="00797D2E" w:rsidRDefault="00797D2E" w:rsidP="00AD3564">
      <w:r w:rsidRPr="008210A9">
        <w:t xml:space="preserve">Według </w:t>
      </w:r>
      <w:proofErr w:type="spellStart"/>
      <w:r w:rsidRPr="008210A9">
        <w:t>Eurostatu</w:t>
      </w:r>
      <w:proofErr w:type="spellEnd"/>
      <w:r w:rsidRPr="008210A9">
        <w:t xml:space="preserve"> w 2023 roku liczba</w:t>
      </w:r>
      <w:r w:rsidR="004B5FB9">
        <w:t xml:space="preserve"> noclegów</w:t>
      </w:r>
      <w:r w:rsidRPr="008210A9">
        <w:t xml:space="preserve"> turystów zagranicznych korzystających z</w:t>
      </w:r>
      <w:r w:rsidR="004B5FB9">
        <w:t> </w:t>
      </w:r>
      <w:r w:rsidRPr="008210A9">
        <w:t xml:space="preserve">rejestrowanych obiektów noclegowych wyniosła w Hiszpanii </w:t>
      </w:r>
      <w:r w:rsidR="004B5FB9">
        <w:t>290</w:t>
      </w:r>
      <w:r w:rsidRPr="008210A9">
        <w:t xml:space="preserve"> milion</w:t>
      </w:r>
      <w:r w:rsidR="004B5FB9">
        <w:t>ów</w:t>
      </w:r>
      <w:r w:rsidRPr="008210A9">
        <w:t xml:space="preserve">, we Włoszech </w:t>
      </w:r>
      <w:r w:rsidR="004B5FB9">
        <w:t>230 </w:t>
      </w:r>
      <w:r w:rsidRPr="008210A9">
        <w:t>milion</w:t>
      </w:r>
      <w:r w:rsidR="004B5FB9">
        <w:t>ów</w:t>
      </w:r>
      <w:r w:rsidRPr="008210A9">
        <w:t>, we Francji</w:t>
      </w:r>
      <w:r w:rsidR="004B5FB9">
        <w:t xml:space="preserve"> prawie</w:t>
      </w:r>
      <w:r w:rsidRPr="008210A9">
        <w:t xml:space="preserve"> </w:t>
      </w:r>
      <w:r w:rsidR="004B5FB9">
        <w:t>140</w:t>
      </w:r>
      <w:r w:rsidRPr="008210A9">
        <w:t xml:space="preserve"> milion</w:t>
      </w:r>
      <w:r w:rsidR="004B5FB9">
        <w:t>ów</w:t>
      </w:r>
      <w:r w:rsidRPr="008210A9">
        <w:t xml:space="preserve">, w Niemczech </w:t>
      </w:r>
      <w:r w:rsidR="004B5FB9">
        <w:t>80</w:t>
      </w:r>
      <w:r w:rsidRPr="008210A9">
        <w:t xml:space="preserve"> milion</w:t>
      </w:r>
      <w:r w:rsidR="004B5FB9">
        <w:t>ów</w:t>
      </w:r>
      <w:r w:rsidRPr="008210A9">
        <w:t xml:space="preserve">, a w Polsce </w:t>
      </w:r>
      <w:r w:rsidR="004B5FB9">
        <w:t>17 </w:t>
      </w:r>
      <w:r w:rsidRPr="008210A9">
        <w:t>milion</w:t>
      </w:r>
      <w:r w:rsidR="004B5FB9">
        <w:t>ów</w:t>
      </w:r>
      <w:r w:rsidRPr="008210A9">
        <w:t xml:space="preserve">. Dane te </w:t>
      </w:r>
      <w:r>
        <w:t>wskazują na istotne dysproporcje w rozwoju sektora turystycznego i</w:t>
      </w:r>
      <w:r w:rsidR="004B5FB9">
        <w:t> </w:t>
      </w:r>
      <w:r>
        <w:t>jednocześnie na możliwość wzrostu tego sektora w Polsce.</w:t>
      </w:r>
      <w:r>
        <w:rPr>
          <w:rStyle w:val="Odwoanieprzypisudolnego"/>
        </w:rPr>
        <w:footnoteReference w:id="8"/>
      </w:r>
    </w:p>
    <w:p w:rsidR="00ED2BE2" w:rsidRPr="00A03280" w:rsidRDefault="00797D2E" w:rsidP="00A03280">
      <w:r>
        <w:t xml:space="preserve">Dane GUS wskazują na umiarkowany rozwój infrastruktury </w:t>
      </w:r>
      <w:r w:rsidR="00ED2BE2">
        <w:t>noclegowej</w:t>
      </w:r>
      <w:r>
        <w:t xml:space="preserve"> w kraju.</w:t>
      </w:r>
      <w:r w:rsidR="00ED2BE2">
        <w:t xml:space="preserve"> Wskaźnik liczby miejsc noclegowych na 1</w:t>
      </w:r>
      <w:r w:rsidR="0066526E">
        <w:t>000</w:t>
      </w:r>
      <w:r w:rsidR="00ED2BE2">
        <w:t xml:space="preserve"> mieszkańców w Polsce zwiększył się z poziomu 17,65 w 2013 r. do poziomu </w:t>
      </w:r>
      <w:r w:rsidR="00F37E3B">
        <w:t>21</w:t>
      </w:r>
      <w:r w:rsidR="002116E0">
        <w:t>,</w:t>
      </w:r>
      <w:r w:rsidR="00F37E3B">
        <w:t>04</w:t>
      </w:r>
      <w:r w:rsidR="00ED2BE2">
        <w:t xml:space="preserve"> w 2023 r., co oznacza wzrost rzędu 19,2%. Większą dynamikę wzrostu (31%), jak też wyższe nasycenie miejscami noclegowymi (26,3 w 2023 r.) w stosunku do średniej krajowej obserwowano w województwie dolnośląskim. Infrastruktura noclegowa w</w:t>
      </w:r>
      <w:r w:rsidR="006047E1">
        <w:t>e</w:t>
      </w:r>
      <w:r w:rsidR="00ED2BE2">
        <w:t xml:space="preserve"> </w:t>
      </w:r>
      <w:proofErr w:type="spellStart"/>
      <w:r w:rsidR="00ED2BE2">
        <w:t>WrOF</w:t>
      </w:r>
      <w:proofErr w:type="spellEnd"/>
      <w:r w:rsidR="00ED2BE2">
        <w:t xml:space="preserve"> koncentruje się przede wszystkim we Wrocławiu. Tutaj też notowano najwyższe wartości wskaźników liczby miejsc noclegowych w relacji do liczby mieszkańców (21,63 w 2023 r.), jak też najwyższą dynamikę rozwoju infrastruktury noclegowej (42,4%). </w:t>
      </w:r>
    </w:p>
    <w:p w:rsidR="00701E9F" w:rsidRDefault="00701E9F">
      <w:pPr>
        <w:spacing w:after="160" w:line="259" w:lineRule="auto"/>
        <w:jc w:val="left"/>
        <w:rPr>
          <w:iCs/>
          <w:color w:val="363735" w:themeColor="accent3"/>
          <w:sz w:val="20"/>
          <w:szCs w:val="18"/>
        </w:rPr>
      </w:pPr>
      <w:r>
        <w:br w:type="page"/>
      </w:r>
    </w:p>
    <w:p w:rsidR="000C0EB2" w:rsidRDefault="00797D2E" w:rsidP="003405A0">
      <w:pPr>
        <w:pStyle w:val="Legenda"/>
      </w:pPr>
      <w:bookmarkStart w:id="45" w:name="_Toc197678829"/>
      <w:r>
        <w:lastRenderedPageBreak/>
        <w:t xml:space="preserve">Wykres </w:t>
      </w:r>
      <w:r w:rsidR="00646D05">
        <w:fldChar w:fldCharType="begin"/>
      </w:r>
      <w:r>
        <w:instrText xml:space="preserve"> SEQ Wykres \* ARABIC </w:instrText>
      </w:r>
      <w:r w:rsidR="00646D05">
        <w:fldChar w:fldCharType="separate"/>
      </w:r>
      <w:r w:rsidR="0084338D">
        <w:rPr>
          <w:noProof/>
        </w:rPr>
        <w:t>15</w:t>
      </w:r>
      <w:r w:rsidR="00646D05">
        <w:fldChar w:fldCharType="end"/>
      </w:r>
      <w:r>
        <w:t>. Miejsca noclegowe na 1</w:t>
      </w:r>
      <w:r w:rsidR="0066526E">
        <w:t>000</w:t>
      </w:r>
      <w:r>
        <w:t xml:space="preserve"> ludności</w:t>
      </w:r>
      <w:bookmarkEnd w:id="45"/>
      <w:r>
        <w:t xml:space="preserve"> </w:t>
      </w:r>
    </w:p>
    <w:p w:rsidR="00797D2E" w:rsidRDefault="00797D2E" w:rsidP="009F1AB6">
      <w:pPr>
        <w:pStyle w:val="rdo"/>
      </w:pPr>
      <w:r>
        <w:rPr>
          <w:noProof/>
          <w:lang w:eastAsia="pl-PL"/>
        </w:rPr>
        <w:drawing>
          <wp:inline distT="0" distB="0" distL="0" distR="0">
            <wp:extent cx="5760720" cy="3169285"/>
            <wp:effectExtent l="0" t="0" r="0" b="0"/>
            <wp:docPr id="1747734976" name="Wykres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65E03177-5AD6-74DE-A250-66CFE7799A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797D2E">
        <w:rPr>
          <w:noProof/>
        </w:rPr>
        <w:t xml:space="preserve"> </w:t>
      </w:r>
      <w:r w:rsidRPr="00BB3E24">
        <w:t>Źródło: opracowanie własne na podstawie GUS</w:t>
      </w:r>
      <w:r w:rsidR="0013615C">
        <w:t xml:space="preserve"> (dostęp 03.02.2025)</w:t>
      </w:r>
    </w:p>
    <w:p w:rsidR="00797D2E" w:rsidRDefault="00ED2BE2" w:rsidP="00AD3564">
      <w:r w:rsidRPr="00EE3D22">
        <w:t xml:space="preserve">Wrocław był kluczową </w:t>
      </w:r>
      <w:proofErr w:type="spellStart"/>
      <w:r w:rsidRPr="00EE3D22">
        <w:t>destynacją</w:t>
      </w:r>
      <w:proofErr w:type="spellEnd"/>
      <w:r w:rsidRPr="00EE3D22">
        <w:t xml:space="preserve"> w</w:t>
      </w:r>
      <w:r w:rsidR="006047E1" w:rsidRPr="00EE3D22">
        <w:t>e</w:t>
      </w:r>
      <w:r w:rsidRPr="00EE3D22">
        <w:t xml:space="preserve"> </w:t>
      </w:r>
      <w:proofErr w:type="spellStart"/>
      <w:r w:rsidRPr="00EE3D22">
        <w:t>WrOF</w:t>
      </w:r>
      <w:proofErr w:type="spellEnd"/>
      <w:r w:rsidRPr="00EE3D22">
        <w:t xml:space="preserve"> pod względem liczby </w:t>
      </w:r>
      <w:r w:rsidR="00E9794B" w:rsidRPr="00EE3D22">
        <w:t>turystów korzystających z </w:t>
      </w:r>
      <w:r w:rsidRPr="00EE3D22">
        <w:t xml:space="preserve">noclegów. Wskaźnik </w:t>
      </w:r>
      <w:r w:rsidR="00E9794B" w:rsidRPr="00EE3D22">
        <w:t>t</w:t>
      </w:r>
      <w:r w:rsidR="00EE3D22" w:rsidRPr="00EE3D22">
        <w:t>urystów</w:t>
      </w:r>
      <w:r w:rsidR="00E9794B" w:rsidRPr="00EE3D22">
        <w:t xml:space="preserve"> korzystających z </w:t>
      </w:r>
      <w:r w:rsidRPr="00EE3D22">
        <w:t xml:space="preserve">noclegów w 2023 r. dla Wrocławia wynosił </w:t>
      </w:r>
      <w:r w:rsidR="000F3EAF" w:rsidRPr="00EE3D22">
        <w:t>1887</w:t>
      </w:r>
      <w:r w:rsidRPr="00EE3D22">
        <w:t>. na 1</w:t>
      </w:r>
      <w:r w:rsidR="0066526E" w:rsidRPr="00EE3D22">
        <w:t>000</w:t>
      </w:r>
      <w:r w:rsidRPr="00EE3D22">
        <w:t xml:space="preserve"> ludności. Była to wartość </w:t>
      </w:r>
      <w:r w:rsidR="000F3EAF" w:rsidRPr="00EE3D22">
        <w:t>powyżej</w:t>
      </w:r>
      <w:r w:rsidRPr="00EE3D22">
        <w:t xml:space="preserve"> średniej dla województwa dolnośląskiego (</w:t>
      </w:r>
      <w:r w:rsidR="000F3EAF" w:rsidRPr="00EE3D22">
        <w:t>1456</w:t>
      </w:r>
      <w:r w:rsidR="006B49DF">
        <w:t> </w:t>
      </w:r>
      <w:r w:rsidR="00EE3D22" w:rsidRPr="00EE3D22">
        <w:t>turystów</w:t>
      </w:r>
      <w:r w:rsidRPr="00EE3D22">
        <w:t>)</w:t>
      </w:r>
      <w:r w:rsidR="00EE3D22" w:rsidRPr="00EE3D22">
        <w:t xml:space="preserve"> oraz </w:t>
      </w:r>
      <w:r w:rsidRPr="00EE3D22">
        <w:t>była wyraźnie wyższa od średniej krajowej (</w:t>
      </w:r>
      <w:r w:rsidR="00F960C0">
        <w:t>961</w:t>
      </w:r>
      <w:r w:rsidRPr="00EE3D22">
        <w:t>). W</w:t>
      </w:r>
      <w:r w:rsidR="009F1AB6" w:rsidRPr="00EE3D22">
        <w:t> </w:t>
      </w:r>
      <w:r w:rsidRPr="00EE3D22">
        <w:t xml:space="preserve">odniesieniu do danych dla powiatów obejmujących swoim zasięgiem gminy </w:t>
      </w:r>
      <w:proofErr w:type="spellStart"/>
      <w:r w:rsidRPr="00EE3D22">
        <w:t>WrOF</w:t>
      </w:r>
      <w:proofErr w:type="spellEnd"/>
      <w:r w:rsidRPr="00EE3D22">
        <w:t xml:space="preserve"> warto zwrócić uwagę na wysoką dynamikę </w:t>
      </w:r>
      <w:r w:rsidR="00EE3D22" w:rsidRPr="00EE3D22">
        <w:t>wzrostu wskaźnika liczby turystów korzystających z noclegów</w:t>
      </w:r>
      <w:r w:rsidRPr="00EE3D22">
        <w:t>. Skorelowane jest to m.</w:t>
      </w:r>
      <w:r w:rsidR="006B49DF">
        <w:t> </w:t>
      </w:r>
      <w:r w:rsidRPr="00EE3D22">
        <w:t xml:space="preserve">in. z rozwojem funkcji gospodarczej, jak też znaczeniem </w:t>
      </w:r>
      <w:proofErr w:type="spellStart"/>
      <w:r w:rsidRPr="00EE3D22">
        <w:t>WrOF</w:t>
      </w:r>
      <w:proofErr w:type="spellEnd"/>
      <w:r w:rsidRPr="00EE3D22">
        <w:t xml:space="preserve"> jako miejsca obsługi ruchu tranzytowego. Rozwojowi infrastruktury noclegowej sprzyja bliskość Wrocławia, jako kluczowego generatora ruchu turystycznego.</w:t>
      </w:r>
    </w:p>
    <w:p w:rsidR="00A31037" w:rsidRDefault="00A31037">
      <w:pPr>
        <w:spacing w:after="160" w:line="259" w:lineRule="auto"/>
        <w:jc w:val="left"/>
        <w:rPr>
          <w:iCs/>
          <w:color w:val="363735" w:themeColor="accent3"/>
          <w:sz w:val="20"/>
          <w:szCs w:val="18"/>
        </w:rPr>
      </w:pPr>
      <w:r>
        <w:br w:type="page"/>
      </w:r>
    </w:p>
    <w:p w:rsidR="00797D2E" w:rsidRDefault="00ED2BE2" w:rsidP="003405A0">
      <w:pPr>
        <w:pStyle w:val="Legenda"/>
      </w:pPr>
      <w:bookmarkStart w:id="46" w:name="_Toc197678830"/>
      <w:r w:rsidRPr="00EE3D22">
        <w:lastRenderedPageBreak/>
        <w:t xml:space="preserve">Wykres </w:t>
      </w:r>
      <w:r w:rsidR="00646D05" w:rsidRPr="00EE3D22">
        <w:fldChar w:fldCharType="begin"/>
      </w:r>
      <w:r w:rsidRPr="00EE3D22">
        <w:instrText xml:space="preserve"> SEQ Wykres \* ARABIC </w:instrText>
      </w:r>
      <w:r w:rsidR="00646D05" w:rsidRPr="00EE3D22">
        <w:fldChar w:fldCharType="separate"/>
      </w:r>
      <w:r w:rsidR="0084338D">
        <w:rPr>
          <w:noProof/>
        </w:rPr>
        <w:t>16</w:t>
      </w:r>
      <w:r w:rsidR="00646D05" w:rsidRPr="00EE3D22">
        <w:fldChar w:fldCharType="end"/>
      </w:r>
      <w:r w:rsidRPr="00EE3D22">
        <w:t xml:space="preserve">. </w:t>
      </w:r>
      <w:r w:rsidR="00701E9F" w:rsidRPr="00EE3D22">
        <w:t>Turyści korzystających z</w:t>
      </w:r>
      <w:r w:rsidR="00797D2E" w:rsidRPr="00EE3D22">
        <w:t xml:space="preserve"> nocleg</w:t>
      </w:r>
      <w:r w:rsidR="00701E9F" w:rsidRPr="00EE3D22">
        <w:t>ów</w:t>
      </w:r>
      <w:r w:rsidR="00797D2E" w:rsidRPr="00EE3D22">
        <w:t xml:space="preserve"> na 1</w:t>
      </w:r>
      <w:r w:rsidR="0066526E" w:rsidRPr="00EE3D22">
        <w:t xml:space="preserve">000 </w:t>
      </w:r>
      <w:r w:rsidR="00797D2E" w:rsidRPr="00EE3D22">
        <w:t>ludności</w:t>
      </w:r>
      <w:bookmarkEnd w:id="46"/>
    </w:p>
    <w:p w:rsidR="00580479" w:rsidRDefault="00580479" w:rsidP="00580479">
      <w:r>
        <w:rPr>
          <w:noProof/>
          <w:lang w:eastAsia="pl-PL"/>
        </w:rPr>
        <w:drawing>
          <wp:inline distT="0" distB="0" distL="0" distR="0">
            <wp:extent cx="5848350" cy="2981325"/>
            <wp:effectExtent l="0" t="0" r="0" b="9525"/>
            <wp:docPr id="719467619" name="Wykres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F2122AD7-B353-134D-9A25-C0F8C721BD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D2BE2" w:rsidRDefault="00ED2BE2" w:rsidP="00D62CBB">
      <w:pPr>
        <w:pStyle w:val="rdo"/>
      </w:pPr>
      <w:r w:rsidRPr="00BB3E24">
        <w:t>Źródło: opracowanie własne na podstawie GUS</w:t>
      </w:r>
      <w:r w:rsidR="0013615C">
        <w:t xml:space="preserve"> (dostęp 03.02.2025)</w:t>
      </w:r>
    </w:p>
    <w:p w:rsidR="00797D2E" w:rsidRDefault="00ED2BE2" w:rsidP="00ED2BE2">
      <w:r>
        <w:t xml:space="preserve">Oceniając potencjał turystyczny </w:t>
      </w:r>
      <w:proofErr w:type="spellStart"/>
      <w:r>
        <w:t>WrOF</w:t>
      </w:r>
      <w:proofErr w:type="spellEnd"/>
      <w:r>
        <w:t xml:space="preserve">, należy </w:t>
      </w:r>
      <w:r w:rsidR="003444F0">
        <w:t>podkreślić</w:t>
      </w:r>
      <w:r>
        <w:t xml:space="preserve">, </w:t>
      </w:r>
      <w:r w:rsidR="003444F0">
        <w:t>iż</w:t>
      </w:r>
      <w:r>
        <w:t xml:space="preserve"> w największym stopniu kreowany jest on przez potencjał turystyczny Wrocławia</w:t>
      </w:r>
      <w:r w:rsidR="00706817">
        <w:t xml:space="preserve">. Pozostałe gminy </w:t>
      </w:r>
      <w:proofErr w:type="spellStart"/>
      <w:r w:rsidR="00706817">
        <w:t>WrOF</w:t>
      </w:r>
      <w:proofErr w:type="spellEnd"/>
      <w:r w:rsidR="00706817">
        <w:t xml:space="preserve"> również posiadają zróżnicowane atuty, umożliwiające rozwój turystyki, w tym związane z dziedzictwem kulturowym, przyrodniczym, czy też infrastrukturą czasu wolnego</w:t>
      </w:r>
      <w:r>
        <w:t>. Wrocław jest</w:t>
      </w:r>
      <w:r w:rsidR="00706817">
        <w:t xml:space="preserve"> jednak</w:t>
      </w:r>
      <w:r>
        <w:t xml:space="preserve"> głównym generatorem ruchu turystycznego w obrębie </w:t>
      </w:r>
      <w:proofErr w:type="spellStart"/>
      <w:r>
        <w:t>WrOF</w:t>
      </w:r>
      <w:proofErr w:type="spellEnd"/>
      <w:r>
        <w:t xml:space="preserve">. W zestawieniu z dużymi miastami w Polsce Wrocław plasuje się </w:t>
      </w:r>
      <w:r w:rsidR="0066526E">
        <w:t>przy tym</w:t>
      </w:r>
      <w:r>
        <w:t xml:space="preserve"> wyraźnie poniżej potencjału turystycznego Krakowa, Warszawy i</w:t>
      </w:r>
      <w:r w:rsidR="00706817">
        <w:t> </w:t>
      </w:r>
      <w:r>
        <w:t>Gdańska. Wskaźnik</w:t>
      </w:r>
      <w:r w:rsidR="00EB226C">
        <w:t xml:space="preserve"> turystów korzystających z noclegów</w:t>
      </w:r>
      <w:r>
        <w:t xml:space="preserve"> w relacji do liczby mieszkańców w 2023 r. był w</w:t>
      </w:r>
      <w:r w:rsidR="00EB226C">
        <w:t> </w:t>
      </w:r>
      <w:r>
        <w:t xml:space="preserve">Krakowie </w:t>
      </w:r>
      <w:r w:rsidR="009E45DC">
        <w:t xml:space="preserve">zdecydowanie </w:t>
      </w:r>
      <w:r>
        <w:t>wyższy (3</w:t>
      </w:r>
      <w:r w:rsidR="00EE3D22">
        <w:t>292</w:t>
      </w:r>
      <w:r>
        <w:t xml:space="preserve"> </w:t>
      </w:r>
      <w:r w:rsidR="00EB226C">
        <w:t>turystów korzystających z noclegów</w:t>
      </w:r>
      <w:r>
        <w:t xml:space="preserve"> na 1</w:t>
      </w:r>
      <w:r w:rsidR="0066526E">
        <w:t xml:space="preserve">000 </w:t>
      </w:r>
      <w:r>
        <w:t>ludności) od wskaźnika dla Wrocławia (</w:t>
      </w:r>
      <w:r w:rsidR="00EE3D22">
        <w:t>1887</w:t>
      </w:r>
      <w:r>
        <w:t> ). W</w:t>
      </w:r>
      <w:r w:rsidR="00EE3D22">
        <w:t> </w:t>
      </w:r>
      <w:r>
        <w:t>wybranych dużych miastach Polski obserwowano przy tym znaczący wzrost liczby</w:t>
      </w:r>
      <w:r w:rsidR="00EB226C">
        <w:t xml:space="preserve"> turystów korzystających z noclegów</w:t>
      </w:r>
      <w:r>
        <w:t>. Rekordzistą na tle dużych polskich miast był Gdańsk. Wskaźnik</w:t>
      </w:r>
      <w:r w:rsidR="00EB226C">
        <w:t xml:space="preserve"> turystów korzystających z noclegów </w:t>
      </w:r>
      <w:r>
        <w:t>na 1</w:t>
      </w:r>
      <w:r w:rsidR="003444F0">
        <w:t> </w:t>
      </w:r>
      <w:r>
        <w:t>tys. mieszkańców wzrósł pomiędzy 2013 a 2023 r. o</w:t>
      </w:r>
      <w:r w:rsidR="003C6573">
        <w:t> </w:t>
      </w:r>
      <w:r>
        <w:t>98,9%. Podobną skalę wzrostu odnotowano w Katowicach (91,3%). Tutaj warto dodać, iż od wielu latu Katowice pozycjonują się jako ważne miejsce kongresowe. Posiadan</w:t>
      </w:r>
      <w:r w:rsidR="006047E1">
        <w:t>a</w:t>
      </w:r>
      <w:r>
        <w:t xml:space="preserve"> infrastruktura sprzyja organizacji dużych, międzynarodowych imprez, w</w:t>
      </w:r>
      <w:r w:rsidR="003C6573">
        <w:t> </w:t>
      </w:r>
      <w:r>
        <w:t xml:space="preserve">tym również imprez sportowych. Wrocław na tle dużych polskich miast charakteryzował się względnie wysoką dynamiką wzrostu </w:t>
      </w:r>
      <w:r w:rsidR="00EB226C">
        <w:t>wskaźnika t</w:t>
      </w:r>
      <w:r w:rsidR="00EB226C" w:rsidRPr="00EB226C">
        <w:t>ury</w:t>
      </w:r>
      <w:r w:rsidR="00EB226C">
        <w:t>stów</w:t>
      </w:r>
      <w:r w:rsidR="00EB226C" w:rsidRPr="00EB226C">
        <w:t xml:space="preserve"> korzystających z noclegów</w:t>
      </w:r>
      <w:r w:rsidR="00EB226C">
        <w:t xml:space="preserve">. </w:t>
      </w:r>
      <w:r>
        <w:t>W okresie od 2013 do</w:t>
      </w:r>
      <w:r w:rsidR="00471679">
        <w:t xml:space="preserve"> </w:t>
      </w:r>
      <w:r w:rsidR="006047E1">
        <w:t>2023 r.</w:t>
      </w:r>
      <w:r>
        <w:t xml:space="preserve"> odnotowano tu ponad 50% wzrost liczby </w:t>
      </w:r>
      <w:r w:rsidR="00EB226C">
        <w:t>turystów korzystających z noclegów</w:t>
      </w:r>
      <w:r>
        <w:t xml:space="preserve"> na 1 tys. mieszkańców, co było wartością zbliżoną do wzrostu obserwowanego w Warszawie (56,5%).</w:t>
      </w:r>
    </w:p>
    <w:p w:rsidR="00A31037" w:rsidRDefault="00A31037">
      <w:pPr>
        <w:spacing w:after="160" w:line="259" w:lineRule="auto"/>
        <w:jc w:val="left"/>
        <w:rPr>
          <w:iCs/>
          <w:color w:val="363735" w:themeColor="accent3"/>
          <w:sz w:val="20"/>
          <w:szCs w:val="18"/>
        </w:rPr>
      </w:pPr>
      <w:r>
        <w:br w:type="page"/>
      </w:r>
    </w:p>
    <w:p w:rsidR="00797D2E" w:rsidRDefault="00ED2BE2" w:rsidP="003405A0">
      <w:pPr>
        <w:pStyle w:val="Legenda"/>
      </w:pPr>
      <w:bookmarkStart w:id="47" w:name="_Toc197678831"/>
      <w:r w:rsidRPr="00EE3D22">
        <w:lastRenderedPageBreak/>
        <w:t xml:space="preserve">Wykres </w:t>
      </w:r>
      <w:r w:rsidR="00646D05" w:rsidRPr="00EE3D22">
        <w:fldChar w:fldCharType="begin"/>
      </w:r>
      <w:r w:rsidRPr="00EE3D22">
        <w:instrText xml:space="preserve"> SEQ Wykres \* ARABIC </w:instrText>
      </w:r>
      <w:r w:rsidR="00646D05" w:rsidRPr="00EE3D22">
        <w:fldChar w:fldCharType="separate"/>
      </w:r>
      <w:r w:rsidR="0084338D">
        <w:rPr>
          <w:noProof/>
        </w:rPr>
        <w:t>17</w:t>
      </w:r>
      <w:r w:rsidR="00646D05" w:rsidRPr="00EE3D22">
        <w:fldChar w:fldCharType="end"/>
      </w:r>
      <w:r w:rsidRPr="00EE3D22">
        <w:t xml:space="preserve">. </w:t>
      </w:r>
      <w:r w:rsidR="00EE3D22">
        <w:t>T</w:t>
      </w:r>
      <w:r w:rsidR="00EE3D22" w:rsidRPr="00EE3D22">
        <w:t>uryści korzystający z noclegów na 1000 ludności</w:t>
      </w:r>
      <w:r w:rsidR="00EE3D22">
        <w:t xml:space="preserve"> </w:t>
      </w:r>
      <w:r w:rsidR="00797D2E" w:rsidRPr="00EE3D22">
        <w:t>w dużych miastach w Polsce</w:t>
      </w:r>
      <w:bookmarkEnd w:id="47"/>
    </w:p>
    <w:p w:rsidR="00797D2E" w:rsidRDefault="00797D2E">
      <w:pPr>
        <w:spacing w:after="160" w:line="259" w:lineRule="auto"/>
        <w:jc w:val="left"/>
      </w:pPr>
      <w:r>
        <w:rPr>
          <w:noProof/>
          <w:lang w:eastAsia="pl-PL"/>
        </w:rPr>
        <w:drawing>
          <wp:inline distT="0" distB="0" distL="0" distR="0">
            <wp:extent cx="5734050" cy="2743200"/>
            <wp:effectExtent l="0" t="0" r="0" b="0"/>
            <wp:docPr id="1684634318" name="Wykres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582DA87E-2CE5-F97A-9677-18B87ED24B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ED2BE2" w:rsidRDefault="00ED2BE2" w:rsidP="00D62CBB">
      <w:pPr>
        <w:pStyle w:val="rdo"/>
      </w:pPr>
      <w:r w:rsidRPr="00BB3E24">
        <w:t>Źródło: opracowanie własne na podstawie GUS</w:t>
      </w:r>
      <w:r w:rsidR="0013615C">
        <w:t xml:space="preserve"> (dostęp 03.02.2025)</w:t>
      </w:r>
    </w:p>
    <w:p w:rsidR="00797D2E" w:rsidRDefault="003444F0" w:rsidP="003444F0">
      <w:r>
        <w:t xml:space="preserve">Rozwój infrastruktury transportowej, w tym zarówno drogowej, kolejowej, jak też poprawa dostępności lotniczej, sprzyjać będzie przyciąganiu turystów zagranicznych. Na tle dużych miast w Polsce liderem w ilości udzielonych noclegów turystom zagranicznym jest Kraków. W 2023 r. wskaźnik liczby udzielonych noclegów turystom zagranicznym wynosił prawie 37,5 tys. na 10 tys. mieszkańców. Ten wskaźnik dla Wrocławia był zdecydowanie niższy i wynosił 10 tys. i zbliżony był do wartości notowanej dla Katowic. Niemniej warto podkreślić, iż Kraków, jak też Gdańsk, należy do jednych z najlepiej wypromowanych polskich </w:t>
      </w:r>
      <w:proofErr w:type="spellStart"/>
      <w:r>
        <w:t>destynacji</w:t>
      </w:r>
      <w:proofErr w:type="spellEnd"/>
      <w:r>
        <w:t xml:space="preserve"> turystycznych na świecie.</w:t>
      </w:r>
    </w:p>
    <w:p w:rsidR="003444F0" w:rsidRDefault="003444F0" w:rsidP="003444F0">
      <w:r>
        <w:t xml:space="preserve">Wrocław posiada zdolność do przyciągania większej liczby turystów zagranicznych. Jest to związane z </w:t>
      </w:r>
      <w:proofErr w:type="spellStart"/>
      <w:r>
        <w:t>transgranicznym</w:t>
      </w:r>
      <w:proofErr w:type="spellEnd"/>
      <w:r>
        <w:t xml:space="preserve"> położeniem, poprawą skomunikowania, w szczególności z</w:t>
      </w:r>
      <w:r w:rsidR="00706817">
        <w:t> </w:t>
      </w:r>
      <w:r>
        <w:t>regionami w Czechach, jak też prognozowaną poprawą dostępności lotniczej.</w:t>
      </w:r>
    </w:p>
    <w:p w:rsidR="00105B22" w:rsidRDefault="00105B22">
      <w:pPr>
        <w:spacing w:after="160" w:line="259" w:lineRule="auto"/>
        <w:jc w:val="left"/>
        <w:rPr>
          <w:iCs/>
          <w:color w:val="363735" w:themeColor="accent3"/>
          <w:sz w:val="20"/>
          <w:szCs w:val="18"/>
        </w:rPr>
      </w:pPr>
      <w:r>
        <w:br w:type="page"/>
      </w:r>
    </w:p>
    <w:p w:rsidR="00797D2E" w:rsidRDefault="003444F0" w:rsidP="003405A0">
      <w:pPr>
        <w:pStyle w:val="Legenda"/>
      </w:pPr>
      <w:bookmarkStart w:id="48" w:name="_Toc197678832"/>
      <w:r>
        <w:lastRenderedPageBreak/>
        <w:t xml:space="preserve">Wykres </w:t>
      </w:r>
      <w:r w:rsidR="00646D05">
        <w:fldChar w:fldCharType="begin"/>
      </w:r>
      <w:r>
        <w:instrText xml:space="preserve"> SEQ Wykres \* ARABIC </w:instrText>
      </w:r>
      <w:r w:rsidR="00646D05">
        <w:fldChar w:fldCharType="separate"/>
      </w:r>
      <w:r w:rsidR="0084338D">
        <w:rPr>
          <w:noProof/>
        </w:rPr>
        <w:t>18</w:t>
      </w:r>
      <w:r w:rsidR="00646D05">
        <w:fldChar w:fldCharType="end"/>
      </w:r>
      <w:r>
        <w:t xml:space="preserve">. </w:t>
      </w:r>
      <w:r w:rsidR="00797D2E">
        <w:t>Udzielone noclegi turystom zagranicznym na 10 tys. ludności</w:t>
      </w:r>
      <w:bookmarkEnd w:id="48"/>
      <w:r w:rsidR="00797D2E">
        <w:t xml:space="preserve"> </w:t>
      </w:r>
    </w:p>
    <w:p w:rsidR="00797D2E" w:rsidRDefault="00797D2E">
      <w:pPr>
        <w:spacing w:after="160" w:line="259" w:lineRule="auto"/>
        <w:jc w:val="left"/>
      </w:pPr>
      <w:r>
        <w:rPr>
          <w:noProof/>
          <w:lang w:eastAsia="pl-PL"/>
        </w:rPr>
        <w:drawing>
          <wp:inline distT="0" distB="0" distL="0" distR="0">
            <wp:extent cx="5838825" cy="4176395"/>
            <wp:effectExtent l="0" t="0" r="0" b="0"/>
            <wp:docPr id="1001901054" name="Wykres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5D5DD5B9-E2B4-F94F-A51A-560132D6C4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FD1882" w:rsidRPr="004C2C43" w:rsidRDefault="003444F0" w:rsidP="004C2C43">
      <w:pPr>
        <w:pStyle w:val="Legenda"/>
      </w:pPr>
      <w:r w:rsidRPr="00BB3E24">
        <w:t>Źródło: opracowanie własne na podstawie GUS</w:t>
      </w:r>
      <w:r w:rsidR="0013615C">
        <w:t xml:space="preserve"> (dostęp 03.02.2025)</w:t>
      </w:r>
    </w:p>
    <w:p w:rsidR="00A31037" w:rsidRDefault="00A31037">
      <w:pPr>
        <w:spacing w:after="160" w:line="259" w:lineRule="auto"/>
        <w:jc w:val="left"/>
        <w:rPr>
          <w:rFonts w:asciiTheme="majorHAnsi" w:eastAsiaTheme="majorEastAsia" w:hAnsiTheme="majorHAnsi" w:cstheme="majorBidi"/>
          <w:color w:val="1E7DBF" w:themeColor="accent1"/>
          <w:sz w:val="32"/>
          <w:szCs w:val="32"/>
        </w:rPr>
      </w:pPr>
      <w:r>
        <w:br w:type="page"/>
      </w:r>
    </w:p>
    <w:p w:rsidR="008B55DE" w:rsidRPr="008B55DE" w:rsidRDefault="008B55DE" w:rsidP="008B55DE">
      <w:pPr>
        <w:pStyle w:val="Nagwek2"/>
        <w:numPr>
          <w:ilvl w:val="0"/>
          <w:numId w:val="0"/>
        </w:numPr>
        <w:ind w:left="993" w:hanging="851"/>
      </w:pPr>
      <w:bookmarkStart w:id="49" w:name="_Toc196905129"/>
      <w:r>
        <w:lastRenderedPageBreak/>
        <w:t xml:space="preserve">2.8. </w:t>
      </w:r>
      <w:r w:rsidRPr="008B55DE">
        <w:t>Rozwój systemów transportowych kraju</w:t>
      </w:r>
      <w:bookmarkEnd w:id="49"/>
    </w:p>
    <w:p w:rsidR="008B55DE" w:rsidRDefault="008B55DE" w:rsidP="008B55DE">
      <w:r>
        <w:t>Polska jest krajem, który przeszedł znaczący proces modernizacji systemów transportowych. Proces ten nadal trwa i zostanie domknięty w momencie utworzenia docelowej sieci dróg krajowych i autostrad, modernizacji linii kolejowych i utworzenia kolei szybkich prędkości, jak też realizacji założeń związanych z rozwojem transportu lotniczego, m. in. w oparciu o koncepcję CPK. Inwestycje te istotnie poprawią dostępność komunikacyjną, zarówno w wymiarze zewnętrznym i</w:t>
      </w:r>
      <w:r w:rsidR="00AC0656">
        <w:t> </w:t>
      </w:r>
      <w:r>
        <w:t>wewnętrznym. Priorytetem wsparcia ze strony rządu, jak też w ramach projektów unijnych, będą również systemy transportu publicznego, w szczególności w obrębie obszarów funkcjonalnych.</w:t>
      </w:r>
    </w:p>
    <w:p w:rsidR="008B55DE" w:rsidRDefault="008B55DE" w:rsidP="008B55DE">
      <w:r>
        <w:t xml:space="preserve">Rozwój systemów transportowych wpłynie na poprawę konkurencyjności </w:t>
      </w:r>
      <w:proofErr w:type="spellStart"/>
      <w:r>
        <w:t>WrOF</w:t>
      </w:r>
      <w:proofErr w:type="spellEnd"/>
      <w:r>
        <w:t xml:space="preserve"> w wielu aspektach społecznych</w:t>
      </w:r>
      <w:r w:rsidR="00D932A8">
        <w:t xml:space="preserve"> i</w:t>
      </w:r>
      <w:r>
        <w:t xml:space="preserve"> gospodarczych. Poprawi się skomunikowanie </w:t>
      </w:r>
      <w:proofErr w:type="spellStart"/>
      <w:r>
        <w:t>WrOF</w:t>
      </w:r>
      <w:proofErr w:type="spellEnd"/>
      <w:r>
        <w:t xml:space="preserve"> z regionami Europy i</w:t>
      </w:r>
      <w:r w:rsidR="00AC0656">
        <w:t> </w:t>
      </w:r>
      <w:r>
        <w:t>Świata, co jest szczególnie istotne z perspektywy rozwoju wybranych branż gospodarczych, w</w:t>
      </w:r>
      <w:r w:rsidR="00AC0656">
        <w:t> </w:t>
      </w:r>
      <w:r>
        <w:t>tym innowacyjnych oraz turystyki.</w:t>
      </w:r>
    </w:p>
    <w:p w:rsidR="00AD3564" w:rsidRDefault="008B55DE" w:rsidP="008B55DE">
      <w:r>
        <w:t xml:space="preserve">Ze względu na węzłowe położenie </w:t>
      </w:r>
      <w:proofErr w:type="spellStart"/>
      <w:r>
        <w:t>WrOF</w:t>
      </w:r>
      <w:proofErr w:type="spellEnd"/>
      <w:r>
        <w:t xml:space="preserve"> w ujęciu powiązań komunikacyjnych kraju i Europy Środkowej, oczekuje się dalszego rozwoju branż T</w:t>
      </w:r>
      <w:r w:rsidR="00AC26FB">
        <w:t>SL</w:t>
      </w:r>
      <w:r>
        <w:t xml:space="preserve">. Inwestycje w transport publiczny będą miały pozytywny wpływ na środowisko i jakość życia mieszkańców </w:t>
      </w:r>
      <w:proofErr w:type="spellStart"/>
      <w:r>
        <w:t>WrOF</w:t>
      </w:r>
      <w:proofErr w:type="spellEnd"/>
      <w:r>
        <w:t>.</w:t>
      </w:r>
    </w:p>
    <w:p w:rsidR="00D7525D" w:rsidRPr="00912FFB" w:rsidRDefault="002B4316" w:rsidP="00D7525D">
      <w:r w:rsidRPr="00912FFB">
        <w:t>Kluczowym dokumentem strategicznym kraju w odniesieniu do polityki transportowej jest Strategi</w:t>
      </w:r>
      <w:r w:rsidR="00912FFB" w:rsidRPr="00912FFB">
        <w:t>a</w:t>
      </w:r>
      <w:r w:rsidRPr="00912FFB">
        <w:t xml:space="preserve"> Zrównoważonego Rozwoju Transportu do 2030 roku. </w:t>
      </w:r>
      <w:r w:rsidR="00D7525D" w:rsidRPr="00912FFB">
        <w:t>Głównym celem krajowej polityki transportowej</w:t>
      </w:r>
      <w:r w:rsidRPr="00912FFB">
        <w:t xml:space="preserve"> Polski</w:t>
      </w:r>
      <w:r w:rsidR="00D7525D" w:rsidRPr="00912FFB">
        <w:t xml:space="preserve"> jest zwiększenie dostępności transportowej oraz poprawa bezpieczeństwa uczestników ruchu i efektywności sektora transportowego poprzez utworzenie spójnego, zrównoważonego, innowacyjnego i przyjaznego użytkownikowi systemu transportowego w</w:t>
      </w:r>
      <w:r w:rsidRPr="00912FFB">
        <w:t> </w:t>
      </w:r>
      <w:r w:rsidR="00D7525D" w:rsidRPr="00912FFB">
        <w:t>wymiarze krajowym, europejskim i globalnym. Zakłada się przy tym podj</w:t>
      </w:r>
      <w:r w:rsidRPr="00912FFB">
        <w:t>ęcie następujących działań:</w:t>
      </w:r>
    </w:p>
    <w:p w:rsidR="00D7525D" w:rsidRPr="00912FFB" w:rsidRDefault="00D7525D" w:rsidP="005E7CCF">
      <w:pPr>
        <w:numPr>
          <w:ilvl w:val="0"/>
          <w:numId w:val="9"/>
        </w:numPr>
        <w:spacing w:after="160" w:line="259" w:lineRule="auto"/>
      </w:pPr>
      <w:r w:rsidRPr="00912FFB">
        <w:t>budow</w:t>
      </w:r>
      <w:r w:rsidR="002B4316" w:rsidRPr="00912FFB">
        <w:t>a</w:t>
      </w:r>
      <w:r w:rsidRPr="00912FFB">
        <w:t xml:space="preserve"> zintegrowanej i wzajemnie powiązanej sieci transportowej służącej  konkurencyjnej gospodarce;</w:t>
      </w:r>
    </w:p>
    <w:p w:rsidR="00D7525D" w:rsidRDefault="00D7525D" w:rsidP="005E7CCF">
      <w:pPr>
        <w:numPr>
          <w:ilvl w:val="0"/>
          <w:numId w:val="9"/>
        </w:numPr>
        <w:spacing w:after="160" w:line="259" w:lineRule="auto"/>
      </w:pPr>
      <w:r w:rsidRPr="00912FFB">
        <w:t>popraw</w:t>
      </w:r>
      <w:r w:rsidR="002B4316" w:rsidRPr="00912FFB">
        <w:t>a</w:t>
      </w:r>
      <w:r w:rsidRPr="00912FFB">
        <w:t xml:space="preserve"> sposobu organizacji i zarządzania systemem transportowym;</w:t>
      </w:r>
    </w:p>
    <w:p w:rsidR="00766D8B" w:rsidRPr="00912FFB" w:rsidRDefault="00766D8B" w:rsidP="005E7CCF">
      <w:pPr>
        <w:numPr>
          <w:ilvl w:val="0"/>
          <w:numId w:val="9"/>
        </w:numPr>
        <w:spacing w:after="160" w:line="259" w:lineRule="auto"/>
      </w:pPr>
      <w:r w:rsidRPr="00766D8B">
        <w:t>integracja transportu zbiorowego i indywidualnego</w:t>
      </w:r>
      <w:r>
        <w:t>;</w:t>
      </w:r>
    </w:p>
    <w:p w:rsidR="00D7525D" w:rsidRPr="00912FFB" w:rsidRDefault="00D7525D" w:rsidP="005E7CCF">
      <w:pPr>
        <w:numPr>
          <w:ilvl w:val="0"/>
          <w:numId w:val="9"/>
        </w:numPr>
        <w:spacing w:after="160" w:line="259" w:lineRule="auto"/>
      </w:pPr>
      <w:r w:rsidRPr="00912FFB">
        <w:t>popraw</w:t>
      </w:r>
      <w:r w:rsidR="002B4316" w:rsidRPr="00912FFB">
        <w:t>a</w:t>
      </w:r>
      <w:r w:rsidRPr="00912FFB">
        <w:t xml:space="preserve"> bezpieczeństwa uczestników ruchu oraz przewożonych towarów;</w:t>
      </w:r>
    </w:p>
    <w:p w:rsidR="00D7525D" w:rsidRPr="00912FFB" w:rsidRDefault="00D7525D" w:rsidP="005E7CCF">
      <w:pPr>
        <w:numPr>
          <w:ilvl w:val="0"/>
          <w:numId w:val="9"/>
        </w:numPr>
        <w:spacing w:after="160" w:line="259" w:lineRule="auto"/>
      </w:pPr>
      <w:r w:rsidRPr="00912FFB">
        <w:t>ograniczani</w:t>
      </w:r>
      <w:r w:rsidR="002B4316" w:rsidRPr="00912FFB">
        <w:t>e</w:t>
      </w:r>
      <w:r w:rsidRPr="00912FFB">
        <w:t xml:space="preserve"> negatywnego wpływu transportu na środowisko;</w:t>
      </w:r>
    </w:p>
    <w:p w:rsidR="00D7525D" w:rsidRDefault="00D7525D" w:rsidP="005E7CCF">
      <w:pPr>
        <w:numPr>
          <w:ilvl w:val="0"/>
          <w:numId w:val="9"/>
        </w:numPr>
        <w:spacing w:after="160" w:line="259" w:lineRule="auto"/>
      </w:pPr>
      <w:r w:rsidRPr="00912FFB">
        <w:t>popraw</w:t>
      </w:r>
      <w:r w:rsidR="002B4316" w:rsidRPr="00912FFB">
        <w:t>a</w:t>
      </w:r>
      <w:r w:rsidRPr="00912FFB">
        <w:t xml:space="preserve"> efektywności wykorzystania publicznych środków  na przedsięwzięcia transportowe.</w:t>
      </w:r>
    </w:p>
    <w:p w:rsidR="00C47DF4" w:rsidRDefault="00DC4DDE" w:rsidP="00DC4DDE">
      <w:r>
        <w:t>Kluczowym wyzwaniem infrastrukturalnym w zakresie budowy dróg jest d</w:t>
      </w:r>
      <w:r w:rsidRPr="00650FB7">
        <w:t xml:space="preserve">okończenie drogowej sieci </w:t>
      </w:r>
      <w:proofErr w:type="spellStart"/>
      <w:r w:rsidRPr="00650FB7">
        <w:t>TEN-T</w:t>
      </w:r>
      <w:proofErr w:type="spellEnd"/>
      <w:r w:rsidRPr="00650FB7">
        <w:t xml:space="preserve"> na terenie Polski</w:t>
      </w:r>
      <w:r>
        <w:t xml:space="preserve">, co zostało zdefiniowane w </w:t>
      </w:r>
      <w:r w:rsidRPr="00650FB7">
        <w:t>Rządowy</w:t>
      </w:r>
      <w:r>
        <w:t>m</w:t>
      </w:r>
      <w:r w:rsidRPr="00650FB7">
        <w:t xml:space="preserve"> Program Budowy Dróg Krajowych do 2030 r. (z</w:t>
      </w:r>
      <w:r>
        <w:t> </w:t>
      </w:r>
      <w:r w:rsidRPr="00650FB7">
        <w:t>perspektywą do 2033 r.)</w:t>
      </w:r>
      <w:r w:rsidRPr="00D32D1F">
        <w:t xml:space="preserve">. </w:t>
      </w:r>
      <w:r>
        <w:t xml:space="preserve">Z perspektywy </w:t>
      </w:r>
      <w:proofErr w:type="spellStart"/>
      <w:r>
        <w:t>WrOF</w:t>
      </w:r>
      <w:proofErr w:type="spellEnd"/>
      <w:r>
        <w:t xml:space="preserve"> </w:t>
      </w:r>
      <w:r w:rsidR="00C47DF4">
        <w:t xml:space="preserve">wyzwaniem będzie rozbudowa autostrady A4. W ujęciu powiązań transportowych kraju autostrada A4 stanowi kluczową arterię komunikacyjną </w:t>
      </w:r>
      <w:r w:rsidR="00C47DF4">
        <w:lastRenderedPageBreak/>
        <w:t>południowej Polski. Stanowi najważniejszy szlak komunikacyjny łączący południowe województwa kraju z zachodnią Europą. Ma znaczenie strategiczne dla polskiej gospodarki. Autostrada A4 na wysokości Wrocławia krzyżuje się i łączy z szlakami komunikacyjnymi biegnącymi z centralnej Polski (droga ekspresowa S8), jak też biegnącymi z północy na południe kraju (drogi krajowe nr 5 i 8). Prognozuje się dalszy wzrost natężenia ruchu, w szczególności na autostradzie A4 i drodze ekspresowej S8 w rejonie Wrocławia. Obie te drogi pełnią przy tym istotne funkcje w obsłudze ruchu lokalnego.</w:t>
      </w:r>
    </w:p>
    <w:p w:rsidR="00C47DF4" w:rsidRDefault="00C47DF4" w:rsidP="003405A0">
      <w:pPr>
        <w:pStyle w:val="Legenda"/>
      </w:pPr>
      <w:bookmarkStart w:id="50" w:name="_Toc189847378"/>
      <w:bookmarkStart w:id="51" w:name="_Toc196905059"/>
      <w:r>
        <w:t xml:space="preserve">Rysunek </w:t>
      </w:r>
      <w:r w:rsidR="00646D05">
        <w:fldChar w:fldCharType="begin"/>
      </w:r>
      <w:r>
        <w:instrText xml:space="preserve"> SEQ Rysunek \* ARABIC </w:instrText>
      </w:r>
      <w:r w:rsidR="00646D05">
        <w:fldChar w:fldCharType="separate"/>
      </w:r>
      <w:r w:rsidR="0084338D">
        <w:rPr>
          <w:noProof/>
        </w:rPr>
        <w:t>1</w:t>
      </w:r>
      <w:r w:rsidR="00646D05">
        <w:rPr>
          <w:noProof/>
        </w:rPr>
        <w:fldChar w:fldCharType="end"/>
      </w:r>
      <w:r>
        <w:t xml:space="preserve">. </w:t>
      </w:r>
      <w:r w:rsidRPr="00D32D1F">
        <w:t>Natężenia ruchu drogowego dla roku 2030 do programu PBDK. Źródło danych: CUPT - Zintegrowany Model Ruchu</w:t>
      </w:r>
      <w:bookmarkEnd w:id="50"/>
      <w:bookmarkEnd w:id="51"/>
    </w:p>
    <w:p w:rsidR="003C6573" w:rsidRPr="003C6573" w:rsidRDefault="003C6573" w:rsidP="003C6573">
      <w:r w:rsidRPr="003C6573">
        <w:rPr>
          <w:noProof/>
          <w:lang w:eastAsia="pl-PL"/>
        </w:rPr>
        <w:drawing>
          <wp:inline distT="0" distB="0" distL="0" distR="0">
            <wp:extent cx="5760720" cy="4167505"/>
            <wp:effectExtent l="0" t="0" r="0" b="0"/>
            <wp:docPr id="830813226" name="Obraz 1" descr="Obraz zawierający map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813226" name="Obraz 1" descr="Obraz zawierający mapa&#10;&#10;Zawartość wygenerowana przez sztuczną inteligencję może być niepoprawna."/>
                    <pic:cNvPicPr/>
                  </pic:nvPicPr>
                  <pic:blipFill>
                    <a:blip r:embed="rId32" cstate="print"/>
                    <a:stretch>
                      <a:fillRect/>
                    </a:stretch>
                  </pic:blipFill>
                  <pic:spPr>
                    <a:xfrm>
                      <a:off x="0" y="0"/>
                      <a:ext cx="5760720" cy="4167505"/>
                    </a:xfrm>
                    <a:prstGeom prst="rect">
                      <a:avLst/>
                    </a:prstGeom>
                  </pic:spPr>
                </pic:pic>
              </a:graphicData>
            </a:graphic>
          </wp:inline>
        </w:drawing>
      </w:r>
    </w:p>
    <w:p w:rsidR="00C47DF4" w:rsidRPr="003C6573" w:rsidRDefault="00C47DF4" w:rsidP="003C6573">
      <w:pPr>
        <w:pStyle w:val="rdo"/>
      </w:pPr>
      <w:r w:rsidRPr="003C6573">
        <w:t>Źródło: Rządowy Program Budowy Dróg Krajowych do 2030 r. (z perspektywą do 2033 r.)</w:t>
      </w:r>
      <w:r w:rsidR="0013615C" w:rsidRPr="003C6573">
        <w:t xml:space="preserve"> (dostęp 29.01.2025)</w:t>
      </w:r>
    </w:p>
    <w:p w:rsidR="00C47DF4" w:rsidRDefault="003C6573" w:rsidP="00DC4DDE">
      <w:r>
        <w:t>I</w:t>
      </w:r>
      <w:r w:rsidR="00C47DF4">
        <w:t xml:space="preserve">nformacje </w:t>
      </w:r>
      <w:r w:rsidR="00DC4DDE" w:rsidRPr="00C47DF4">
        <w:t>Ministerstw</w:t>
      </w:r>
      <w:r w:rsidR="00912FFB">
        <w:t>a</w:t>
      </w:r>
      <w:r w:rsidR="00DC4DDE" w:rsidRPr="00C47DF4">
        <w:t xml:space="preserve"> Infrastruktury</w:t>
      </w:r>
      <w:r w:rsidR="00800D2A">
        <w:t xml:space="preserve"> z lutego 2025 r.</w:t>
      </w:r>
      <w:r w:rsidR="00DC4DDE" w:rsidRPr="00C47DF4">
        <w:t xml:space="preserve"> </w:t>
      </w:r>
      <w:r w:rsidR="00C47DF4">
        <w:t>wskazują na to, że infrastruktura autostradowa w</w:t>
      </w:r>
      <w:r w:rsidR="00912FFB">
        <w:t> </w:t>
      </w:r>
      <w:r w:rsidR="00C47DF4">
        <w:t xml:space="preserve">okolicach Wrocławia zostanie istotnie rozbudowana. Wynika to z przyjętej koncepcji budowy odcinka autostrady A4 po nowym śladzie na </w:t>
      </w:r>
      <w:r w:rsidR="00DC4DDE" w:rsidRPr="00C47DF4">
        <w:t>odcinku Kostomłoty</w:t>
      </w:r>
      <w:r w:rsidR="00C47DF4">
        <w:t xml:space="preserve"> (powiat średzki)</w:t>
      </w:r>
      <w:r w:rsidR="00DC4DDE" w:rsidRPr="00C47DF4">
        <w:t>-Stary Śleszów</w:t>
      </w:r>
      <w:r w:rsidR="00C47DF4">
        <w:t xml:space="preserve"> (powiat wrocławski)</w:t>
      </w:r>
      <w:r w:rsidR="00DC4DDE" w:rsidRPr="00C47DF4">
        <w:t>.</w:t>
      </w:r>
      <w:r w:rsidR="00DC4DDE" w:rsidRPr="00D32D1F">
        <w:rPr>
          <w:b/>
          <w:bCs/>
        </w:rPr>
        <w:t xml:space="preserve"> </w:t>
      </w:r>
      <w:r w:rsidR="00DC4DDE" w:rsidRPr="006F2625">
        <w:t>Fragment nowej trasy A4 ominie</w:t>
      </w:r>
      <w:r w:rsidR="00C47DF4">
        <w:t xml:space="preserve"> zatem</w:t>
      </w:r>
      <w:r w:rsidR="00DC4DDE" w:rsidRPr="006F2625">
        <w:t xml:space="preserve"> Wrocław i</w:t>
      </w:r>
      <w:r w:rsidR="00800D2A">
        <w:t> </w:t>
      </w:r>
      <w:r w:rsidR="00DC4DDE" w:rsidRPr="006F2625">
        <w:t xml:space="preserve">zostanie poprowadzony </w:t>
      </w:r>
      <w:r w:rsidR="00C47DF4">
        <w:t>przez teren gmin</w:t>
      </w:r>
      <w:r w:rsidR="00DC4DDE" w:rsidRPr="006F2625">
        <w:t xml:space="preserve"> Kąt</w:t>
      </w:r>
      <w:r w:rsidR="00C47DF4">
        <w:t>y</w:t>
      </w:r>
      <w:r w:rsidR="00DC4DDE" w:rsidRPr="006F2625">
        <w:t xml:space="preserve"> Wrocławski</w:t>
      </w:r>
      <w:r w:rsidR="00C47DF4">
        <w:t>e, Kobierzyce, Żórawina.</w:t>
      </w:r>
    </w:p>
    <w:p w:rsidR="00F15CC2" w:rsidRDefault="00F15CC2" w:rsidP="00DC4DDE">
      <w:r>
        <w:lastRenderedPageBreak/>
        <w:t xml:space="preserve">W odniesieniu do powiązań transportowych </w:t>
      </w:r>
      <w:proofErr w:type="spellStart"/>
      <w:r>
        <w:t>WrOF</w:t>
      </w:r>
      <w:proofErr w:type="spellEnd"/>
      <w:r>
        <w:t xml:space="preserve"> warto dodać, iż koncepcja docelowej krajowej sieci </w:t>
      </w:r>
      <w:r w:rsidRPr="00D32D1F">
        <w:t>autostrad i dróg ekspresowych</w:t>
      </w:r>
      <w:r>
        <w:t xml:space="preserve"> zakłada inwestycje, które poprawią dostępność komunikacyjną południowych powiatów województwa dolnośląskiego. Mowa tu m. in. o drodze </w:t>
      </w:r>
      <w:r w:rsidRPr="00D32D1F">
        <w:t>ekspresow</w:t>
      </w:r>
      <w:r>
        <w:t>ej</w:t>
      </w:r>
      <w:r w:rsidRPr="00D32D1F">
        <w:t xml:space="preserve"> S5 na od</w:t>
      </w:r>
      <w:r>
        <w:t>cinku</w:t>
      </w:r>
      <w:r w:rsidRPr="00D32D1F">
        <w:t xml:space="preserve"> Sobótka (S8) – Świdnica – Bolków (S3)</w:t>
      </w:r>
      <w:r>
        <w:t xml:space="preserve"> oraz </w:t>
      </w:r>
      <w:r w:rsidRPr="00D32D1F">
        <w:t>dro</w:t>
      </w:r>
      <w:r>
        <w:t>dze</w:t>
      </w:r>
      <w:r w:rsidRPr="00D32D1F">
        <w:t xml:space="preserve"> ekspresow</w:t>
      </w:r>
      <w:r>
        <w:t>ej</w:t>
      </w:r>
      <w:r w:rsidRPr="00D32D1F">
        <w:t xml:space="preserve"> S8 na odc</w:t>
      </w:r>
      <w:r>
        <w:t>inku</w:t>
      </w:r>
      <w:r w:rsidRPr="00D32D1F">
        <w:t xml:space="preserve"> Boboszów (gr. państwa) – Kłodzko – Wrocław (Magnice)</w:t>
      </w:r>
      <w:r>
        <w:t>. W obu przypadkach</w:t>
      </w:r>
      <w:r w:rsidR="00912FFB" w:rsidRPr="00912FFB">
        <w:t xml:space="preserve"> </w:t>
      </w:r>
      <w:r w:rsidR="00912FFB">
        <w:t xml:space="preserve">z perspektywy </w:t>
      </w:r>
      <w:proofErr w:type="spellStart"/>
      <w:r w:rsidR="00912FFB">
        <w:t>WrOF</w:t>
      </w:r>
      <w:proofErr w:type="spellEnd"/>
      <w:r>
        <w:t xml:space="preserve"> poprawi się dostępność komunikacyjna turystycznych rejonów w obrębie Sudetów. Poprawi się przy tym skomunikowane z Czechami. Należy również przewidzieć, iż wpłynąć to może na zwiększenie oddziaływania funkcjonalnego Wrocławia w odniesieniu do przestrzeni położonych na południe od Wrocławia (np. południowych część gminy Kobierzyce, gminy Sobótka, gminy Mietków). Przykładem tutaj może być wzrost powiązań funkcjonalnych, jaki widoczny był po wybudowaniu drogi ekspresowej S8 (m .in. gminy Oleśnica, Syców).</w:t>
      </w:r>
    </w:p>
    <w:p w:rsidR="00912FFB" w:rsidRPr="00912FFB" w:rsidRDefault="00912FFB" w:rsidP="00912FFB">
      <w:r w:rsidRPr="00912FFB">
        <w:t>Zgodnie z założeniami Strategii Zrównoważonego Rozwoju Transportu do 2030 roku infrastruktura kolejowa jest przedmiotem intensywnej modernizacji. Polska, mimo zamknięcia w ostatnich kilkudziesięciu latach dużej liczby linii kolejowych, wciąż dysponuje siecią kolejową, która odgrywa znaczącą rolę w zaspokajaniu potrzeb transportowych ludności, stanowiąc podstawę do rozwoju przyjaznych dla środowiska form przewozu. Rola ta jest jednak znacząco niższa niż w</w:t>
      </w:r>
      <w:r>
        <w:t> </w:t>
      </w:r>
      <w:r w:rsidRPr="00912FFB">
        <w:t>krajach sąsiednich.</w:t>
      </w:r>
    </w:p>
    <w:p w:rsidR="00912FFB" w:rsidRDefault="00912FFB" w:rsidP="00912FFB">
      <w:r w:rsidRPr="00912FFB">
        <w:t xml:space="preserve">W odniesieniu do </w:t>
      </w:r>
      <w:proofErr w:type="spellStart"/>
      <w:r w:rsidRPr="00912FFB">
        <w:t>WrOF</w:t>
      </w:r>
      <w:proofErr w:type="spellEnd"/>
      <w:r w:rsidRPr="00912FFB">
        <w:t xml:space="preserve"> rozwój transportu kolejowego należy rozpatrywać zarówno w</w:t>
      </w:r>
      <w:r w:rsidR="00800D2A">
        <w:t> </w:t>
      </w:r>
      <w:r w:rsidRPr="00912FFB">
        <w:t>odniesieniu do relacji zewnętrznych, jak też wewnętrznych. Transport kolejowy ma duży potencjał rozwoju w ujęciu transportu aglomeracyjnego.</w:t>
      </w:r>
      <w:r>
        <w:t xml:space="preserve"> </w:t>
      </w:r>
    </w:p>
    <w:p w:rsidR="00912FFB" w:rsidRDefault="00912FFB" w:rsidP="00912FFB">
      <w:r>
        <w:t xml:space="preserve">Z uwagi na położenie </w:t>
      </w:r>
      <w:proofErr w:type="spellStart"/>
      <w:r>
        <w:t>WrOF</w:t>
      </w:r>
      <w:proofErr w:type="spellEnd"/>
      <w:r>
        <w:t xml:space="preserve"> na skrzyżowaniu ważnych szlaków komunikacyjnych kraju, zarówno drogowych, jak też kolejowych, zlokalizowane są tu ważne funkcje związane z transportem intermodalnym, łączącym dwa lub więcej rodzajów transportu w jeden system. Projektowana rozbudowa układu drogowego i kolejowego kraju wskazuje na to, że funkcja ta w obrębie </w:t>
      </w:r>
      <w:proofErr w:type="spellStart"/>
      <w:r>
        <w:t>WrOF</w:t>
      </w:r>
      <w:proofErr w:type="spellEnd"/>
      <w:r>
        <w:t xml:space="preserve"> będzie się rozwijać. Wg danych GUS w 2023 r. w Polsce zlokalizowanych było 39 aktywnych terminali intermodalnych, w tym 4 zlokalizowane były w</w:t>
      </w:r>
      <w:r w:rsidR="00D80874">
        <w:t>e</w:t>
      </w:r>
      <w:r>
        <w:t xml:space="preserve"> </w:t>
      </w:r>
      <w:proofErr w:type="spellStart"/>
      <w:r>
        <w:t>WrOF</w:t>
      </w:r>
      <w:proofErr w:type="spellEnd"/>
      <w:r>
        <w:t xml:space="preserve"> (Kąty Wrocławski, Siechnice) lub w sąsiedztwie (Brzeg Dolny).</w:t>
      </w:r>
    </w:p>
    <w:p w:rsidR="00912FFB" w:rsidRDefault="00912FFB">
      <w:pPr>
        <w:spacing w:after="160" w:line="259" w:lineRule="auto"/>
        <w:jc w:val="left"/>
        <w:rPr>
          <w:iCs/>
          <w:color w:val="363735" w:themeColor="accent3"/>
          <w:sz w:val="20"/>
          <w:szCs w:val="18"/>
        </w:rPr>
      </w:pPr>
      <w:r>
        <w:br w:type="page"/>
      </w:r>
    </w:p>
    <w:p w:rsidR="00912FFB" w:rsidRPr="00D73934" w:rsidRDefault="00912FFB" w:rsidP="003405A0">
      <w:pPr>
        <w:pStyle w:val="Legenda"/>
        <w:rPr>
          <w:b/>
          <w:bCs/>
        </w:rPr>
      </w:pPr>
      <w:bookmarkStart w:id="52" w:name="_Toc196905060"/>
      <w:r>
        <w:lastRenderedPageBreak/>
        <w:t xml:space="preserve">Rysunek </w:t>
      </w:r>
      <w:r w:rsidR="00646D05">
        <w:fldChar w:fldCharType="begin"/>
      </w:r>
      <w:r>
        <w:instrText xml:space="preserve"> SEQ Rysunek \* ARABIC </w:instrText>
      </w:r>
      <w:r w:rsidR="00646D05">
        <w:fldChar w:fldCharType="separate"/>
      </w:r>
      <w:r w:rsidR="0084338D">
        <w:rPr>
          <w:noProof/>
        </w:rPr>
        <w:t>2</w:t>
      </w:r>
      <w:r w:rsidR="00646D05">
        <w:rPr>
          <w:noProof/>
        </w:rPr>
        <w:fldChar w:fldCharType="end"/>
      </w:r>
      <w:r>
        <w:t>.Rozmieszczenie terminali intermodalnych w 2023 r.</w:t>
      </w:r>
      <w:bookmarkEnd w:id="52"/>
    </w:p>
    <w:p w:rsidR="00912FFB" w:rsidRDefault="00912FFB" w:rsidP="00912FFB">
      <w:r w:rsidRPr="0047727D">
        <w:rPr>
          <w:noProof/>
          <w:lang w:eastAsia="pl-PL"/>
        </w:rPr>
        <w:drawing>
          <wp:inline distT="0" distB="0" distL="0" distR="0">
            <wp:extent cx="4753638" cy="3905795"/>
            <wp:effectExtent l="0" t="0" r="8890" b="0"/>
            <wp:docPr id="1761094934" name="Obraz 1" descr="Obraz zawierający mapa, tekst, diagram, atla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654594" name="Obraz 1" descr="Obraz zawierający mapa, tekst, diagram, atlas&#10;&#10;Opis wygenerowany automatycznie"/>
                    <pic:cNvPicPr/>
                  </pic:nvPicPr>
                  <pic:blipFill>
                    <a:blip r:embed="rId33" cstate="print"/>
                    <a:stretch>
                      <a:fillRect/>
                    </a:stretch>
                  </pic:blipFill>
                  <pic:spPr>
                    <a:xfrm>
                      <a:off x="0" y="0"/>
                      <a:ext cx="4753638" cy="3905795"/>
                    </a:xfrm>
                    <a:prstGeom prst="rect">
                      <a:avLst/>
                    </a:prstGeom>
                  </pic:spPr>
                </pic:pic>
              </a:graphicData>
            </a:graphic>
          </wp:inline>
        </w:drawing>
      </w:r>
    </w:p>
    <w:p w:rsidR="00912FFB" w:rsidRPr="0085411B" w:rsidRDefault="00912FFB" w:rsidP="003405A0">
      <w:pPr>
        <w:pStyle w:val="Legenda"/>
      </w:pPr>
      <w:r>
        <w:t>Źródło: GUS</w:t>
      </w:r>
      <w:r w:rsidR="00AD184C">
        <w:t>, dostęp 30.01.2025 r.</w:t>
      </w:r>
      <w:r w:rsidR="0013615C">
        <w:t xml:space="preserve"> (dostęp 29.01.2025)</w:t>
      </w:r>
    </w:p>
    <w:p w:rsidR="00800D2A" w:rsidRDefault="001314EE" w:rsidP="001314EE">
      <w:r w:rsidRPr="001314EE">
        <w:t>Strategicznym projektem z zakresu transportu w kraju jest utworzenie Centralnego Portu Komunikacyjnego (CPK).</w:t>
      </w:r>
      <w:r w:rsidR="00800D2A">
        <w:t xml:space="preserve"> CPK jest kluczowym projektem infrastrukturalnym związanym z transportem lotniczym i kolejowym w Polsce. Lokalizacja węzła lotniczego w centralnej Polsce, pomiędzy aglomeracjami Warszawy i Łodzi oraz powiązanie tego węzła z system szybkiej kolei wzmocni potencjał gospodarczy kraju. Poprawi się dostępność transportowa kraju, zarówno w odniesieniu do dostępności zewnętrznej, realizowanej w oparciu o połączenia lotnicze, jak też wewnętrzna, w oparciu o sieć tras kolejowych.</w:t>
      </w:r>
    </w:p>
    <w:p w:rsidR="001314EE" w:rsidRPr="001314EE" w:rsidRDefault="001314EE" w:rsidP="001314EE">
      <w:r w:rsidRPr="001314EE">
        <w:t>Lotnisko sprzężone będzie z dworcem kolejowym i siecią dróg.</w:t>
      </w:r>
    </w:p>
    <w:p w:rsidR="001314EE" w:rsidRPr="001314EE" w:rsidRDefault="001314EE" w:rsidP="001314EE">
      <w:pPr>
        <w:spacing w:after="160"/>
      </w:pPr>
      <w:r w:rsidRPr="001314EE">
        <w:t>Kluczowym elementem programu CPK będzie stworzenie nowoczesnego, zintegrowanego systemu transportowego kraju „Polska w 100 minut” w oparciu o infrastrukturę kolejową, w tym:</w:t>
      </w:r>
    </w:p>
    <w:p w:rsidR="001314EE" w:rsidRPr="001314EE" w:rsidRDefault="001314EE" w:rsidP="005E7CCF">
      <w:pPr>
        <w:numPr>
          <w:ilvl w:val="0"/>
          <w:numId w:val="10"/>
        </w:numPr>
        <w:spacing w:after="160"/>
      </w:pPr>
      <w:r w:rsidRPr="001314EE">
        <w:t>węzeł kolejowy zintegrowany z nowym lotniskiem centralnym CPK,</w:t>
      </w:r>
    </w:p>
    <w:p w:rsidR="001314EE" w:rsidRPr="001314EE" w:rsidRDefault="001314EE" w:rsidP="005E7CCF">
      <w:pPr>
        <w:numPr>
          <w:ilvl w:val="0"/>
          <w:numId w:val="10"/>
        </w:numPr>
        <w:spacing w:after="160"/>
      </w:pPr>
      <w:r w:rsidRPr="001314EE">
        <w:t>krajową sieć Kolei Dużych Prędkości (KDP),</w:t>
      </w:r>
    </w:p>
    <w:p w:rsidR="001314EE" w:rsidRPr="001314EE" w:rsidRDefault="001314EE" w:rsidP="005E7CCF">
      <w:pPr>
        <w:numPr>
          <w:ilvl w:val="0"/>
          <w:numId w:val="10"/>
        </w:numPr>
        <w:spacing w:after="160"/>
      </w:pPr>
      <w:r w:rsidRPr="001314EE">
        <w:t>połączenia dalekobieżne i regionalne, mające na celu znaczące poprawienie dostępu do nowoczesnej komunikacji zbiorowej obszarów wykluczonych transportowo.</w:t>
      </w:r>
    </w:p>
    <w:p w:rsidR="001314EE" w:rsidRPr="001314EE" w:rsidRDefault="001314EE" w:rsidP="001314EE">
      <w:r w:rsidRPr="001314EE">
        <w:lastRenderedPageBreak/>
        <w:t>Priorytetem inwestycji kolejowych CPK będzie tzw. igrek (linia KDP “Y”), łączący Warszawę oraz Łódź z Poznaniem i Wrocławiem, na którym pociągi będą osiągać prędkość 300-320 km/h.</w:t>
      </w:r>
      <w:r w:rsidRPr="001314EE">
        <w:rPr>
          <w:rStyle w:val="Odwoanieprzypisudolnego"/>
        </w:rPr>
        <w:footnoteReference w:id="9"/>
      </w:r>
    </w:p>
    <w:p w:rsidR="001314EE" w:rsidRDefault="001314EE" w:rsidP="00912FFB">
      <w:r>
        <w:t xml:space="preserve">Z perspektywy </w:t>
      </w:r>
      <w:proofErr w:type="spellStart"/>
      <w:r>
        <w:t>WrOF</w:t>
      </w:r>
      <w:proofErr w:type="spellEnd"/>
      <w:r>
        <w:t xml:space="preserve"> kluczowe znaczenie projektu CPK związane jest przede wszystkim z komponentem kolejowym. Wrocław, a tym samym mieszkańcy </w:t>
      </w:r>
      <w:proofErr w:type="spellStart"/>
      <w:r>
        <w:t>WrOF</w:t>
      </w:r>
      <w:proofErr w:type="spellEnd"/>
      <w:r>
        <w:t xml:space="preserve"> zyskają szybkie i komfortowe połączenia komunikacyjne z dużymi miastami w Polsce. Kolej stanie się konkurencyjnym środkiem komunikacji publicznej w kraju. Sprzyjać to będzie integracji przestrzennej, relacjom społecznym, biznesowym, pozytywnie wpłynie na rozwój turystyki.</w:t>
      </w:r>
    </w:p>
    <w:p w:rsidR="00912FFB" w:rsidRDefault="001314EE" w:rsidP="00DC4DDE">
      <w:r>
        <w:t xml:space="preserve">Komponent lotniczy CPK może mieć również pozytywne oddziaływanie dla </w:t>
      </w:r>
      <w:proofErr w:type="spellStart"/>
      <w:r>
        <w:t>WrOF</w:t>
      </w:r>
      <w:proofErr w:type="spellEnd"/>
      <w:r>
        <w:t xml:space="preserve">, choć wydaje się, że kluczowe korzyści z powstania dużego </w:t>
      </w:r>
      <w:proofErr w:type="spellStart"/>
      <w:r>
        <w:t>hubu</w:t>
      </w:r>
      <w:proofErr w:type="spellEnd"/>
      <w:r>
        <w:t xml:space="preserve"> komunikacyjnego w centralnej Polsce dotyczyć będą aglomeracji łódzkiej i warszawskiej. Niemniej poprawę skomunikowania Polski z wybranymi regionami Europy i Świata należy postrzegać jako szansę rozwojową, zwłaszcza z pespektywy rozwoju we </w:t>
      </w:r>
      <w:proofErr w:type="spellStart"/>
      <w:r>
        <w:t>WrOF</w:t>
      </w:r>
      <w:proofErr w:type="spellEnd"/>
      <w:r>
        <w:t xml:space="preserve"> funkcji intermodalnej, jak też rozwoju turystycznego Wrocławia. Kluczowe tu będzie dobre skomunikowanie portu lotniczego CPK przez transport kolejowy.</w:t>
      </w:r>
    </w:p>
    <w:p w:rsidR="00EF2F31" w:rsidRDefault="00EF2F31" w:rsidP="00EF2F31">
      <w:pPr>
        <w:spacing w:after="160"/>
      </w:pPr>
      <w:r w:rsidRPr="00EF2F31">
        <w:t>W dokumencie strategicznym Polityka rozwoju lotnictwa cywilnego w Polsce do 2030 r. (z</w:t>
      </w:r>
      <w:r>
        <w:t> </w:t>
      </w:r>
      <w:r w:rsidRPr="00EF2F31">
        <w:t>perspektywą do 2040 r.)</w:t>
      </w:r>
      <w:r w:rsidR="00800D2A">
        <w:rPr>
          <w:rStyle w:val="Odwoanieprzypisudolnego"/>
        </w:rPr>
        <w:footnoteReference w:id="10"/>
      </w:r>
      <w:r>
        <w:t xml:space="preserve"> wskazano, że r</w:t>
      </w:r>
      <w:r w:rsidRPr="0030461E">
        <w:t>ozwój infrastruktury transportu lotniczego, stanowi istotny czynnik do właściwego i</w:t>
      </w:r>
      <w:r>
        <w:t> </w:t>
      </w:r>
      <w:r w:rsidRPr="0030461E">
        <w:t>intensywnego rozwoju gospodarki</w:t>
      </w:r>
      <w:r>
        <w:t xml:space="preserve">. W dokumencie tym podkreślono, iż </w:t>
      </w:r>
      <w:r w:rsidRPr="00EF2F31">
        <w:t xml:space="preserve">istotny wpływ na prognozy lotnicze dla Polski będzie miał rozwój systemu kolei dużych prędkości. </w:t>
      </w:r>
    </w:p>
    <w:p w:rsidR="00EF2F31" w:rsidRDefault="00EF2F31" w:rsidP="00EF2F31">
      <w:r w:rsidRPr="00EF2F31">
        <w:t>Międzynarodowe Zrzeszenie Przewoźników Powietrznych (IATA) prognozuje, iż spośród polskich lotnisk w latach 2030/2040 portami obsługującymi największy ruch pasażerski będą kolejno CPK, Kraków, Gdańsk, Katowice, Wrocław, Poznań oraz Warszawa-Modlin.</w:t>
      </w:r>
      <w:r>
        <w:t xml:space="preserve"> W przypadku Wrocławia prognozy wskazują na wzrost ruchu pasażerskiego do 4,7 mln pasażerów w 2030 r. i</w:t>
      </w:r>
      <w:r w:rsidR="004A5F21">
        <w:t> </w:t>
      </w:r>
      <w:r>
        <w:t>do 6,9 mln pasażerów w 2040 r.</w:t>
      </w:r>
      <w:bookmarkStart w:id="53" w:name="_Toc189847380"/>
      <w:r w:rsidR="004A5F21">
        <w:rPr>
          <w:rStyle w:val="Odwoanieprzypisudolnego"/>
        </w:rPr>
        <w:footnoteReference w:id="11"/>
      </w:r>
    </w:p>
    <w:p w:rsidR="00EF2F31" w:rsidRDefault="00EF2F31">
      <w:pPr>
        <w:spacing w:after="160" w:line="259" w:lineRule="auto"/>
        <w:jc w:val="left"/>
        <w:rPr>
          <w:iCs/>
          <w:color w:val="363735" w:themeColor="accent3"/>
          <w:sz w:val="20"/>
          <w:szCs w:val="18"/>
        </w:rPr>
      </w:pPr>
      <w:r>
        <w:br w:type="page"/>
      </w:r>
    </w:p>
    <w:p w:rsidR="00EF2F31" w:rsidRDefault="00EF2F31" w:rsidP="003405A0">
      <w:pPr>
        <w:pStyle w:val="Legenda"/>
      </w:pPr>
      <w:bookmarkStart w:id="54" w:name="_Toc196905061"/>
      <w:r>
        <w:lastRenderedPageBreak/>
        <w:t xml:space="preserve">Rysunek </w:t>
      </w:r>
      <w:r w:rsidR="00646D05">
        <w:fldChar w:fldCharType="begin"/>
      </w:r>
      <w:r>
        <w:instrText xml:space="preserve"> SEQ Rysunek \* ARABIC </w:instrText>
      </w:r>
      <w:r w:rsidR="00646D05">
        <w:fldChar w:fldCharType="separate"/>
      </w:r>
      <w:r w:rsidR="0084338D">
        <w:rPr>
          <w:noProof/>
        </w:rPr>
        <w:t>3</w:t>
      </w:r>
      <w:r w:rsidR="00646D05">
        <w:rPr>
          <w:noProof/>
        </w:rPr>
        <w:fldChar w:fldCharType="end"/>
      </w:r>
      <w:r>
        <w:t>. Wyniki prognozy IATA rynku pasażerskiego w scenariuszu bazowym – rok 2030 i 2040</w:t>
      </w:r>
      <w:bookmarkEnd w:id="53"/>
      <w:bookmarkEnd w:id="54"/>
    </w:p>
    <w:p w:rsidR="004A5F21" w:rsidRPr="004A5F21" w:rsidRDefault="004A5F21" w:rsidP="004A5F21">
      <w:r w:rsidRPr="004A5F21">
        <w:rPr>
          <w:noProof/>
          <w:lang w:eastAsia="pl-PL"/>
        </w:rPr>
        <w:drawing>
          <wp:inline distT="0" distB="0" distL="0" distR="0">
            <wp:extent cx="5760720" cy="2989580"/>
            <wp:effectExtent l="0" t="0" r="0" b="0"/>
            <wp:docPr id="286662751" name="Obraz 1" descr="Obraz zawierający mapa, krąg&#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62751" name="Obraz 1" descr="Obraz zawierający mapa, krąg&#10;&#10;Zawartość wygenerowana przez sztuczną inteligencję może być niepoprawna."/>
                    <pic:cNvPicPr/>
                  </pic:nvPicPr>
                  <pic:blipFill>
                    <a:blip r:embed="rId34" cstate="print"/>
                    <a:stretch>
                      <a:fillRect/>
                    </a:stretch>
                  </pic:blipFill>
                  <pic:spPr>
                    <a:xfrm>
                      <a:off x="0" y="0"/>
                      <a:ext cx="5760720" cy="2989580"/>
                    </a:xfrm>
                    <a:prstGeom prst="rect">
                      <a:avLst/>
                    </a:prstGeom>
                  </pic:spPr>
                </pic:pic>
              </a:graphicData>
            </a:graphic>
          </wp:inline>
        </w:drawing>
      </w:r>
    </w:p>
    <w:p w:rsidR="00DC4DDE" w:rsidRPr="004C2C43" w:rsidRDefault="00EF2F31" w:rsidP="004C2C43">
      <w:pPr>
        <w:pStyle w:val="rdo"/>
      </w:pPr>
      <w:r>
        <w:t xml:space="preserve">Źródło: </w:t>
      </w:r>
      <w:r w:rsidRPr="00FE27E9">
        <w:t>Polityka rozwoju lotnictwa cywilnego w Polsce do 2030 r. (z perspektywą do 2040 r.)</w:t>
      </w:r>
      <w:r w:rsidR="0013615C">
        <w:t xml:space="preserve"> (dostęp 29.01.2025)</w:t>
      </w:r>
    </w:p>
    <w:p w:rsidR="008B55DE" w:rsidRPr="008B55DE" w:rsidRDefault="008B55DE" w:rsidP="008B55DE">
      <w:pPr>
        <w:pStyle w:val="Nagwek2"/>
        <w:numPr>
          <w:ilvl w:val="0"/>
          <w:numId w:val="0"/>
        </w:numPr>
        <w:ind w:left="993" w:hanging="851"/>
      </w:pPr>
      <w:bookmarkStart w:id="55" w:name="_Toc196905130"/>
      <w:r>
        <w:t xml:space="preserve">2.9. </w:t>
      </w:r>
      <w:r w:rsidRPr="008B55DE">
        <w:t>Modernizacja energetyczna kraju</w:t>
      </w:r>
      <w:bookmarkEnd w:id="55"/>
    </w:p>
    <w:p w:rsidR="008B55DE" w:rsidRPr="00E35079" w:rsidRDefault="008B55DE" w:rsidP="008B55DE">
      <w:r w:rsidRPr="00E35079">
        <w:t>Założeniem polityki energetycznej Polski do 2040 r. (PEP2040) jest zneutralizować lub ograniczyć ryzyka związane z potencjalnymi sytuacjami kryzysowymi w kraju oraz na arenie międzynarodowej, a jednocześnie zrealizować główny cel polityki energetycznej, tj.</w:t>
      </w:r>
      <w:r w:rsidR="00A03280">
        <w:t> </w:t>
      </w:r>
      <w:r w:rsidRPr="00E35079">
        <w:t>zagwarantowa</w:t>
      </w:r>
      <w:r w:rsidR="007212E1">
        <w:t>ć</w:t>
      </w:r>
      <w:r w:rsidRPr="00E35079">
        <w:t xml:space="preserve"> bezpieczeństw</w:t>
      </w:r>
      <w:r w:rsidR="007212E1">
        <w:t>o</w:t>
      </w:r>
      <w:r w:rsidRPr="00E35079">
        <w:t xml:space="preserve"> energetyczne, przy zapewnieniu konkurencyjności gospodarki i</w:t>
      </w:r>
      <w:r w:rsidR="007212E1">
        <w:t> </w:t>
      </w:r>
      <w:r w:rsidRPr="00E35079">
        <w:t>zmniejszenia oddziaływania sektora energii na środowisko. Polska z budżetu kraj</w:t>
      </w:r>
      <w:r w:rsidR="007212E1">
        <w:t>owego</w:t>
      </w:r>
      <w:r w:rsidRPr="00E35079">
        <w:t xml:space="preserve"> oraz ze środków zewnętrznych modernizować będzie w znaczącym zakresie sektor energetyczny kraju, co docelowo powinno wpłynąć na zabezpieczenie potrzeb energetycznych kraju w kontekście prognozowanego rozwoju gospodarczego, wyzwań środowiskowych i</w:t>
      </w:r>
      <w:r w:rsidR="00077B8F">
        <w:t> </w:t>
      </w:r>
      <w:r w:rsidRPr="00E35079">
        <w:t>społecznych.</w:t>
      </w:r>
    </w:p>
    <w:p w:rsidR="00AD3564" w:rsidRDefault="008B55DE" w:rsidP="008B55DE">
      <w:pPr>
        <w:spacing w:after="160"/>
      </w:pPr>
      <w:r w:rsidRPr="00E35079">
        <w:t>Trudno prognozować jakie będą społeczne i gospodarcze koszty modernizacji energetycznej kraju, niemniej są one konieczne do poniesienia, aby podtrzymać zrównoważony rozwój kraju.</w:t>
      </w:r>
      <w:r w:rsidR="007212E1">
        <w:t xml:space="preserve"> W</w:t>
      </w:r>
      <w:r w:rsidR="00186AF9">
        <w:t> </w:t>
      </w:r>
      <w:r w:rsidR="007212E1">
        <w:t xml:space="preserve">odniesieniu do </w:t>
      </w:r>
      <w:proofErr w:type="spellStart"/>
      <w:r w:rsidR="007212E1">
        <w:t>WrOF</w:t>
      </w:r>
      <w:proofErr w:type="spellEnd"/>
      <w:r w:rsidR="007212E1">
        <w:t xml:space="preserve"> trudno jednoznacznie przewidzieć jakie będą skutki realizacji założeń Polityki energetycznej Polski do 2040 r. W dłuższej perspektywie czasu brak modernizacji polskiego systemu energetycznego może negatywnie wpływać na ceny energii, a tym samym wpływać na koszty prowadzenia działalności gospodarczych i koszty życia. Założenia polityki energetycznej w kraju tworzą przy tym szanse na budowę niezależności energetycznej kraju, niemniej perspektywa czasowa takiego stanu jest dość odległa w czasie. Rozwój energetyki jądrowej będzie kosztowną inwestycją i trudno przewidzieć w jakim zakresie będzie finansowany przez konsumentów energii.</w:t>
      </w:r>
    </w:p>
    <w:p w:rsidR="007212E1" w:rsidRDefault="007212E1" w:rsidP="008B55DE">
      <w:pPr>
        <w:spacing w:after="160"/>
      </w:pPr>
      <w:r>
        <w:lastRenderedPageBreak/>
        <w:t xml:space="preserve">Dla </w:t>
      </w:r>
      <w:proofErr w:type="spellStart"/>
      <w:r>
        <w:t>WrOF</w:t>
      </w:r>
      <w:proofErr w:type="spellEnd"/>
      <w:r>
        <w:t xml:space="preserve"> w krótszej perspektywie czasowej istotne będą priorytety polityki energetycznej kraju, które zakładają rozwój OZE oraz wsparcie termomodernizacji i renowacji budynków. Te działania są już </w:t>
      </w:r>
      <w:r w:rsidR="00186AF9">
        <w:t>z r</w:t>
      </w:r>
      <w:r w:rsidR="00755741">
        <w:t>ó</w:t>
      </w:r>
      <w:r w:rsidR="00186AF9">
        <w:t>żną</w:t>
      </w:r>
      <w:r>
        <w:t xml:space="preserve"> dynamiką wdrażane, zarówno w sektorze </w:t>
      </w:r>
      <w:r w:rsidR="00E0163E">
        <w:t xml:space="preserve">publicznym </w:t>
      </w:r>
      <w:r>
        <w:t>jak też prywatnym. Przynoszą one korzyści ekonomiczne, jak też korzyści środowiskowe.</w:t>
      </w:r>
    </w:p>
    <w:p w:rsidR="007212E1" w:rsidRDefault="007212E1" w:rsidP="003405A0">
      <w:pPr>
        <w:pStyle w:val="Legenda"/>
      </w:pPr>
      <w:bookmarkStart w:id="56" w:name="_Toc196905071"/>
      <w:r>
        <w:t xml:space="preserve">Tabela </w:t>
      </w:r>
      <w:r w:rsidR="00646D05">
        <w:fldChar w:fldCharType="begin"/>
      </w:r>
      <w:r>
        <w:instrText xml:space="preserve"> SEQ Tabela \* ARABIC </w:instrText>
      </w:r>
      <w:r w:rsidR="00646D05">
        <w:fldChar w:fldCharType="separate"/>
      </w:r>
      <w:r w:rsidR="0084338D">
        <w:rPr>
          <w:noProof/>
        </w:rPr>
        <w:t>7</w:t>
      </w:r>
      <w:r w:rsidR="00646D05">
        <w:fldChar w:fldCharType="end"/>
      </w:r>
      <w:r>
        <w:t>. Projektowane zmiany Polityki energetycznej Polski do 2040 r.</w:t>
      </w:r>
      <w:bookmarkEnd w:id="56"/>
    </w:p>
    <w:tbl>
      <w:tblPr>
        <w:tblStyle w:val="Tabela-Siatka"/>
        <w:tblW w:w="0" w:type="auto"/>
        <w:tblLook w:val="0420"/>
      </w:tblPr>
      <w:tblGrid>
        <w:gridCol w:w="3397"/>
        <w:gridCol w:w="5665"/>
      </w:tblGrid>
      <w:tr w:rsidR="007212E1" w:rsidRPr="007212E1" w:rsidTr="00015001">
        <w:trPr>
          <w:tblHeader/>
        </w:trPr>
        <w:tc>
          <w:tcPr>
            <w:tcW w:w="3397" w:type="dxa"/>
            <w:shd w:val="clear" w:color="auto" w:fill="F3CD42" w:themeFill="accent2"/>
          </w:tcPr>
          <w:p w:rsidR="007212E1" w:rsidRPr="007212E1" w:rsidRDefault="007212E1" w:rsidP="007212E1">
            <w:pPr>
              <w:spacing w:line="276" w:lineRule="auto"/>
              <w:jc w:val="left"/>
            </w:pPr>
            <w:r>
              <w:t>Obszar tematyczny</w:t>
            </w:r>
          </w:p>
        </w:tc>
        <w:tc>
          <w:tcPr>
            <w:tcW w:w="5665" w:type="dxa"/>
            <w:shd w:val="clear" w:color="auto" w:fill="F3CD42" w:themeFill="accent2"/>
          </w:tcPr>
          <w:p w:rsidR="007212E1" w:rsidRPr="007212E1" w:rsidRDefault="007212E1" w:rsidP="007212E1">
            <w:pPr>
              <w:spacing w:line="276" w:lineRule="auto"/>
              <w:jc w:val="left"/>
            </w:pPr>
            <w:r>
              <w:t>Zakres działań</w:t>
            </w:r>
          </w:p>
        </w:tc>
      </w:tr>
      <w:tr w:rsidR="007212E1" w:rsidRPr="007212E1" w:rsidTr="007212E1">
        <w:tc>
          <w:tcPr>
            <w:tcW w:w="3397" w:type="dxa"/>
          </w:tcPr>
          <w:p w:rsidR="007212E1" w:rsidRPr="007212E1" w:rsidRDefault="007212E1" w:rsidP="007212E1">
            <w:pPr>
              <w:spacing w:line="276" w:lineRule="auto"/>
              <w:jc w:val="left"/>
            </w:pPr>
            <w:r w:rsidRPr="007212E1">
              <w:t>Zwiększenie dywersyfikacji technologicznej</w:t>
            </w:r>
          </w:p>
        </w:tc>
        <w:tc>
          <w:tcPr>
            <w:tcW w:w="5665" w:type="dxa"/>
          </w:tcPr>
          <w:p w:rsidR="007212E1" w:rsidRPr="007212E1" w:rsidRDefault="007212E1" w:rsidP="007212E1">
            <w:pPr>
              <w:spacing w:line="276" w:lineRule="auto"/>
              <w:jc w:val="left"/>
            </w:pPr>
            <w:r w:rsidRPr="007212E1">
              <w:t>Realizacja dążenia Polski do pokrycia zapotrzebowania na moc elektryczną z krajowych źródeł</w:t>
            </w:r>
          </w:p>
        </w:tc>
      </w:tr>
      <w:tr w:rsidR="007212E1" w:rsidRPr="007212E1" w:rsidTr="007212E1">
        <w:tc>
          <w:tcPr>
            <w:tcW w:w="3397" w:type="dxa"/>
          </w:tcPr>
          <w:p w:rsidR="007212E1" w:rsidRPr="007212E1" w:rsidRDefault="007212E1" w:rsidP="007212E1">
            <w:pPr>
              <w:spacing w:line="276" w:lineRule="auto"/>
              <w:jc w:val="left"/>
            </w:pPr>
            <w:r w:rsidRPr="007212E1">
              <w:t>Dalszy rozwój odnawialnych źródeł energii</w:t>
            </w:r>
          </w:p>
        </w:tc>
        <w:tc>
          <w:tcPr>
            <w:tcW w:w="5665" w:type="dxa"/>
          </w:tcPr>
          <w:p w:rsidR="007212E1" w:rsidRPr="007212E1" w:rsidRDefault="007212E1" w:rsidP="007212E1">
            <w:pPr>
              <w:spacing w:line="276" w:lineRule="auto"/>
              <w:jc w:val="left"/>
            </w:pPr>
            <w:r w:rsidRPr="007212E1">
              <w:t>Zdynamizowanie rozwoju OZE, aby połowa produkcji energii pochodziła z OZE do 2040 r.</w:t>
            </w:r>
          </w:p>
        </w:tc>
      </w:tr>
      <w:tr w:rsidR="007212E1" w:rsidRPr="007212E1" w:rsidTr="007212E1">
        <w:tc>
          <w:tcPr>
            <w:tcW w:w="3397" w:type="dxa"/>
          </w:tcPr>
          <w:p w:rsidR="007212E1" w:rsidRPr="007212E1" w:rsidRDefault="007212E1" w:rsidP="007212E1">
            <w:pPr>
              <w:spacing w:line="276" w:lineRule="auto"/>
              <w:jc w:val="left"/>
            </w:pPr>
            <w:r w:rsidRPr="007212E1">
              <w:t>Poprawa efektywności energetycznej</w:t>
            </w:r>
          </w:p>
        </w:tc>
        <w:tc>
          <w:tcPr>
            <w:tcW w:w="5665" w:type="dxa"/>
          </w:tcPr>
          <w:p w:rsidR="007212E1" w:rsidRPr="007212E1" w:rsidRDefault="007212E1" w:rsidP="007212E1">
            <w:pPr>
              <w:spacing w:line="276" w:lineRule="auto"/>
              <w:jc w:val="left"/>
            </w:pPr>
            <w:r w:rsidRPr="007212E1">
              <w:t>Termomodernizacja i renowacja budynków, wsparcie programów jak „Czyste Powietrze”</w:t>
            </w:r>
          </w:p>
        </w:tc>
      </w:tr>
      <w:tr w:rsidR="007212E1" w:rsidRPr="007212E1" w:rsidTr="007212E1">
        <w:tc>
          <w:tcPr>
            <w:tcW w:w="3397" w:type="dxa"/>
          </w:tcPr>
          <w:p w:rsidR="007212E1" w:rsidRPr="007212E1" w:rsidRDefault="007212E1" w:rsidP="007212E1">
            <w:pPr>
              <w:spacing w:line="276" w:lineRule="auto"/>
              <w:jc w:val="left"/>
            </w:pPr>
            <w:r w:rsidRPr="007212E1">
              <w:t>Dywersyfikacja dostaw węglowodorów</w:t>
            </w:r>
          </w:p>
        </w:tc>
        <w:tc>
          <w:tcPr>
            <w:tcW w:w="5665" w:type="dxa"/>
          </w:tcPr>
          <w:p w:rsidR="007212E1" w:rsidRPr="007212E1" w:rsidRDefault="007212E1" w:rsidP="007212E1">
            <w:pPr>
              <w:spacing w:line="276" w:lineRule="auto"/>
              <w:jc w:val="left"/>
            </w:pPr>
            <w:r w:rsidRPr="007212E1">
              <w:t>Zmniejszanie zależności od gazu ziemnego i ropy naftowej, budowa terminalu FSRU</w:t>
            </w:r>
          </w:p>
        </w:tc>
      </w:tr>
      <w:tr w:rsidR="007212E1" w:rsidRPr="007212E1" w:rsidTr="007212E1">
        <w:tc>
          <w:tcPr>
            <w:tcW w:w="3397" w:type="dxa"/>
          </w:tcPr>
          <w:p w:rsidR="007212E1" w:rsidRPr="007212E1" w:rsidRDefault="007212E1" w:rsidP="007212E1">
            <w:pPr>
              <w:spacing w:line="276" w:lineRule="auto"/>
              <w:jc w:val="left"/>
            </w:pPr>
            <w:r w:rsidRPr="007212E1">
              <w:t>Wykorzystanie jednostek węglowych</w:t>
            </w:r>
          </w:p>
        </w:tc>
        <w:tc>
          <w:tcPr>
            <w:tcW w:w="5665" w:type="dxa"/>
          </w:tcPr>
          <w:p w:rsidR="007212E1" w:rsidRPr="007212E1" w:rsidRDefault="007212E1" w:rsidP="007212E1">
            <w:pPr>
              <w:spacing w:line="276" w:lineRule="auto"/>
              <w:jc w:val="left"/>
            </w:pPr>
            <w:r w:rsidRPr="007212E1">
              <w:t>Okresowe zwiększanie wykorzystania krajowych złóż węgla kamiennego</w:t>
            </w:r>
          </w:p>
        </w:tc>
      </w:tr>
      <w:tr w:rsidR="007212E1" w:rsidRPr="007212E1" w:rsidTr="007212E1">
        <w:tc>
          <w:tcPr>
            <w:tcW w:w="3397" w:type="dxa"/>
          </w:tcPr>
          <w:p w:rsidR="007212E1" w:rsidRPr="007212E1" w:rsidRDefault="007212E1" w:rsidP="007212E1">
            <w:pPr>
              <w:spacing w:line="276" w:lineRule="auto"/>
              <w:jc w:val="left"/>
            </w:pPr>
            <w:r w:rsidRPr="007212E1">
              <w:t>Wdrożenie energetyki jądrowej</w:t>
            </w:r>
          </w:p>
        </w:tc>
        <w:tc>
          <w:tcPr>
            <w:tcW w:w="5665" w:type="dxa"/>
          </w:tcPr>
          <w:p w:rsidR="007212E1" w:rsidRPr="007212E1" w:rsidRDefault="007212E1" w:rsidP="007212E1">
            <w:pPr>
              <w:spacing w:line="276" w:lineRule="auto"/>
              <w:jc w:val="left"/>
            </w:pPr>
            <w:r w:rsidRPr="007212E1">
              <w:t>Budowa dużych reaktorów oraz małych reaktorów modułowych (SMR)</w:t>
            </w:r>
          </w:p>
        </w:tc>
      </w:tr>
      <w:tr w:rsidR="007212E1" w:rsidRPr="007212E1" w:rsidTr="007212E1">
        <w:tc>
          <w:tcPr>
            <w:tcW w:w="3397" w:type="dxa"/>
          </w:tcPr>
          <w:p w:rsidR="007212E1" w:rsidRPr="007212E1" w:rsidRDefault="007212E1" w:rsidP="007212E1">
            <w:pPr>
              <w:spacing w:line="276" w:lineRule="auto"/>
              <w:jc w:val="left"/>
            </w:pPr>
            <w:r w:rsidRPr="007212E1">
              <w:t>Rozwój sieci i magazynowania energii</w:t>
            </w:r>
          </w:p>
        </w:tc>
        <w:tc>
          <w:tcPr>
            <w:tcW w:w="5665" w:type="dxa"/>
          </w:tcPr>
          <w:p w:rsidR="007212E1" w:rsidRPr="007212E1" w:rsidRDefault="007212E1" w:rsidP="007212E1">
            <w:pPr>
              <w:spacing w:line="276" w:lineRule="auto"/>
              <w:jc w:val="left"/>
            </w:pPr>
            <w:r w:rsidRPr="007212E1">
              <w:t>Wzmacnianie sieci elektroenergetycznych, rozwój magazynów energii</w:t>
            </w:r>
          </w:p>
        </w:tc>
      </w:tr>
      <w:tr w:rsidR="007212E1" w:rsidRPr="007212E1" w:rsidTr="007212E1">
        <w:tc>
          <w:tcPr>
            <w:tcW w:w="3397" w:type="dxa"/>
          </w:tcPr>
          <w:p w:rsidR="007212E1" w:rsidRPr="007212E1" w:rsidRDefault="007212E1" w:rsidP="007212E1">
            <w:pPr>
              <w:spacing w:line="276" w:lineRule="auto"/>
              <w:jc w:val="left"/>
            </w:pPr>
            <w:r w:rsidRPr="007212E1">
              <w:t>Negocjacje zmian regulacji UE</w:t>
            </w:r>
          </w:p>
        </w:tc>
        <w:tc>
          <w:tcPr>
            <w:tcW w:w="5665" w:type="dxa"/>
          </w:tcPr>
          <w:p w:rsidR="007212E1" w:rsidRPr="007212E1" w:rsidRDefault="007212E1" w:rsidP="007212E1">
            <w:pPr>
              <w:spacing w:line="276" w:lineRule="auto"/>
              <w:jc w:val="left"/>
            </w:pPr>
            <w:r w:rsidRPr="007212E1">
              <w:t>Reforma mechanizmów polityki klimatycznej UE, rozwój niskoemisyjnych technologii</w:t>
            </w:r>
          </w:p>
        </w:tc>
      </w:tr>
    </w:tbl>
    <w:p w:rsidR="00EF2F31" w:rsidRDefault="007212E1" w:rsidP="003405A0">
      <w:pPr>
        <w:pStyle w:val="Legenda"/>
      </w:pPr>
      <w:r>
        <w:t xml:space="preserve">Źródło: opracowanie własne na podstawie </w:t>
      </w:r>
      <w:r w:rsidRPr="007212E1">
        <w:t>Założe</w:t>
      </w:r>
      <w:r>
        <w:t>ń</w:t>
      </w:r>
      <w:r w:rsidRPr="007212E1">
        <w:t xml:space="preserve"> do aktualizacji Polityki energetycznej Polski do 2040 r. z marca 2022 r., Ministerstwo Klimatu i Środowiska</w:t>
      </w:r>
      <w:r w:rsidR="0013615C">
        <w:t xml:space="preserve"> (dostęp 29.01.2025)</w:t>
      </w:r>
    </w:p>
    <w:p w:rsidR="00FD1882" w:rsidRDefault="00FD1882">
      <w:pPr>
        <w:spacing w:after="160" w:line="259" w:lineRule="auto"/>
        <w:jc w:val="left"/>
        <w:rPr>
          <w:rFonts w:asciiTheme="majorHAnsi" w:eastAsiaTheme="majorEastAsia" w:hAnsiTheme="majorHAnsi" w:cstheme="majorBidi"/>
          <w:color w:val="1E7DBF" w:themeColor="accent1"/>
          <w:sz w:val="32"/>
          <w:szCs w:val="32"/>
        </w:rPr>
      </w:pPr>
      <w:r>
        <w:br w:type="page"/>
      </w:r>
    </w:p>
    <w:p w:rsidR="008B55DE" w:rsidRPr="008B55DE" w:rsidRDefault="008B55DE" w:rsidP="008B55DE">
      <w:pPr>
        <w:pStyle w:val="Nagwek2"/>
        <w:numPr>
          <w:ilvl w:val="0"/>
          <w:numId w:val="0"/>
        </w:numPr>
        <w:ind w:left="993" w:hanging="851"/>
      </w:pPr>
      <w:bookmarkStart w:id="57" w:name="_Toc196905131"/>
      <w:r>
        <w:lastRenderedPageBreak/>
        <w:t xml:space="preserve">2.10. </w:t>
      </w:r>
      <w:r w:rsidRPr="008B55DE">
        <w:t>Zmiany klimatu i utrata bioróżnorodności</w:t>
      </w:r>
      <w:bookmarkEnd w:id="57"/>
    </w:p>
    <w:p w:rsidR="008B55DE" w:rsidRDefault="00766D8B" w:rsidP="008B55DE">
      <w:pPr>
        <w:spacing w:after="160"/>
      </w:pPr>
      <w:r w:rsidRPr="00766D8B">
        <w:t>Liczne gremia naukowe, polityczne i społeczne określają stan przyrody</w:t>
      </w:r>
      <w:r>
        <w:t xml:space="preserve"> j</w:t>
      </w:r>
      <w:r w:rsidRPr="00766D8B">
        <w:t>ako krytyczny, dlatego też wskazuje się pilną potrzebę jej ochrony ze względów moralnych, ekonomicznych i środowiskowych</w:t>
      </w:r>
      <w:r w:rsidR="008B55DE">
        <w:t xml:space="preserve">. Praktycznie wszystkie sektory gospodarki oraz grupy społeczne odczuwają skutki zmian klimatu. Oznacza to konieczność podejmowania znaczących wysiłków w celu radzenia sobie ze skutkami tych zmian, np. poprzez poprawę bezpieczeństwa powodziowego. Kolejnym istotnym problemem jest zanik bioróżnorodności. Ten problem w Polsce jest również widoczny i jest wypadkową zarówno globalnych zmian klimatu, jak też lokalnych uwarunkowań rozwoju. Potrzeba zachowania środowiska i przyrody to kluczowe wyzwanie dla jakości życia także we </w:t>
      </w:r>
      <w:proofErr w:type="spellStart"/>
      <w:r w:rsidR="008B55DE">
        <w:t>WrOF</w:t>
      </w:r>
      <w:proofErr w:type="spellEnd"/>
      <w:r w:rsidR="008B55DE">
        <w:t>, stąd zmiany klimatu i utratę bioróżnorodności należy postrzegać jako jedno z</w:t>
      </w:r>
      <w:r>
        <w:t> </w:t>
      </w:r>
      <w:r w:rsidR="008B55DE">
        <w:t xml:space="preserve">kluczowych zagrożeń dla rozwoju </w:t>
      </w:r>
      <w:proofErr w:type="spellStart"/>
      <w:r w:rsidR="008B55DE">
        <w:t>WrOF</w:t>
      </w:r>
      <w:proofErr w:type="spellEnd"/>
      <w:r w:rsidR="008B55DE">
        <w:t>.</w:t>
      </w:r>
    </w:p>
    <w:p w:rsidR="00DD27EF" w:rsidRDefault="00DD27EF" w:rsidP="00DD27EF">
      <w:r>
        <w:t xml:space="preserve">Do </w:t>
      </w:r>
      <w:r w:rsidRPr="00A778C0">
        <w:t>głównych bezpośrednich czynników utraty różnorodności biologicznej</w:t>
      </w:r>
      <w:r>
        <w:t xml:space="preserve"> zalicza się</w:t>
      </w:r>
      <w:r w:rsidRPr="00A778C0">
        <w:t>:</w:t>
      </w:r>
    </w:p>
    <w:p w:rsidR="00DD27EF" w:rsidRDefault="00DD27EF" w:rsidP="005E7CCF">
      <w:pPr>
        <w:pStyle w:val="Akapitzlist"/>
        <w:numPr>
          <w:ilvl w:val="0"/>
          <w:numId w:val="11"/>
        </w:numPr>
        <w:spacing w:after="160"/>
      </w:pPr>
      <w:r w:rsidRPr="00A778C0">
        <w:t>zmian</w:t>
      </w:r>
      <w:r>
        <w:t>y</w:t>
      </w:r>
      <w:r w:rsidRPr="00A778C0">
        <w:t xml:space="preserve"> użytkowania gruntów i mórz, </w:t>
      </w:r>
    </w:p>
    <w:p w:rsidR="00DD27EF" w:rsidRDefault="00DD27EF" w:rsidP="005E7CCF">
      <w:pPr>
        <w:pStyle w:val="Akapitzlist"/>
        <w:numPr>
          <w:ilvl w:val="0"/>
          <w:numId w:val="11"/>
        </w:numPr>
        <w:spacing w:after="160"/>
      </w:pPr>
      <w:r w:rsidRPr="00A778C0">
        <w:t>nadmiern</w:t>
      </w:r>
      <w:r>
        <w:t>ą</w:t>
      </w:r>
      <w:r w:rsidRPr="00A778C0">
        <w:t xml:space="preserve"> eksploatacji zasobów, </w:t>
      </w:r>
    </w:p>
    <w:p w:rsidR="00DD27EF" w:rsidRDefault="00DD27EF" w:rsidP="005E7CCF">
      <w:pPr>
        <w:pStyle w:val="Akapitzlist"/>
        <w:numPr>
          <w:ilvl w:val="0"/>
          <w:numId w:val="11"/>
        </w:numPr>
        <w:spacing w:after="160"/>
      </w:pPr>
      <w:r w:rsidRPr="00A778C0">
        <w:t xml:space="preserve">zmiany klimatu, </w:t>
      </w:r>
    </w:p>
    <w:p w:rsidR="00DD27EF" w:rsidRDefault="00DD27EF" w:rsidP="005E7CCF">
      <w:pPr>
        <w:pStyle w:val="Akapitzlist"/>
        <w:numPr>
          <w:ilvl w:val="0"/>
          <w:numId w:val="11"/>
        </w:numPr>
        <w:spacing w:after="160"/>
      </w:pPr>
      <w:r w:rsidRPr="00A778C0">
        <w:t>zanieczyszczenia</w:t>
      </w:r>
      <w:r>
        <w:t>,</w:t>
      </w:r>
      <w:r w:rsidRPr="00A778C0">
        <w:t xml:space="preserve"> </w:t>
      </w:r>
    </w:p>
    <w:p w:rsidR="00DD27EF" w:rsidRDefault="00DD27EF" w:rsidP="005E7CCF">
      <w:pPr>
        <w:pStyle w:val="Akapitzlist"/>
        <w:numPr>
          <w:ilvl w:val="0"/>
          <w:numId w:val="11"/>
        </w:numPr>
        <w:spacing w:after="160"/>
      </w:pPr>
      <w:r w:rsidRPr="00A778C0">
        <w:t>występowania inwazyjnych gatunków obcych.</w:t>
      </w:r>
      <w:r w:rsidR="00015001">
        <w:rPr>
          <w:rStyle w:val="Odwoanieprzypisudolnego"/>
        </w:rPr>
        <w:footnoteReference w:id="12"/>
      </w:r>
    </w:p>
    <w:p w:rsidR="00DD27EF" w:rsidRDefault="00DD27EF" w:rsidP="00DD27EF">
      <w:pPr>
        <w:spacing w:after="160"/>
      </w:pPr>
      <w:r w:rsidRPr="00DD27EF">
        <w:t>Podstawą globalnej polityki klimatycznej jest Porozumienie paryskie, ratyfikowane także przez Polskę. Jego głównym celem jest podjęcie wspólnych wysiłków na rzecz przeciwdziałania zmianie klimatu przy jednoczesnym uwzględnianiu kwestii zrównoważonego rozwoju oraz przeciwdziałaniu ubóstwu.</w:t>
      </w:r>
      <w:r>
        <w:t xml:space="preserve"> Z kolei na poziomie Wspólnotowym 20 maja 2020 r. przyjęta została przez Komisję Europejską U</w:t>
      </w:r>
      <w:r w:rsidRPr="00DD27EF">
        <w:t xml:space="preserve">nijna </w:t>
      </w:r>
      <w:r>
        <w:t>S</w:t>
      </w:r>
      <w:r w:rsidRPr="00DD27EF">
        <w:t xml:space="preserve">trategia na rzecz bioróżnorodności 2030 r. pod nazwą „Przywracanie przyrody do naszego życia” </w:t>
      </w:r>
      <w:r>
        <w:t xml:space="preserve">W tym dokumencie podkreślono, że odbudowa bioróżnorodności możliwa będzie poprzez </w:t>
      </w:r>
      <w:r w:rsidRPr="00DD27EF">
        <w:t>ochronę i odbudowę zasobów przyrodniczych. Należy tego dokonać poprzez poprawę i rozszerzenie sieci obszarów chronionych oraz opracowanie ambitnego unijnego planu odbudowy zasobów przyrodniczych.</w:t>
      </w:r>
    </w:p>
    <w:p w:rsidR="00305126" w:rsidRDefault="00DD27EF" w:rsidP="00DD27EF">
      <w:pPr>
        <w:spacing w:after="160"/>
      </w:pPr>
      <w:r>
        <w:t xml:space="preserve">Zagadnienia te mają szczególny wydźwięk w kontekście uwarunkowań rozwojowych </w:t>
      </w:r>
      <w:proofErr w:type="spellStart"/>
      <w:r>
        <w:t>WrOF</w:t>
      </w:r>
      <w:proofErr w:type="spellEnd"/>
      <w:r>
        <w:t xml:space="preserve">. Obserwuje się tu bowiem szczególną presję urbanizacyjną związaną z rozwojem osiedli i stref mieszkaniowych oraz terenów przeznaczonych pod działalność gospodarczą. Coraz większe powierzchnie przeznaczane są pod zabudowę. Kolejne negatywne oddziaływania na spójność przyrodniczą w obrębie </w:t>
      </w:r>
      <w:proofErr w:type="spellStart"/>
      <w:r>
        <w:t>WrOF</w:t>
      </w:r>
      <w:proofErr w:type="spellEnd"/>
      <w:r>
        <w:t xml:space="preserve"> związan</w:t>
      </w:r>
      <w:r w:rsidR="00186AF9">
        <w:t>e są</w:t>
      </w:r>
      <w:r>
        <w:t xml:space="preserve"> z rosnącą presją komunikacyjną, w tym budową nowych szlaków komunikacyjnych, które stanowią istotną barierę w przemieszczeniu się zwierząt. Negatywny wpływ na przyrodę i </w:t>
      </w:r>
      <w:r>
        <w:lastRenderedPageBreak/>
        <w:t xml:space="preserve">bioróżnorodność w </w:t>
      </w:r>
      <w:proofErr w:type="spellStart"/>
      <w:r>
        <w:t>WrOF</w:t>
      </w:r>
      <w:proofErr w:type="spellEnd"/>
      <w:r>
        <w:t xml:space="preserve"> ma również gospodarka rolna. Bardzo dobre warunki glebowe sprzyjają rozwojowi intensywnego rolnictwa. Niemniej w</w:t>
      </w:r>
      <w:r w:rsidR="009270DD">
        <w:t>e</w:t>
      </w:r>
      <w:r>
        <w:t xml:space="preserve"> </w:t>
      </w:r>
      <w:proofErr w:type="spellStart"/>
      <w:r>
        <w:t>WrOF</w:t>
      </w:r>
      <w:proofErr w:type="spellEnd"/>
      <w:r>
        <w:t xml:space="preserve"> nadal, nawet w granicach mocno zurbanizowanych przestrzeni miejskich i podmiejskich, występują cenne przyrodniczo obszary. Są to w pierwszej kolejności korytarze ekologiczne wzdłuż rzek i dolin. Rozległy </w:t>
      </w:r>
      <w:r w:rsidRPr="00DD27EF">
        <w:t>obszar Natura 2000 rozciąga się</w:t>
      </w:r>
      <w:r>
        <w:t xml:space="preserve"> między innymi</w:t>
      </w:r>
      <w:r w:rsidRPr="00DD27EF">
        <w:t xml:space="preserve"> wzdłuż doliny Odry i</w:t>
      </w:r>
      <w:r w:rsidR="004A5F21">
        <w:t> </w:t>
      </w:r>
      <w:r w:rsidRPr="00DD27EF">
        <w:t>Oławy na odcinku pomiędzy Wrocławiem w kierunku Opola</w:t>
      </w:r>
      <w:r>
        <w:t xml:space="preserve">. Ważnymi miejscami dla bioróżnorodności są również tereny leśne, doliny mniejszych rzek, takich jak </w:t>
      </w:r>
      <w:r w:rsidR="009140F7">
        <w:t xml:space="preserve">Bystrzyca, </w:t>
      </w:r>
      <w:r>
        <w:t>Oława, Ślęza, Widawa, jak też tereny zielone w miastach, w tym parki, zieleńce, cmentarze.</w:t>
      </w:r>
      <w:r w:rsidR="00305126">
        <w:t xml:space="preserve"> Przykładowo, we Wrocławiu szczególnie cennym pod względem przyrodniczym jest obszar tzw. pól irygacyjnych. </w:t>
      </w:r>
      <w:r w:rsidR="00305126" w:rsidRPr="00305126">
        <w:t xml:space="preserve">Gmina Wrocław zleciła wykonanie dokumentacji projektowej pn. „Pola </w:t>
      </w:r>
      <w:proofErr w:type="spellStart"/>
      <w:r w:rsidR="00305126" w:rsidRPr="00305126">
        <w:t>Osobowickie</w:t>
      </w:r>
      <w:proofErr w:type="spellEnd"/>
      <w:r w:rsidR="00305126" w:rsidRPr="00305126">
        <w:t xml:space="preserve"> – utrzymanie terenów podmokłych i związanej z nimi bioróżnorodności oraz utworzenie atrakcyjnego obszaru edukacyjno-rekreacyjnego dla mieszkańców Dolnego Śląska i</w:t>
      </w:r>
      <w:r w:rsidR="00077B8F">
        <w:t> </w:t>
      </w:r>
      <w:r w:rsidR="00305126" w:rsidRPr="00305126">
        <w:t>turystów”. Celem projektu jest odtworzenie terenów podmokłych i zbiorników z otwartym lustrem wody w celu zachowania i</w:t>
      </w:r>
      <w:r w:rsidR="009140F7">
        <w:t> </w:t>
      </w:r>
      <w:r w:rsidR="00305126" w:rsidRPr="00305126">
        <w:t>odtworzenia siedlisk przyrodniczych i populacji gatunków (w</w:t>
      </w:r>
      <w:r w:rsidR="00077B8F">
        <w:t> </w:t>
      </w:r>
      <w:r w:rsidR="00305126" w:rsidRPr="00305126">
        <w:t>tym gatunków chronionych i</w:t>
      </w:r>
      <w:r w:rsidR="009140F7">
        <w:t> </w:t>
      </w:r>
      <w:r w:rsidR="00305126" w:rsidRPr="00305126">
        <w:t>zagrożonych) głównie ptaków, płazów i gadów.</w:t>
      </w:r>
    </w:p>
    <w:p w:rsidR="00015001" w:rsidRDefault="00015001" w:rsidP="00DD27EF">
      <w:pPr>
        <w:spacing w:after="160"/>
      </w:pPr>
      <w:r>
        <w:t>Istotny wpływ na bioróżnorodność mają zmiany klimatu. Duża dynamika zmian klimatu, np.</w:t>
      </w:r>
      <w:r w:rsidR="00186AF9">
        <w:t> </w:t>
      </w:r>
      <w:r>
        <w:t xml:space="preserve">w zakresie dostępności do zasobów wody, wpływa na stan ekologiczny szeregu ekosystemów, w tym leśnych, łąkowych, parkowych, jak też wodnych. Kolejnym istotnym problemem są zanieczyszczenia środowiska. </w:t>
      </w:r>
      <w:r w:rsidR="00766D8B">
        <w:t>Urbanizacja</w:t>
      </w:r>
      <w:r>
        <w:t xml:space="preserve">, oprócz trwałego zajęcia powierzchni ziemi, generuje negatywne oddziaływania takie jak hałas, zanieczyszczenie powietrza, wód powierzchniowych. Warto dodać, iż większość wód płynących przez </w:t>
      </w:r>
      <w:proofErr w:type="spellStart"/>
      <w:r>
        <w:t>WrOF</w:t>
      </w:r>
      <w:proofErr w:type="spellEnd"/>
      <w:r>
        <w:t xml:space="preserve"> charakteryzuje się złym stanem, który pogłębiany jest przez negatywne skutki zmian klimatu, np. przez suszę. Niskie stany wód płynących mocniej narażone są na zanieczyszczenia i trudniej podlegają procesom samooczyszczania, czego przykładem była </w:t>
      </w:r>
      <w:r w:rsidR="00755741">
        <w:t>katastrofa ekologiczna</w:t>
      </w:r>
      <w:r>
        <w:t xml:space="preserve"> na Odrze</w:t>
      </w:r>
      <w:r w:rsidR="004A5F21">
        <w:t xml:space="preserve"> z lipca 202</w:t>
      </w:r>
      <w:r w:rsidR="0027258C">
        <w:t>2</w:t>
      </w:r>
      <w:r w:rsidR="004A5F21">
        <w:t xml:space="preserve"> r.</w:t>
      </w:r>
      <w:r w:rsidR="0027258C">
        <w:t>, której skutkiem był m. in. masowy pomór ryb. P</w:t>
      </w:r>
      <w:r w:rsidR="004A5F21">
        <w:t>odobn</w:t>
      </w:r>
      <w:r w:rsidR="0027258C">
        <w:t>e</w:t>
      </w:r>
      <w:r w:rsidR="004A5F21">
        <w:t xml:space="preserve"> przypadki, choć mniejszej skali notowano również w</w:t>
      </w:r>
      <w:r w:rsidR="0027258C">
        <w:t xml:space="preserve"> 2023 i</w:t>
      </w:r>
      <w:r w:rsidR="004A5F21">
        <w:t xml:space="preserve"> 2024 r. </w:t>
      </w:r>
    </w:p>
    <w:p w:rsidR="00054E60" w:rsidRDefault="00054E60" w:rsidP="00054E60">
      <w:pPr>
        <w:spacing w:after="160"/>
      </w:pPr>
      <w:r>
        <w:t>Istotn</w:t>
      </w:r>
      <w:r w:rsidR="009140F7">
        <w:t>y</w:t>
      </w:r>
      <w:r>
        <w:t xml:space="preserve"> wpływ na zdolność dostosowania się przyrody do zmian klimatu będzie mieć </w:t>
      </w:r>
      <w:r w:rsidR="009140F7">
        <w:t>dostępność do zasobów wody</w:t>
      </w:r>
      <w:r>
        <w:t xml:space="preserve">. Kształtowanie rozwiązań, które poprawią retencyjność w ujęciu całego </w:t>
      </w:r>
      <w:proofErr w:type="spellStart"/>
      <w:r>
        <w:t>WrOF</w:t>
      </w:r>
      <w:proofErr w:type="spellEnd"/>
      <w:r>
        <w:t xml:space="preserve"> korzystnie wpłynie zarówno na przyrodę, jak też na jakość życia mieszkańców oraz na gospodarkę. Przykładem dobrych praktyk w zakresie zwiększenia retencyjności we </w:t>
      </w:r>
      <w:proofErr w:type="spellStart"/>
      <w:r>
        <w:t>WrOF</w:t>
      </w:r>
      <w:proofErr w:type="spellEnd"/>
      <w:r>
        <w:t xml:space="preserve"> są działania Wrocławia związane z rozwojem błękitno-zielonej</w:t>
      </w:r>
      <w:r w:rsidR="00470C29">
        <w:t xml:space="preserve"> infrastruktury</w:t>
      </w:r>
      <w:r>
        <w:t xml:space="preserve">, które realizowane </w:t>
      </w:r>
      <w:r w:rsidR="00470C29">
        <w:t xml:space="preserve">są </w:t>
      </w:r>
      <w:r>
        <w:t>w oparciu o </w:t>
      </w:r>
      <w:r w:rsidRPr="00054E60">
        <w:t>Strategi</w:t>
      </w:r>
      <w:r>
        <w:t>ę</w:t>
      </w:r>
      <w:r w:rsidRPr="00054E60">
        <w:t xml:space="preserve"> Gospodarowania Wodami Opadowymi we Wrocławiu</w:t>
      </w:r>
      <w:r w:rsidR="00470C29">
        <w:t>.</w:t>
      </w:r>
      <w:r>
        <w:t xml:space="preserve"> </w:t>
      </w:r>
    </w:p>
    <w:p w:rsidR="002308CF" w:rsidRDefault="00015001" w:rsidP="00DD27EF">
      <w:pPr>
        <w:spacing w:after="160"/>
      </w:pPr>
      <w:r>
        <w:t>Zmiany klimatu wpływają na rozprzestrzenianie się obcych gatunków, co istotnie zmienia układ powiązań przyrodniczych. Gatunki te stanowią zagrożenia zarówno dla gospodarki, jak też dla dzikiej przyrody.</w:t>
      </w:r>
      <w:r w:rsidR="002308CF">
        <w:t xml:space="preserve"> Szczególn</w:t>
      </w:r>
      <w:r w:rsidR="00AC24B8">
        <w:t>ie</w:t>
      </w:r>
      <w:r w:rsidR="002308CF">
        <w:t xml:space="preserve"> zagroż</w:t>
      </w:r>
      <w:r w:rsidR="00AC24B8">
        <w:t>one</w:t>
      </w:r>
      <w:r w:rsidR="002308CF">
        <w:t xml:space="preserve"> poprzez gatunki inwazyjne</w:t>
      </w:r>
      <w:r w:rsidR="00AC24B8">
        <w:t xml:space="preserve"> we </w:t>
      </w:r>
      <w:proofErr w:type="spellStart"/>
      <w:r w:rsidR="00AC24B8">
        <w:t>WrOF</w:t>
      </w:r>
      <w:proofErr w:type="spellEnd"/>
      <w:r w:rsidR="002308CF">
        <w:t xml:space="preserve"> </w:t>
      </w:r>
      <w:r w:rsidR="00AC24B8">
        <w:t>jest</w:t>
      </w:r>
      <w:r w:rsidR="002308CF">
        <w:t xml:space="preserve"> środowisk</w:t>
      </w:r>
      <w:r w:rsidR="00AC24B8">
        <w:t>o</w:t>
      </w:r>
      <w:r w:rsidR="002308CF">
        <w:t xml:space="preserve"> wodne. We </w:t>
      </w:r>
      <w:r w:rsidR="002308CF">
        <w:lastRenderedPageBreak/>
        <w:t xml:space="preserve">Wrocławiu nagłośnionym problemem było występowanie żółwia ozdobnego. Łącznie zidentyfikowano </w:t>
      </w:r>
      <w:r w:rsidR="00AC24B8">
        <w:t>we Wrocławiu</w:t>
      </w:r>
      <w:r w:rsidR="002308CF">
        <w:t xml:space="preserve"> ponad 20 inwazyjnych gatunków zwierząt i roślin. Z roślin </w:t>
      </w:r>
      <w:r w:rsidR="00AC24B8">
        <w:t>istotnym</w:t>
      </w:r>
      <w:r w:rsidR="002308CF">
        <w:t xml:space="preserve"> problemem jest m. in. </w:t>
      </w:r>
      <w:r w:rsidR="002308CF" w:rsidRPr="002308CF">
        <w:t>barszcz Sosnowskiego czy nawłoć kanadyjska</w:t>
      </w:r>
      <w:r w:rsidR="002308CF">
        <w:t xml:space="preserve">, które </w:t>
      </w:r>
      <w:r w:rsidR="002308CF" w:rsidRPr="002308CF">
        <w:t xml:space="preserve">charakteryzują się wysoką odpornością </w:t>
      </w:r>
      <w:r w:rsidR="002308CF">
        <w:t xml:space="preserve">na próby ich usunięcia ze środowiska. Z gatunków inwazyjnych zwierząt można wymienić m. in. takie jak: </w:t>
      </w:r>
      <w:r w:rsidR="002308CF" w:rsidRPr="002308CF">
        <w:t xml:space="preserve">jenot, norka amerykańska, rak pręgowany czy biedronka azjatycka. </w:t>
      </w:r>
      <w:r w:rsidR="002308CF">
        <w:t xml:space="preserve">Występują one zarówno w przestrzeniach zurbanizowanych jak też w przestrzeniach pól, łąk, lasów całego obszaru </w:t>
      </w:r>
      <w:proofErr w:type="spellStart"/>
      <w:r w:rsidR="002308CF">
        <w:t>WrOF</w:t>
      </w:r>
      <w:proofErr w:type="spellEnd"/>
      <w:r w:rsidR="002308CF">
        <w:t>.</w:t>
      </w:r>
    </w:p>
    <w:p w:rsidR="00186AF9" w:rsidRDefault="00186AF9" w:rsidP="00DD27EF">
      <w:pPr>
        <w:spacing w:after="160"/>
      </w:pPr>
      <w:r>
        <w:t xml:space="preserve">Nadrzędnym dokumentem strategicznym Polski w odniesieniu do ochrony przyrody jest Polityka ekologiczna państwa 2030 (PEP2030). Jednym z priorytetów tego dokumentu jest </w:t>
      </w:r>
      <w:r w:rsidRPr="00186AF9">
        <w:t>ochrona dziedzictwa przyrodniczego m.in. poprzez podejmowanie działań mających na celu poprawę stanu różnorodności biologicznej i pełniejsze powiązanie jej ochrony z rozwojem społecznym i</w:t>
      </w:r>
      <w:r>
        <w:t> </w:t>
      </w:r>
      <w:r w:rsidRPr="00186AF9">
        <w:t>gospodarczym kraju.</w:t>
      </w:r>
    </w:p>
    <w:p w:rsidR="00D62CBB" w:rsidRPr="00D62CBB" w:rsidRDefault="00102B2A" w:rsidP="00102B2A">
      <w:pPr>
        <w:spacing w:after="160"/>
      </w:pPr>
      <w:r w:rsidRPr="00D62CBB">
        <w:t xml:space="preserve">Należy podkreślić, iż kwestie zmian klimatu będą coraz mocniej eksponowane także w dokumentach planistycznych i rozwojowych gmin. Ustawa z 27 listopada 2024 r. o zmianie ustawy </w:t>
      </w:r>
      <w:r w:rsidR="00D62CBB" w:rsidRPr="00D62CBB">
        <w:t>–</w:t>
      </w:r>
      <w:r w:rsidRPr="00D62CBB">
        <w:t xml:space="preserve"> Prawo ochrony środowiska oraz niektórych innych ustaw wprowadza obowiązek opracowania miejskiego planu adaptacji dla miasta (MPA) o liczbie mieszkańców równej 20 tysięcy lub większej. W przypadku </w:t>
      </w:r>
      <w:proofErr w:type="spellStart"/>
      <w:r w:rsidRPr="00D62CBB">
        <w:t>WrOF</w:t>
      </w:r>
      <w:proofErr w:type="spellEnd"/>
      <w:r w:rsidRPr="00D62CBB">
        <w:t xml:space="preserve"> dotyczy to zatem Wrocławia, Oleśnicy i Oławy.</w:t>
      </w:r>
      <w:r w:rsidR="00D62CBB" w:rsidRPr="00D62CBB">
        <w:t xml:space="preserve"> Miasto Wrocław posiada przyjęty w 2019 r. Miejski Plan Adaptacji do zmian klimatu do roku 2030. Miasta Oleśnica jak też Oława w 2024 r. przystąpiły do opracowania miejskich planów adaptacji do zmian klimatu. </w:t>
      </w:r>
      <w:r w:rsidR="00A31037" w:rsidRPr="00A31037">
        <w:t xml:space="preserve"> </w:t>
      </w:r>
      <w:r w:rsidR="00A31037">
        <w:t xml:space="preserve">Ponadto w grudniu 2024 r. przyjęty został przez Radę Miejską w Siechnicach Miejski </w:t>
      </w:r>
      <w:r w:rsidR="00A31037" w:rsidRPr="00A31037">
        <w:t>Plan Adaptacji do zmian klimatu dla Miasta Siechnice</w:t>
      </w:r>
      <w:r w:rsidR="00A31037">
        <w:t xml:space="preserve"> do roku 2030.</w:t>
      </w:r>
    </w:p>
    <w:p w:rsidR="00054E60" w:rsidRPr="004C2C43" w:rsidRDefault="00102B2A" w:rsidP="004C2C43">
      <w:pPr>
        <w:spacing w:after="160"/>
      </w:pPr>
      <w:r w:rsidRPr="00D62CBB">
        <w:t>Zmiany dotyczyć będą również poziomu planowania strategicznego w gminie. W strategiach rozwoju gminny oraz w strategiach ponadlokalnych wprowadzono obowiązek wskazania celów rozwoju w wymiarze klimatyczno-środowiskowym. Ponadto pojawił się obowiązek aktualizacji strategii rozwoju w przypadku, gdy wymagać tego będzie sytuacja klimatyczno-środowiskowa gminy</w:t>
      </w:r>
      <w:r w:rsidR="00D62CBB">
        <w:t>.</w:t>
      </w:r>
      <w:r w:rsidRPr="00D62CBB">
        <w:t xml:space="preserve"> Wprowadzono również obowiązek uwzględniania wniosków i rekomendacji ze sprawozdań z monitorowania miejskiego planu adaptacji przy sporządzaniu corocznego raportu o stanie gminy.</w:t>
      </w:r>
    </w:p>
    <w:p w:rsidR="008B55DE" w:rsidRPr="008B55DE" w:rsidRDefault="008B55DE" w:rsidP="008B55DE">
      <w:pPr>
        <w:pStyle w:val="Nagwek2"/>
        <w:numPr>
          <w:ilvl w:val="0"/>
          <w:numId w:val="0"/>
        </w:numPr>
        <w:ind w:left="993" w:hanging="851"/>
      </w:pPr>
      <w:bookmarkStart w:id="58" w:name="_Toc196905132"/>
      <w:r>
        <w:t xml:space="preserve">2.11. </w:t>
      </w:r>
      <w:r w:rsidRPr="008B55DE">
        <w:t>Zagrożenia dla bezpieczeństwa i suwerenności kraju</w:t>
      </w:r>
      <w:r w:rsidR="003C2E44">
        <w:t xml:space="preserve"> i</w:t>
      </w:r>
      <w:r w:rsidR="008E2583">
        <w:t> </w:t>
      </w:r>
      <w:r w:rsidR="003C2E44">
        <w:t>modernizacja zdolności obronnych</w:t>
      </w:r>
      <w:bookmarkEnd w:id="58"/>
    </w:p>
    <w:p w:rsidR="008B55DE" w:rsidRDefault="008B55DE" w:rsidP="008B55DE">
      <w:pPr>
        <w:spacing w:after="160"/>
      </w:pPr>
      <w:r>
        <w:t>D</w:t>
      </w:r>
      <w:r w:rsidRPr="00E35079">
        <w:t xml:space="preserve">ynamika wydarzeń w otoczeniu bezpieczeństwa Polski jest dziś największa od </w:t>
      </w:r>
      <w:r>
        <w:t>kilku dekad</w:t>
      </w:r>
      <w:r w:rsidRPr="00E35079">
        <w:t xml:space="preserve">. </w:t>
      </w:r>
      <w:r>
        <w:t xml:space="preserve">Następują </w:t>
      </w:r>
      <w:r w:rsidRPr="00E35079">
        <w:t>coraz gwałtowniejsze zmiany, nie tylko polityczne, ale również gospodarcze, społeczne czy kulturowe.</w:t>
      </w:r>
      <w:r>
        <w:t xml:space="preserve"> Zagrożenia dla bezpieczeństwa kraju i bezpieczeństwa publicznego dotyczą wielu sfer: gospodarki, społeczeństwa, środowiska.</w:t>
      </w:r>
    </w:p>
    <w:p w:rsidR="003F09F0" w:rsidRDefault="00410360" w:rsidP="008B55DE">
      <w:pPr>
        <w:spacing w:after="160"/>
      </w:pPr>
      <w:r w:rsidRPr="00410360">
        <w:lastRenderedPageBreak/>
        <w:t>Ministerstwo Obrony Narodowej wskazuje, iż dynamika wydarzeń w otoczeniu bezpieczeństwa Polski jest dziś największa od upadku Związku Sowieckiego. Obserwujemy coraz gwałtowniejsze zmiany, nie tylko polityczne, ale również gospodarcze, społeczne czy kulturowe.</w:t>
      </w:r>
    </w:p>
    <w:p w:rsidR="00410360" w:rsidRDefault="00410360" w:rsidP="008B55DE">
      <w:pPr>
        <w:spacing w:after="160"/>
      </w:pPr>
      <w:r>
        <w:t>Do kluczowych wyzwań i zagrożeń dla bezpieczeństwa Polski zalicza się:</w:t>
      </w:r>
    </w:p>
    <w:p w:rsidR="00410360" w:rsidRPr="00410360" w:rsidRDefault="00410360" w:rsidP="005E7CCF">
      <w:pPr>
        <w:pStyle w:val="Akapitzlist"/>
        <w:numPr>
          <w:ilvl w:val="0"/>
          <w:numId w:val="12"/>
        </w:numPr>
        <w:spacing w:after="160"/>
      </w:pPr>
      <w:r w:rsidRPr="00410360">
        <w:t>Agresywn</w:t>
      </w:r>
      <w:r>
        <w:t>ą</w:t>
      </w:r>
      <w:r w:rsidRPr="00410360">
        <w:t xml:space="preserve"> polityk</w:t>
      </w:r>
      <w:r>
        <w:t>ę</w:t>
      </w:r>
      <w:r w:rsidRPr="00410360">
        <w:t xml:space="preserve"> Federacji Rosyjskiej</w:t>
      </w:r>
      <w:r>
        <w:t>,</w:t>
      </w:r>
    </w:p>
    <w:p w:rsidR="00410360" w:rsidRPr="00410360" w:rsidRDefault="00410360" w:rsidP="005E7CCF">
      <w:pPr>
        <w:pStyle w:val="Akapitzlist"/>
        <w:numPr>
          <w:ilvl w:val="0"/>
          <w:numId w:val="12"/>
        </w:numPr>
        <w:spacing w:after="160"/>
      </w:pPr>
      <w:r w:rsidRPr="00410360">
        <w:t>Niestabilne sąsiedztwo wschodniej flanki NATO</w:t>
      </w:r>
      <w:r>
        <w:t>,</w:t>
      </w:r>
    </w:p>
    <w:p w:rsidR="00410360" w:rsidRPr="00410360" w:rsidRDefault="00410360" w:rsidP="005E7CCF">
      <w:pPr>
        <w:pStyle w:val="Akapitzlist"/>
        <w:numPr>
          <w:ilvl w:val="0"/>
          <w:numId w:val="12"/>
        </w:numPr>
        <w:spacing w:after="160"/>
      </w:pPr>
      <w:r w:rsidRPr="00410360">
        <w:t>Niestabilne sąsiedztwo południowej flanki NATO</w:t>
      </w:r>
      <w:r>
        <w:t>,</w:t>
      </w:r>
    </w:p>
    <w:p w:rsidR="00410360" w:rsidRPr="00410360" w:rsidRDefault="00410360" w:rsidP="005E7CCF">
      <w:pPr>
        <w:pStyle w:val="Akapitzlist"/>
        <w:numPr>
          <w:ilvl w:val="0"/>
          <w:numId w:val="12"/>
        </w:numPr>
        <w:spacing w:after="160"/>
      </w:pPr>
      <w:r w:rsidRPr="00410360">
        <w:t>Terroryzm</w:t>
      </w:r>
      <w:r>
        <w:t>,</w:t>
      </w:r>
    </w:p>
    <w:p w:rsidR="00410360" w:rsidRDefault="00410360" w:rsidP="005E7CCF">
      <w:pPr>
        <w:pStyle w:val="Akapitzlist"/>
        <w:numPr>
          <w:ilvl w:val="0"/>
          <w:numId w:val="12"/>
        </w:numPr>
        <w:spacing w:after="160"/>
      </w:pPr>
      <w:r w:rsidRPr="00410360">
        <w:t>Ewolucj</w:t>
      </w:r>
      <w:r>
        <w:t>ę</w:t>
      </w:r>
      <w:r w:rsidRPr="00410360">
        <w:t xml:space="preserve"> zachodnich struktur integracyjnych</w:t>
      </w:r>
      <w:r>
        <w:t>.</w:t>
      </w:r>
      <w:r w:rsidR="00AC24B8">
        <w:rPr>
          <w:rStyle w:val="Odwoanieprzypisudolnego"/>
        </w:rPr>
        <w:footnoteReference w:id="13"/>
      </w:r>
    </w:p>
    <w:p w:rsidR="00410360" w:rsidRDefault="003C2E44" w:rsidP="00410360">
      <w:pPr>
        <w:spacing w:after="160"/>
      </w:pPr>
      <w:r>
        <w:t>Rezultatem</w:t>
      </w:r>
      <w:r w:rsidR="00410360">
        <w:t xml:space="preserve"> niestabilności politycznej, społecznej i gospodarczej w otoczeniu Unii Europejskiej są między innymi ruchy migracyjne. Napływ migrantów do Polski, oprócz pozytywnych aspektów, niesie za sobą zagrożenia dla bezpieczeństwa kraju. Przykładem może być wzrost przestępczości wśród społeczności migrantów. </w:t>
      </w:r>
      <w:r>
        <w:t xml:space="preserve">Przejawem agresywnej polityki </w:t>
      </w:r>
      <w:r w:rsidR="004A6C5C">
        <w:t>F</w:t>
      </w:r>
      <w:r>
        <w:t xml:space="preserve">ederacji Rosyjskiej może być tzw. wojna hybrydowa, jak też zagrożenia dla </w:t>
      </w:r>
      <w:proofErr w:type="spellStart"/>
      <w:r>
        <w:t>cyberbezpieczeństwa</w:t>
      </w:r>
      <w:proofErr w:type="spellEnd"/>
      <w:r>
        <w:t xml:space="preserve">. W tym ostatnim przypadku szczególnie zagrożone mogą być samorządy. </w:t>
      </w:r>
    </w:p>
    <w:p w:rsidR="003C2E44" w:rsidRDefault="003C2E44" w:rsidP="003C2E44">
      <w:pPr>
        <w:spacing w:after="160"/>
      </w:pPr>
      <w:r>
        <w:t>Polska jest jednym z przykładów krajów NATO, który intensywnie modernizuje swoje siły zbrojne. Stwarza to szans</w:t>
      </w:r>
      <w:r w:rsidR="006E0901">
        <w:t>ę</w:t>
      </w:r>
      <w:r>
        <w:t xml:space="preserve"> na wzmocnienie pozycji Polski w regionie. Jest to również szansa dla </w:t>
      </w:r>
      <w:proofErr w:type="spellStart"/>
      <w:r>
        <w:t>WrOF</w:t>
      </w:r>
      <w:proofErr w:type="spellEnd"/>
      <w:r>
        <w:t>, w którym zlokalizowane są ważne funkcje obronne kraju. Znajdują się tu liczne jednostki wojskowe. Znajdują się tu również ośrodki szkoleniowe polskiej armii, w tym Akademia Wojsk Lądowych Centrum Szkolenia Wojsk Inżynieryjnych i Chemicznych we Wrocławiu czy też Wojskowy Instytut Techniki Inżynieryjnej. Istotny potencjał do kreowania nowoczesnych i innowacyjnych rozwiązań na rzecz obrony narodowej posiadają uczelnie wyższe zlokalizowane we Wrocławiu.</w:t>
      </w:r>
    </w:p>
    <w:p w:rsidR="003C2E44" w:rsidRDefault="003C2E44" w:rsidP="003C2E44">
      <w:pPr>
        <w:spacing w:after="160"/>
      </w:pPr>
      <w:r>
        <w:t>Możliwości rozwoju potencjał obronnego kraju kształtowane są przez potencjał ekonomiczny Państwa. Strategicznym wyzwaniem dla</w:t>
      </w:r>
      <w:r w:rsidR="00D92343">
        <w:t xml:space="preserve"> zwiększenia</w:t>
      </w:r>
      <w:r>
        <w:t xml:space="preserve"> potencjału obronnego kraju będzie również zahamowanie negatywnych tendencji demograficznych</w:t>
      </w:r>
      <w:r w:rsidR="00D92343">
        <w:t>, które skutkują spadkiem liczby mieszkańców kraju</w:t>
      </w:r>
      <w:r>
        <w:t xml:space="preserve">. </w:t>
      </w:r>
    </w:p>
    <w:p w:rsidR="00FD1882" w:rsidRPr="003C2E44" w:rsidRDefault="00FD1882" w:rsidP="003C2E44">
      <w:pPr>
        <w:spacing w:after="160"/>
      </w:pPr>
      <w:r>
        <w:br w:type="page"/>
      </w:r>
    </w:p>
    <w:p w:rsidR="008B55DE" w:rsidRPr="008B55DE" w:rsidRDefault="008B55DE" w:rsidP="008B55DE">
      <w:pPr>
        <w:pStyle w:val="Nagwek2"/>
        <w:numPr>
          <w:ilvl w:val="0"/>
          <w:numId w:val="0"/>
        </w:numPr>
        <w:ind w:left="993" w:hanging="851"/>
      </w:pPr>
      <w:bookmarkStart w:id="59" w:name="_Toc196905133"/>
      <w:r>
        <w:lastRenderedPageBreak/>
        <w:t>2.1</w:t>
      </w:r>
      <w:r w:rsidR="003C2E44">
        <w:t>2</w:t>
      </w:r>
      <w:r>
        <w:t xml:space="preserve">. </w:t>
      </w:r>
      <w:r w:rsidRPr="008B55DE">
        <w:t>Aktywne uczestnictwo Polski w funkcjonowaniu i członkostwie w</w:t>
      </w:r>
      <w:r w:rsidR="005D6834">
        <w:t> </w:t>
      </w:r>
      <w:r w:rsidRPr="008B55DE">
        <w:t>Unii Europejskiej</w:t>
      </w:r>
      <w:bookmarkEnd w:id="59"/>
    </w:p>
    <w:p w:rsidR="008B55DE" w:rsidRDefault="003C2E44" w:rsidP="008B55DE">
      <w:r>
        <w:t xml:space="preserve">Polska jest członkiem Unii Europejskiej od 2004 r. Od tego czasu, dzięki członkostwu, Polska osiągnęła szereg korzyści. </w:t>
      </w:r>
      <w:r w:rsidR="008B55DE" w:rsidRPr="00590FF6">
        <w:t>Największą korzyścią z członkostwa</w:t>
      </w:r>
      <w:r>
        <w:t xml:space="preserve"> Polski</w:t>
      </w:r>
      <w:r w:rsidR="008B55DE" w:rsidRPr="00590FF6">
        <w:t xml:space="preserve"> w Unii Europejskiej jest</w:t>
      </w:r>
      <w:r w:rsidR="008B55DE">
        <w:t xml:space="preserve"> </w:t>
      </w:r>
      <w:r w:rsidR="008B55DE" w:rsidRPr="00590FF6">
        <w:t>możliwość uczestnictwa we Wspólnym Rynku.</w:t>
      </w:r>
      <w:r w:rsidR="008B55DE">
        <w:t xml:space="preserve"> </w:t>
      </w:r>
      <w:r w:rsidR="008B55DE" w:rsidRPr="00590FF6">
        <w:t>Daje on możliwość swobodnego przemieszczania się, po całym terytorium Wspólnoty – osób, towarów, usług i</w:t>
      </w:r>
      <w:r w:rsidR="008B55DE">
        <w:t> </w:t>
      </w:r>
      <w:r w:rsidR="008B55DE" w:rsidRPr="00590FF6">
        <w:t>kapitału</w:t>
      </w:r>
      <w:r w:rsidR="008B55DE">
        <w:t>. Nie bez znaczenia jest fakt, iż p</w:t>
      </w:r>
      <w:r w:rsidR="008B55DE" w:rsidRPr="00590FF6">
        <w:t xml:space="preserve">rzez 20 lat obecności w Unii Europejskiej do Polski popłynęło z unijnego budżetu 261 mld euro, a do Brukseli </w:t>
      </w:r>
      <w:r w:rsidR="008B55DE">
        <w:t>trafiło tylko</w:t>
      </w:r>
      <w:r w:rsidR="008B55DE" w:rsidRPr="00590FF6">
        <w:t xml:space="preserve"> 85,8 mld euro w ramach składek</w:t>
      </w:r>
      <w:r w:rsidR="008B55DE">
        <w:t>.</w:t>
      </w:r>
    </w:p>
    <w:p w:rsidR="003C2E44" w:rsidRDefault="003C2E44" w:rsidP="008B55DE">
      <w:r>
        <w:t>Wyzwania rozwoju Unii Europejskiej są w dużym stopniu spójne z wyzwaniami rozwoju Polski. Do kluczowych wyzwań ostatnich lat wyrastają przede wszystkim kwestie bezpieczeństwa. Od lat priorytetem Unii Europejskiej jest ochrona środowiska i polityka klimatyczna. Poprzez fundusze europejskie wyrównywany jest standard życia w poszczególnych regionach Unii Europejskiej</w:t>
      </w:r>
      <w:r w:rsidR="004A6C5C">
        <w:t>, co jest kolejnym priorytetem</w:t>
      </w:r>
      <w:r>
        <w:t xml:space="preserve">. Przykład Polski, czy też Rumuni potwierdza, iż członkostwo w Unii Europejskiej przynosi korzyści zarówno dla społeczeństwa jak też gospodarki. Obecnie właśnie te dwa największe kraje z Europy Środkowej charakteryzuje najwyższy wzrost gospodarczy i jedne z najniższych w Unii Europejskiej wskaźniki bezrobocia. </w:t>
      </w:r>
    </w:p>
    <w:p w:rsidR="008B55DE" w:rsidRDefault="008B55DE" w:rsidP="008B55DE">
      <w:pPr>
        <w:spacing w:after="160"/>
      </w:pPr>
      <w:r>
        <w:t>Polska posiada możliwości moderowania polityki Unii Europejskiej. Synergia priorytetów rozwoju poziomu europejskiego i krajowego przynosi wymierne korzyści dla gospodarki, społeczeństwa i</w:t>
      </w:r>
      <w:r w:rsidR="003C2E44">
        <w:t> </w:t>
      </w:r>
      <w:r>
        <w:t xml:space="preserve">przyrody. </w:t>
      </w:r>
      <w:r w:rsidR="008B4267">
        <w:t xml:space="preserve">Niemniej specyfika funkcjonowania Unii Europejskiej wymaga uzyskania ponadnarodowego konsensusu. Nie bez znaczenia na definiowanie wyzwań i kierunków rozwoju Wspólnoty wpływ mają trendy globalne. Przykładem jest między innymi wymiar bezpieczeństwa. Agresja Rosji na Ukrainę wymusiła podjęcie dyskusji o możliwościach i zdolnościach budowy europejskiego systemu obrony. Konkurencja gospodarcza, m. in. z Chinami, czy też z USA, stawia pod znakiem zapytania przyjęte przez Wspólnotę regulacje i rozwiązania polityki klimatycznej, która ogranicza konkurencyjność gospodarki. </w:t>
      </w:r>
    </w:p>
    <w:p w:rsidR="003C2E44" w:rsidRPr="005D6834" w:rsidRDefault="005D6834" w:rsidP="008B55DE">
      <w:pPr>
        <w:spacing w:after="160"/>
        <w:rPr>
          <w:b/>
          <w:bCs/>
        </w:rPr>
      </w:pPr>
      <w:r w:rsidRPr="005D6834">
        <w:rPr>
          <w:b/>
          <w:bCs/>
        </w:rPr>
        <w:t>Obecne i wciąż aktualne, przyjęte przez Komisję Europejską priorytety i cele na lata 2024-2029 to:</w:t>
      </w:r>
    </w:p>
    <w:p w:rsidR="005D6834" w:rsidRPr="005D6834" w:rsidRDefault="005D6834" w:rsidP="005D6834">
      <w:pPr>
        <w:rPr>
          <w:b/>
          <w:bCs/>
        </w:rPr>
      </w:pPr>
      <w:bookmarkStart w:id="60" w:name="_Hlk189818603"/>
      <w:r>
        <w:rPr>
          <w:b/>
          <w:bCs/>
        </w:rPr>
        <w:t xml:space="preserve">Priorytet: </w:t>
      </w:r>
      <w:r w:rsidRPr="005D6834">
        <w:rPr>
          <w:b/>
          <w:bCs/>
        </w:rPr>
        <w:t>Nowy plan na rzecz trwałego dobrobytu i konkurencyjności w Europie</w:t>
      </w:r>
      <w:bookmarkEnd w:id="60"/>
    </w:p>
    <w:p w:rsidR="005D6834" w:rsidRDefault="005D6834" w:rsidP="005E7CCF">
      <w:pPr>
        <w:pStyle w:val="Akapitzlist"/>
        <w:numPr>
          <w:ilvl w:val="0"/>
          <w:numId w:val="19"/>
        </w:numPr>
      </w:pPr>
      <w:r>
        <w:t>Ułatwienia w prowadzeniu działalności gospodarczej, aby zwiększać wzrost gospodarczy,</w:t>
      </w:r>
    </w:p>
    <w:p w:rsidR="005D6834" w:rsidRDefault="005D6834" w:rsidP="005E7CCF">
      <w:pPr>
        <w:pStyle w:val="Akapitzlist"/>
        <w:numPr>
          <w:ilvl w:val="0"/>
          <w:numId w:val="19"/>
        </w:numPr>
      </w:pPr>
      <w:r>
        <w:t>Pakt dla czystego przemysłu wspierający konkurencyjność przemysłu UE i tworzenie wysokiej jakości miejsc pracy,</w:t>
      </w:r>
    </w:p>
    <w:p w:rsidR="005D6834" w:rsidRDefault="005D6834" w:rsidP="005E7CCF">
      <w:pPr>
        <w:pStyle w:val="Akapitzlist"/>
        <w:numPr>
          <w:ilvl w:val="0"/>
          <w:numId w:val="19"/>
        </w:numPr>
      </w:pPr>
      <w:r>
        <w:lastRenderedPageBreak/>
        <w:t>Bardziej odporna gospodarka o obiegu zamkniętym ułatwiająca przejście na zrównoważone praktyki produkcyjne i konsumpcyjne,</w:t>
      </w:r>
    </w:p>
    <w:p w:rsidR="005D6834" w:rsidRDefault="005D6834" w:rsidP="005E7CCF">
      <w:pPr>
        <w:pStyle w:val="Akapitzlist"/>
        <w:numPr>
          <w:ilvl w:val="0"/>
          <w:numId w:val="19"/>
        </w:numPr>
      </w:pPr>
      <w:r>
        <w:t>Pobudzenie wydajności dzięki upowszechnieniu technologii cyfrowych aby poprawić konkurencyjność UE, która ma być liderem innowacyjnej sztucznej inteligencji,</w:t>
      </w:r>
    </w:p>
    <w:p w:rsidR="005D6834" w:rsidRDefault="005D6834" w:rsidP="005E7CCF">
      <w:pPr>
        <w:pStyle w:val="Akapitzlist"/>
        <w:numPr>
          <w:ilvl w:val="0"/>
          <w:numId w:val="19"/>
        </w:numPr>
      </w:pPr>
      <w:r>
        <w:t>Badania naukowe i innowacje podstawą gospodarki,</w:t>
      </w:r>
    </w:p>
    <w:p w:rsidR="005D6834" w:rsidRDefault="005D6834" w:rsidP="005E7CCF">
      <w:pPr>
        <w:pStyle w:val="Akapitzlist"/>
        <w:numPr>
          <w:ilvl w:val="0"/>
          <w:numId w:val="19"/>
        </w:numPr>
      </w:pPr>
      <w:r>
        <w:t>Turbodoładowanie inwestycji aby przyspieszyć transformację ekologiczną, cyfrową i</w:t>
      </w:r>
      <w:r w:rsidR="00A03280">
        <w:t> </w:t>
      </w:r>
      <w:r>
        <w:t>społeczną,</w:t>
      </w:r>
    </w:p>
    <w:p w:rsidR="005D6834" w:rsidRDefault="005D6834" w:rsidP="005E7CCF">
      <w:pPr>
        <w:pStyle w:val="Akapitzlist"/>
        <w:numPr>
          <w:ilvl w:val="0"/>
          <w:numId w:val="19"/>
        </w:numPr>
      </w:pPr>
      <w:r>
        <w:t>Wyrównanie niedoborów umiejętności i pracowników aby wspierać rozwój zawodowy pracowników i konkurencyjność gospodarki.</w:t>
      </w:r>
    </w:p>
    <w:p w:rsidR="005D6834" w:rsidRPr="005D6834" w:rsidRDefault="005D6834" w:rsidP="005D6834">
      <w:pPr>
        <w:rPr>
          <w:b/>
          <w:bCs/>
        </w:rPr>
      </w:pPr>
      <w:r>
        <w:rPr>
          <w:b/>
          <w:bCs/>
        </w:rPr>
        <w:t xml:space="preserve">Priorytet: </w:t>
      </w:r>
      <w:r w:rsidRPr="005D6834">
        <w:rPr>
          <w:b/>
          <w:bCs/>
        </w:rPr>
        <w:t>Nowa epoka dla obrony i bezpieczeństwa w Europie</w:t>
      </w:r>
    </w:p>
    <w:p w:rsidR="005D6834" w:rsidRDefault="005D6834" w:rsidP="005E7CCF">
      <w:pPr>
        <w:pStyle w:val="Akapitzlist"/>
        <w:numPr>
          <w:ilvl w:val="0"/>
          <w:numId w:val="18"/>
        </w:numPr>
      </w:pPr>
      <w:r>
        <w:t>Utworzenie Europejskiej Unii Obrony,</w:t>
      </w:r>
    </w:p>
    <w:p w:rsidR="005D6834" w:rsidRDefault="005D6834" w:rsidP="005E7CCF">
      <w:pPr>
        <w:pStyle w:val="Akapitzlist"/>
        <w:numPr>
          <w:ilvl w:val="0"/>
          <w:numId w:val="18"/>
        </w:numPr>
      </w:pPr>
      <w:r>
        <w:t>Udoskonalenie gotowości i zarządzania kryzysowego UE,</w:t>
      </w:r>
    </w:p>
    <w:p w:rsidR="005D6834" w:rsidRDefault="005D6834" w:rsidP="005E7CCF">
      <w:pPr>
        <w:pStyle w:val="Akapitzlist"/>
        <w:numPr>
          <w:ilvl w:val="0"/>
          <w:numId w:val="18"/>
        </w:numPr>
      </w:pPr>
      <w:r>
        <w:t>Zapewnienie bezpieczniejszej Europy,</w:t>
      </w:r>
    </w:p>
    <w:p w:rsidR="005D6834" w:rsidRDefault="005D6834" w:rsidP="005E7CCF">
      <w:pPr>
        <w:pStyle w:val="Akapitzlist"/>
        <w:numPr>
          <w:ilvl w:val="0"/>
          <w:numId w:val="18"/>
        </w:numPr>
      </w:pPr>
      <w:r>
        <w:t>Wzmocnienie wspólnych granic,</w:t>
      </w:r>
    </w:p>
    <w:p w:rsidR="005D6834" w:rsidRDefault="005D6834" w:rsidP="005E7CCF">
      <w:pPr>
        <w:pStyle w:val="Akapitzlist"/>
        <w:numPr>
          <w:ilvl w:val="0"/>
          <w:numId w:val="18"/>
        </w:numPr>
      </w:pPr>
      <w:r>
        <w:t>Sprawiedliwe i stanowcze podejście w zakresie migracji.</w:t>
      </w:r>
    </w:p>
    <w:p w:rsidR="005D6834" w:rsidRPr="0096536F" w:rsidRDefault="005D6834" w:rsidP="005D6834">
      <w:r>
        <w:rPr>
          <w:b/>
          <w:bCs/>
        </w:rPr>
        <w:t xml:space="preserve">Priorytet: </w:t>
      </w:r>
      <w:r w:rsidRPr="0077066B">
        <w:rPr>
          <w:b/>
          <w:bCs/>
        </w:rPr>
        <w:t>Wsparcie dla ludzi, silne społeczeństwo i europejski model społeczny</w:t>
      </w:r>
    </w:p>
    <w:p w:rsidR="005D6834" w:rsidRDefault="005D6834" w:rsidP="005E7CCF">
      <w:pPr>
        <w:pStyle w:val="Akapitzlist"/>
        <w:numPr>
          <w:ilvl w:val="0"/>
          <w:numId w:val="17"/>
        </w:numPr>
        <w:spacing w:after="160"/>
      </w:pPr>
      <w:r>
        <w:t>Promowanie sprawiedliwości społecznej w nowoczesnej gospodarce,</w:t>
      </w:r>
    </w:p>
    <w:p w:rsidR="005D6834" w:rsidRDefault="005D6834" w:rsidP="005E7CCF">
      <w:pPr>
        <w:pStyle w:val="Akapitzlist"/>
        <w:numPr>
          <w:ilvl w:val="0"/>
          <w:numId w:val="17"/>
        </w:numPr>
        <w:spacing w:after="160"/>
      </w:pPr>
      <w:r>
        <w:t>Integracja społeczna i wsparcie dla młodzieży,</w:t>
      </w:r>
    </w:p>
    <w:p w:rsidR="005D6834" w:rsidRDefault="005D6834" w:rsidP="005E7CCF">
      <w:pPr>
        <w:pStyle w:val="Akapitzlist"/>
        <w:numPr>
          <w:ilvl w:val="0"/>
          <w:numId w:val="17"/>
        </w:numPr>
        <w:spacing w:after="160"/>
      </w:pPr>
      <w:r>
        <w:t>Budowanie prawdziwie egalitarnego społeczeństwa.</w:t>
      </w:r>
    </w:p>
    <w:p w:rsidR="005D6834" w:rsidRPr="0077066B" w:rsidRDefault="005D6834" w:rsidP="005D6834">
      <w:pPr>
        <w:spacing w:after="160"/>
        <w:rPr>
          <w:b/>
          <w:bCs/>
        </w:rPr>
      </w:pPr>
      <w:r>
        <w:rPr>
          <w:b/>
          <w:bCs/>
        </w:rPr>
        <w:t xml:space="preserve">Priorytet: </w:t>
      </w:r>
      <w:r w:rsidRPr="00311E3E">
        <w:rPr>
          <w:b/>
          <w:bCs/>
        </w:rPr>
        <w:t>Troska o jakość życia: bezpieczeństwo żywnościowe, woda i przyroda</w:t>
      </w:r>
    </w:p>
    <w:p w:rsidR="005D6834" w:rsidRDefault="005D6834" w:rsidP="005E7CCF">
      <w:pPr>
        <w:pStyle w:val="Akapitzlist"/>
        <w:numPr>
          <w:ilvl w:val="0"/>
          <w:numId w:val="16"/>
        </w:numPr>
        <w:spacing w:after="160"/>
      </w:pPr>
      <w:r>
        <w:t>Budowanie konkurencyjnego i odpornego rolnictwa i systemu żywnościowego oraz ochrona różnorodności biologicznej,</w:t>
      </w:r>
    </w:p>
    <w:p w:rsidR="005D6834" w:rsidRDefault="005D6834" w:rsidP="005E7CCF">
      <w:pPr>
        <w:pStyle w:val="Akapitzlist"/>
        <w:numPr>
          <w:ilvl w:val="0"/>
          <w:numId w:val="16"/>
        </w:numPr>
        <w:spacing w:after="160"/>
      </w:pPr>
      <w:r>
        <w:t>Wspieranie działań na rzecz przystosowania się do zmiany klimatu oraz zwiększenie gotowości i solidarności klimatycznej.</w:t>
      </w:r>
    </w:p>
    <w:p w:rsidR="005D6834" w:rsidRPr="00311E3E" w:rsidRDefault="005D6834" w:rsidP="005D6834">
      <w:pPr>
        <w:rPr>
          <w:b/>
          <w:bCs/>
        </w:rPr>
      </w:pPr>
      <w:bookmarkStart w:id="61" w:name="_Hlk189819489"/>
      <w:r>
        <w:rPr>
          <w:b/>
          <w:bCs/>
        </w:rPr>
        <w:t xml:space="preserve">Priorytet: </w:t>
      </w:r>
      <w:r w:rsidRPr="00311E3E">
        <w:rPr>
          <w:b/>
          <w:bCs/>
        </w:rPr>
        <w:t>Ochrona demokracji i wartości europejskich</w:t>
      </w:r>
    </w:p>
    <w:bookmarkEnd w:id="61"/>
    <w:p w:rsidR="005D6834" w:rsidRDefault="005D6834" w:rsidP="005E7CCF">
      <w:pPr>
        <w:pStyle w:val="Akapitzlist"/>
        <w:numPr>
          <w:ilvl w:val="0"/>
          <w:numId w:val="15"/>
        </w:numPr>
        <w:spacing w:after="160"/>
      </w:pPr>
      <w:r>
        <w:t>Ochrona naszej demokracji,</w:t>
      </w:r>
    </w:p>
    <w:p w:rsidR="005D6834" w:rsidRDefault="005D6834" w:rsidP="005E7CCF">
      <w:pPr>
        <w:pStyle w:val="Akapitzlist"/>
        <w:numPr>
          <w:ilvl w:val="0"/>
          <w:numId w:val="15"/>
        </w:numPr>
        <w:spacing w:after="160"/>
      </w:pPr>
      <w:r>
        <w:t>Ochrona praworządności,</w:t>
      </w:r>
    </w:p>
    <w:p w:rsidR="005D6834" w:rsidRDefault="005D6834" w:rsidP="005E7CCF">
      <w:pPr>
        <w:pStyle w:val="Akapitzlist"/>
        <w:numPr>
          <w:ilvl w:val="0"/>
          <w:numId w:val="15"/>
        </w:numPr>
        <w:spacing w:after="160"/>
      </w:pPr>
      <w:r>
        <w:t>Udział obywateli w życiu demokratycznym.</w:t>
      </w:r>
    </w:p>
    <w:p w:rsidR="005D6834" w:rsidRPr="00B427E7" w:rsidRDefault="005D6834" w:rsidP="005D6834">
      <w:pPr>
        <w:rPr>
          <w:b/>
          <w:bCs/>
        </w:rPr>
      </w:pPr>
      <w:r>
        <w:rPr>
          <w:b/>
          <w:bCs/>
        </w:rPr>
        <w:t xml:space="preserve">Priorytet: </w:t>
      </w:r>
      <w:r w:rsidRPr="00B427E7">
        <w:rPr>
          <w:b/>
          <w:bCs/>
        </w:rPr>
        <w:t>Globalny wymiar Europy: silna pozycja, silne partnerstwa</w:t>
      </w:r>
    </w:p>
    <w:p w:rsidR="005D6834" w:rsidRDefault="005D6834" w:rsidP="005E7CCF">
      <w:pPr>
        <w:pStyle w:val="Akapitzlist"/>
        <w:numPr>
          <w:ilvl w:val="0"/>
          <w:numId w:val="14"/>
        </w:numPr>
        <w:spacing w:after="160"/>
      </w:pPr>
      <w:r>
        <w:t>Rozszerzenie UE jako geopolityczny imperatyw,</w:t>
      </w:r>
    </w:p>
    <w:p w:rsidR="005D6834" w:rsidRDefault="005D6834" w:rsidP="005E7CCF">
      <w:pPr>
        <w:pStyle w:val="Akapitzlist"/>
        <w:numPr>
          <w:ilvl w:val="0"/>
          <w:numId w:val="14"/>
        </w:numPr>
        <w:spacing w:after="160"/>
      </w:pPr>
      <w:r>
        <w:t>Bardziej strategiczne podejście do regionów sąsiadujących z UE,</w:t>
      </w:r>
    </w:p>
    <w:p w:rsidR="005D6834" w:rsidRDefault="005D6834" w:rsidP="005E7CCF">
      <w:pPr>
        <w:pStyle w:val="Akapitzlist"/>
        <w:numPr>
          <w:ilvl w:val="0"/>
          <w:numId w:val="14"/>
        </w:numPr>
        <w:spacing w:after="160"/>
      </w:pPr>
      <w:r>
        <w:lastRenderedPageBreak/>
        <w:t>Nowa gospodarcza polityka zagraniczna,</w:t>
      </w:r>
    </w:p>
    <w:p w:rsidR="005D6834" w:rsidRDefault="005D6834" w:rsidP="005E7CCF">
      <w:pPr>
        <w:pStyle w:val="Akapitzlist"/>
        <w:numPr>
          <w:ilvl w:val="0"/>
          <w:numId w:val="14"/>
        </w:numPr>
        <w:spacing w:after="160"/>
      </w:pPr>
      <w:r>
        <w:t>Nowy kształt multilateralizmu w dzisiejszym świecie.</w:t>
      </w:r>
    </w:p>
    <w:p w:rsidR="005D6834" w:rsidRDefault="005D6834" w:rsidP="005D6834">
      <w:pPr>
        <w:rPr>
          <w:b/>
          <w:bCs/>
        </w:rPr>
      </w:pPr>
      <w:r>
        <w:rPr>
          <w:b/>
          <w:bCs/>
        </w:rPr>
        <w:t xml:space="preserve">Priorytet: </w:t>
      </w:r>
      <w:r w:rsidRPr="00E23347">
        <w:rPr>
          <w:b/>
          <w:bCs/>
        </w:rPr>
        <w:t>Wspólna realizacja celów i przygotowanie się na przyszłość</w:t>
      </w:r>
    </w:p>
    <w:p w:rsidR="005D6834" w:rsidRDefault="005D6834" w:rsidP="005E7CCF">
      <w:pPr>
        <w:pStyle w:val="Akapitzlist"/>
        <w:numPr>
          <w:ilvl w:val="0"/>
          <w:numId w:val="13"/>
        </w:numPr>
        <w:spacing w:after="160"/>
      </w:pPr>
      <w:r>
        <w:t>Nowy budżet na miarę naszych ambicji,</w:t>
      </w:r>
    </w:p>
    <w:p w:rsidR="005D6834" w:rsidRDefault="005D6834" w:rsidP="005E7CCF">
      <w:pPr>
        <w:pStyle w:val="Akapitzlist"/>
        <w:numPr>
          <w:ilvl w:val="0"/>
          <w:numId w:val="13"/>
        </w:numPr>
        <w:spacing w:after="160"/>
      </w:pPr>
      <w:r>
        <w:t>Ambitny program reform dla Europy,</w:t>
      </w:r>
    </w:p>
    <w:p w:rsidR="003C2E44" w:rsidRPr="004C2C43" w:rsidRDefault="005D6834" w:rsidP="004C2C43">
      <w:pPr>
        <w:pStyle w:val="Akapitzlist"/>
        <w:numPr>
          <w:ilvl w:val="0"/>
          <w:numId w:val="13"/>
        </w:numPr>
        <w:spacing w:after="160"/>
      </w:pPr>
      <w:r>
        <w:t>Zacieśnienie współpracy z Parlamentem Europejskim.</w:t>
      </w:r>
      <w:r>
        <w:rPr>
          <w:rStyle w:val="Odwoanieprzypisudolnego"/>
        </w:rPr>
        <w:footnoteReference w:id="14"/>
      </w:r>
    </w:p>
    <w:p w:rsidR="00A31037" w:rsidRDefault="00A31037">
      <w:pPr>
        <w:spacing w:after="160" w:line="259" w:lineRule="auto"/>
        <w:jc w:val="left"/>
        <w:rPr>
          <w:rFonts w:asciiTheme="majorHAnsi" w:eastAsiaTheme="majorEastAsia" w:hAnsiTheme="majorHAnsi" w:cstheme="majorBidi"/>
          <w:color w:val="1E7DBF" w:themeColor="accent1"/>
          <w:sz w:val="32"/>
          <w:szCs w:val="32"/>
        </w:rPr>
      </w:pPr>
      <w:r>
        <w:br w:type="page"/>
      </w:r>
    </w:p>
    <w:p w:rsidR="008B55DE" w:rsidRPr="008B55DE" w:rsidRDefault="008B55DE" w:rsidP="008B55DE">
      <w:pPr>
        <w:pStyle w:val="Nagwek2"/>
        <w:numPr>
          <w:ilvl w:val="0"/>
          <w:numId w:val="0"/>
        </w:numPr>
        <w:ind w:left="993" w:hanging="851"/>
      </w:pPr>
      <w:bookmarkStart w:id="62" w:name="_Toc196905134"/>
      <w:r>
        <w:lastRenderedPageBreak/>
        <w:t>2.1</w:t>
      </w:r>
      <w:r w:rsidR="005D6834">
        <w:t>3</w:t>
      </w:r>
      <w:r>
        <w:t xml:space="preserve">. </w:t>
      </w:r>
      <w:r w:rsidRPr="008B55DE">
        <w:t>Niwelowanie nierówności rozwoju kraju</w:t>
      </w:r>
      <w:bookmarkEnd w:id="62"/>
    </w:p>
    <w:p w:rsidR="008B55DE" w:rsidRDefault="008B55DE" w:rsidP="008B55DE">
      <w:pPr>
        <w:spacing w:after="160"/>
      </w:pPr>
      <w:r>
        <w:t xml:space="preserve">Przyjęty model rozwoju regionalnego Polski zakłada niwelowanie różnic i wyrównywanie szans rozwoju. Wyrównywanie szans rozwoju wspierać będzie zrównoważony rozwój i podnoszenie konkurencyjności gospodarki i usług publicznych. Przyczyni się do lepszego wykorzystania posiadanych zasobów, </w:t>
      </w:r>
      <w:r w:rsidRPr="000527DE">
        <w:t>co tworzyć będzie warunki do wzrostu dochodów mieszkańców Polski przy jednoczesnym osiąganiu spójności w wymiarze społecznym, gospodarczym, środowiskowym i</w:t>
      </w:r>
      <w:r w:rsidR="004A6C5C">
        <w:t> </w:t>
      </w:r>
      <w:r w:rsidRPr="000527DE">
        <w:t>przestrzennym</w:t>
      </w:r>
      <w:r>
        <w:t>. Przyczyni się do osiągnięcia synergii rozwoju różnych przestrzeni kraju i</w:t>
      </w:r>
      <w:r w:rsidR="004A6C5C">
        <w:t> </w:t>
      </w:r>
      <w:r>
        <w:t xml:space="preserve">wzmocnienia powiązań funkcjonalnych i przestrzennych, co wpłynie również na rozwój </w:t>
      </w:r>
      <w:proofErr w:type="spellStart"/>
      <w:r>
        <w:t>WrOF</w:t>
      </w:r>
      <w:proofErr w:type="spellEnd"/>
      <w:r>
        <w:t>.</w:t>
      </w:r>
    </w:p>
    <w:p w:rsidR="004A6C5C" w:rsidRDefault="004A6C5C" w:rsidP="008B55DE">
      <w:pPr>
        <w:spacing w:after="160"/>
      </w:pPr>
      <w:r w:rsidRPr="004A6C5C">
        <w:t>W przyjętej przez rząd „Strategii na rzecz Odpowiedzialnego Rozwoju do roku 2020 (z</w:t>
      </w:r>
      <w:r w:rsidR="002706B5">
        <w:t> </w:t>
      </w:r>
      <w:r w:rsidRPr="004A6C5C">
        <w:t>perspektywą do 2030 r.)” wskazano nowy model rozwoju regionalnego Polski. Krajowa Strategia Rozwoju Regionalnego 2030 (KSRR 2030) stanowi rozwinięcie ww. koncepcji. Jest to</w:t>
      </w:r>
      <w:r>
        <w:t xml:space="preserve"> w</w:t>
      </w:r>
      <w:r w:rsidR="002706B5">
        <w:t> </w:t>
      </w:r>
      <w:r>
        <w:t>chwili obecnej</w:t>
      </w:r>
      <w:r w:rsidRPr="004A6C5C">
        <w:t xml:space="preserve"> podstawowy dokument strategiczny polityki regionalnej państwa.</w:t>
      </w:r>
    </w:p>
    <w:p w:rsidR="004A6C5C" w:rsidRDefault="004A6C5C" w:rsidP="004A6C5C">
      <w:pPr>
        <w:rPr>
          <w:b/>
          <w:bCs/>
        </w:rPr>
      </w:pPr>
      <w:r w:rsidRPr="004A6C5C">
        <w:t>Warto przy tym podkreślić, iż trwają obecnie prace na</w:t>
      </w:r>
      <w:r w:rsidR="009843E9">
        <w:t>d</w:t>
      </w:r>
      <w:r w:rsidRPr="004A6C5C">
        <w:t xml:space="preserve"> opracowaniem</w:t>
      </w:r>
      <w:r>
        <w:t xml:space="preserve"> nowego</w:t>
      </w:r>
      <w:r w:rsidRPr="004A6C5C">
        <w:t xml:space="preserve"> kluczowego dla kraju dokumentu strategicznego, którym będzie Koncepcja Rozwoju Kraju 2050</w:t>
      </w:r>
      <w:r>
        <w:rPr>
          <w:b/>
          <w:bCs/>
        </w:rPr>
        <w:t xml:space="preserve">. </w:t>
      </w:r>
      <w:r w:rsidRPr="004A6C5C">
        <w:t>W pracy nad tym dokumentem przyjęto następujące podstawowe wartości:</w:t>
      </w:r>
    </w:p>
    <w:p w:rsidR="004A6C5C" w:rsidRPr="004A6C5C" w:rsidRDefault="003E5A69" w:rsidP="005E7CCF">
      <w:pPr>
        <w:numPr>
          <w:ilvl w:val="0"/>
          <w:numId w:val="20"/>
        </w:numPr>
        <w:spacing w:after="160"/>
      </w:pPr>
      <w:r>
        <w:t>d</w:t>
      </w:r>
      <w:r w:rsidR="004A6C5C" w:rsidRPr="004A6C5C">
        <w:t>emokrację,</w:t>
      </w:r>
    </w:p>
    <w:p w:rsidR="004A6C5C" w:rsidRPr="004A6C5C" w:rsidRDefault="004A6C5C" w:rsidP="005E7CCF">
      <w:pPr>
        <w:numPr>
          <w:ilvl w:val="0"/>
          <w:numId w:val="20"/>
        </w:numPr>
        <w:spacing w:after="160"/>
      </w:pPr>
      <w:r w:rsidRPr="004A6C5C">
        <w:t>integrację (</w:t>
      </w:r>
      <w:proofErr w:type="spellStart"/>
      <w:r w:rsidRPr="004A6C5C">
        <w:t>inkluzywność</w:t>
      </w:r>
      <w:proofErr w:type="spellEnd"/>
      <w:r w:rsidRPr="004A6C5C">
        <w:t xml:space="preserve"> i solidarność społeczna</w:t>
      </w:r>
      <w:r w:rsidR="00C47CE1">
        <w:t>)</w:t>
      </w:r>
      <w:r w:rsidRPr="004A6C5C">
        <w:t>,</w:t>
      </w:r>
    </w:p>
    <w:p w:rsidR="004A6C5C" w:rsidRPr="004A6C5C" w:rsidRDefault="004A6C5C" w:rsidP="005E7CCF">
      <w:pPr>
        <w:numPr>
          <w:ilvl w:val="0"/>
          <w:numId w:val="20"/>
        </w:numPr>
        <w:spacing w:after="160"/>
      </w:pPr>
      <w:r w:rsidRPr="004A6C5C">
        <w:t>czyste środowisko</w:t>
      </w:r>
      <w:r w:rsidR="00453367">
        <w:t>,</w:t>
      </w:r>
      <w:r w:rsidRPr="004A6C5C">
        <w:t xml:space="preserve"> </w:t>
      </w:r>
    </w:p>
    <w:p w:rsidR="004A6C5C" w:rsidRPr="004A6C5C" w:rsidRDefault="004A6C5C" w:rsidP="005E7CCF">
      <w:pPr>
        <w:numPr>
          <w:ilvl w:val="0"/>
          <w:numId w:val="20"/>
        </w:numPr>
        <w:spacing w:after="160"/>
      </w:pPr>
      <w:r w:rsidRPr="004A6C5C">
        <w:t>gospodarkę odpowiedzialną społecznie,</w:t>
      </w:r>
    </w:p>
    <w:p w:rsidR="004A6C5C" w:rsidRPr="004A6C5C" w:rsidRDefault="004A6C5C" w:rsidP="005E7CCF">
      <w:pPr>
        <w:numPr>
          <w:ilvl w:val="0"/>
          <w:numId w:val="20"/>
        </w:numPr>
        <w:spacing w:after="160"/>
      </w:pPr>
      <w:r w:rsidRPr="004A6C5C">
        <w:t>ład przestrzenny.</w:t>
      </w:r>
    </w:p>
    <w:p w:rsidR="004A6C5C" w:rsidRDefault="004A6C5C" w:rsidP="008B55DE">
      <w:pPr>
        <w:spacing w:after="160"/>
      </w:pPr>
      <w:r>
        <w:t>Do szczególnych wyzwań rozwoju kraju należy zaliczyć wyzwania demograficzne. Będą one w największym stopniu kształtować możliwości rozwoju poszczególnych regionów w kraju. W</w:t>
      </w:r>
      <w:r w:rsidR="002706B5">
        <w:t> </w:t>
      </w:r>
      <w:r>
        <w:t xml:space="preserve">tym kontekście </w:t>
      </w:r>
      <w:proofErr w:type="spellStart"/>
      <w:r>
        <w:t>WrOF</w:t>
      </w:r>
      <w:proofErr w:type="spellEnd"/>
      <w:r>
        <w:t xml:space="preserve"> wydaje się być w korzystnej sytuacji. Niemniej pułapka niskiej dzietności będzie mieć swoje negatywne konsekwencje także dla </w:t>
      </w:r>
      <w:proofErr w:type="spellStart"/>
      <w:r>
        <w:t>WrOF</w:t>
      </w:r>
      <w:proofErr w:type="spellEnd"/>
      <w:r>
        <w:t xml:space="preserve">. </w:t>
      </w:r>
    </w:p>
    <w:p w:rsidR="004A6C5C" w:rsidRDefault="004A6C5C" w:rsidP="008B55DE">
      <w:pPr>
        <w:spacing w:after="160"/>
      </w:pPr>
      <w:r>
        <w:t xml:space="preserve">Wyzwaniem na najbliższe dekady będzie zaprojektowanie pomysłu na rozwój Polski, który pozwoli optymalnie wykorzystać posiadane zasoby i jednocześnie niwelować dysproporcje rozwoje. Wybrane </w:t>
      </w:r>
      <w:r w:rsidR="00C47CE1">
        <w:t xml:space="preserve">obszary </w:t>
      </w:r>
      <w:r>
        <w:t xml:space="preserve">kraju podlegać będą silnym procesom depopulacyjnym. </w:t>
      </w:r>
      <w:r w:rsidR="003E5A69">
        <w:t xml:space="preserve">Znajdą się w szczególnie niekorzystnej sytuacji rozwojowej i wymagać będą wsparcia z poziomu centralnego i regionalnego. Podobne wyzwania towarzyszyć będą polityce rozwojowej kształtowanej z poziomu regionalnego. </w:t>
      </w:r>
      <w:r w:rsidR="003E5A69">
        <w:lastRenderedPageBreak/>
        <w:t xml:space="preserve">Będzie to miało swoje przełożenie na sposób i skalę finansowania rozwoju regionalnego, w tym ze środków krajowych, jak też środków unijnych. </w:t>
      </w:r>
    </w:p>
    <w:p w:rsidR="00AD3564" w:rsidRDefault="00AD3564">
      <w:pPr>
        <w:spacing w:after="160" w:line="259" w:lineRule="auto"/>
        <w:jc w:val="left"/>
      </w:pPr>
      <w:r>
        <w:br w:type="page"/>
      </w:r>
    </w:p>
    <w:p w:rsidR="003F2B0C" w:rsidRDefault="003F2B0C" w:rsidP="003F2B0C">
      <w:bookmarkStart w:id="63" w:name="_Toc196867036"/>
      <w:bookmarkStart w:id="64" w:name="_Toc196905135"/>
      <w:r w:rsidRPr="007B0851">
        <w:rPr>
          <w:rStyle w:val="Nagwek1Znak"/>
        </w:rPr>
        <w:lastRenderedPageBreak/>
        <w:t>3</w:t>
      </w:r>
      <w:r>
        <w:rPr>
          <w:rStyle w:val="Nagwek1Znak"/>
        </w:rPr>
        <w:t xml:space="preserve">. </w:t>
      </w:r>
      <w:r w:rsidRPr="007B0851">
        <w:rPr>
          <w:rStyle w:val="Nagwek1Znak"/>
        </w:rPr>
        <w:t>Identyfikacj</w:t>
      </w:r>
      <w:r>
        <w:rPr>
          <w:rStyle w:val="Nagwek1Znak"/>
        </w:rPr>
        <w:t>a</w:t>
      </w:r>
      <w:r w:rsidRPr="007B0851">
        <w:rPr>
          <w:rStyle w:val="Nagwek1Znak"/>
        </w:rPr>
        <w:t xml:space="preserve"> możliwości wynikających z założeń polityk publicznych i ich finansowania</w:t>
      </w:r>
      <w:bookmarkEnd w:id="63"/>
      <w:bookmarkEnd w:id="64"/>
      <w:r w:rsidRPr="007B0851">
        <w:rPr>
          <w:b/>
          <w:bCs/>
        </w:rPr>
        <w:t xml:space="preserve"> </w:t>
      </w:r>
    </w:p>
    <w:p w:rsidR="003F2B0C" w:rsidRDefault="003F2B0C" w:rsidP="003F2B0C">
      <w:pPr>
        <w:spacing w:after="160"/>
      </w:pPr>
      <w:r w:rsidRPr="00711751">
        <w:t>W celu prowadzenia efektywnej i skutecznej polityki rozwoju Wrocławskiego Obszaru Funkcjonalnego mogą zostać wykorzystywane środki z różnych źródeł finansowych (dotacji lub pożyczek), a w szczególności</w:t>
      </w:r>
      <w:r>
        <w:t>:</w:t>
      </w:r>
    </w:p>
    <w:p w:rsidR="003F2B0C" w:rsidRDefault="003F2B0C" w:rsidP="003F2B0C">
      <w:pPr>
        <w:pStyle w:val="Akapitzlist"/>
        <w:numPr>
          <w:ilvl w:val="0"/>
          <w:numId w:val="31"/>
        </w:numPr>
        <w:spacing w:after="160"/>
      </w:pPr>
      <w:r>
        <w:t xml:space="preserve">środki własne gmin </w:t>
      </w:r>
      <w:proofErr w:type="spellStart"/>
      <w:r>
        <w:t>WrOF</w:t>
      </w:r>
      <w:proofErr w:type="spellEnd"/>
      <w:r>
        <w:t>,</w:t>
      </w:r>
    </w:p>
    <w:p w:rsidR="003F2B0C" w:rsidRDefault="003F2B0C" w:rsidP="003F2B0C">
      <w:pPr>
        <w:pStyle w:val="Akapitzlist"/>
        <w:numPr>
          <w:ilvl w:val="0"/>
          <w:numId w:val="31"/>
        </w:numPr>
        <w:spacing w:after="160"/>
      </w:pPr>
      <w:r>
        <w:t xml:space="preserve">środki Unii Europejskiej w ramach instrumentu ZIT z FEDS 2021-2027 oraz </w:t>
      </w:r>
      <w:proofErr w:type="spellStart"/>
      <w:r>
        <w:t>FEnIKS</w:t>
      </w:r>
      <w:proofErr w:type="spellEnd"/>
      <w:r>
        <w:t xml:space="preserve"> 2021-2027,</w:t>
      </w:r>
    </w:p>
    <w:p w:rsidR="003F2B0C" w:rsidRDefault="003F2B0C" w:rsidP="003F2B0C">
      <w:pPr>
        <w:pStyle w:val="Akapitzlist"/>
        <w:numPr>
          <w:ilvl w:val="0"/>
          <w:numId w:val="31"/>
        </w:numPr>
        <w:spacing w:after="160"/>
      </w:pPr>
      <w:r>
        <w:t>środki Unii Europejskiej z FEDS 2021-2027 poza instrumentem ZIT,</w:t>
      </w:r>
    </w:p>
    <w:p w:rsidR="003F2B0C" w:rsidRDefault="003F2B0C" w:rsidP="003F2B0C">
      <w:pPr>
        <w:pStyle w:val="Akapitzlist"/>
        <w:numPr>
          <w:ilvl w:val="0"/>
          <w:numId w:val="31"/>
        </w:numPr>
        <w:spacing w:after="160"/>
      </w:pPr>
      <w:r>
        <w:t>środki Unii Europejskiej w ramach programów krajowych,</w:t>
      </w:r>
    </w:p>
    <w:p w:rsidR="003F2B0C" w:rsidRDefault="003F2B0C" w:rsidP="003F2B0C">
      <w:pPr>
        <w:pStyle w:val="Akapitzlist"/>
        <w:numPr>
          <w:ilvl w:val="0"/>
          <w:numId w:val="31"/>
        </w:numPr>
        <w:spacing w:after="160"/>
      </w:pPr>
      <w:r>
        <w:t>środki Unii Europejskiej w ramach innych funduszy, programów i inicjatyw,</w:t>
      </w:r>
    </w:p>
    <w:p w:rsidR="003F2B0C" w:rsidRDefault="003F2B0C" w:rsidP="003F2B0C">
      <w:pPr>
        <w:pStyle w:val="Akapitzlist"/>
        <w:numPr>
          <w:ilvl w:val="0"/>
          <w:numId w:val="31"/>
        </w:numPr>
        <w:spacing w:after="160"/>
      </w:pPr>
      <w:r>
        <w:t>środki funduszy celowych i dotacji celowych,</w:t>
      </w:r>
    </w:p>
    <w:p w:rsidR="003F2B0C" w:rsidRDefault="003F2B0C" w:rsidP="003F2B0C">
      <w:pPr>
        <w:pStyle w:val="Akapitzlist"/>
        <w:numPr>
          <w:ilvl w:val="0"/>
          <w:numId w:val="31"/>
        </w:numPr>
        <w:spacing w:after="160"/>
      </w:pPr>
      <w:r>
        <w:t>środki pochodzące z budżetu państwa,</w:t>
      </w:r>
    </w:p>
    <w:p w:rsidR="003F2B0C" w:rsidRDefault="003F2B0C" w:rsidP="003F2B0C">
      <w:pPr>
        <w:pStyle w:val="Akapitzlist"/>
        <w:numPr>
          <w:ilvl w:val="0"/>
          <w:numId w:val="31"/>
        </w:numPr>
        <w:spacing w:after="160"/>
      </w:pPr>
      <w:r>
        <w:t>środki jednostek organizacyjnych gmin (spółki komunalne),</w:t>
      </w:r>
    </w:p>
    <w:p w:rsidR="003F2B0C" w:rsidRDefault="003F2B0C" w:rsidP="003F2B0C">
      <w:pPr>
        <w:pStyle w:val="Akapitzlist"/>
        <w:numPr>
          <w:ilvl w:val="0"/>
          <w:numId w:val="31"/>
        </w:numPr>
        <w:spacing w:after="160"/>
      </w:pPr>
      <w:r>
        <w:t>środki sektora prywatnego, w tym formuła partnerstwa publiczno-prywatnego,</w:t>
      </w:r>
    </w:p>
    <w:p w:rsidR="003F2B0C" w:rsidRDefault="003F2B0C" w:rsidP="003F2B0C">
      <w:pPr>
        <w:pStyle w:val="Akapitzlist"/>
        <w:numPr>
          <w:ilvl w:val="0"/>
          <w:numId w:val="31"/>
        </w:numPr>
        <w:spacing w:after="160"/>
      </w:pPr>
      <w:r>
        <w:t>kredyty bankowe, pożyczki oraz inne instrumenty finansowe,</w:t>
      </w:r>
    </w:p>
    <w:p w:rsidR="003F2B0C" w:rsidRDefault="003F2B0C" w:rsidP="003F2B0C">
      <w:pPr>
        <w:pStyle w:val="Akapitzlist"/>
        <w:numPr>
          <w:ilvl w:val="0"/>
          <w:numId w:val="31"/>
        </w:numPr>
        <w:spacing w:after="160"/>
      </w:pPr>
      <w:r>
        <w:t>inne dostępne środki finansowe.</w:t>
      </w:r>
    </w:p>
    <w:p w:rsidR="003F2B0C" w:rsidRDefault="003F2B0C" w:rsidP="003F2B0C">
      <w:pPr>
        <w:spacing w:after="160"/>
      </w:pPr>
      <w:r>
        <w:t xml:space="preserve">Należy podkreślić, że większość dostępnych obecnie funduszy i programów nie obejmuje swoją perspektywą czasową całego okresu obowiązywania Strategii Rozwoju </w:t>
      </w:r>
      <w:proofErr w:type="spellStart"/>
      <w:r>
        <w:t>WrOF</w:t>
      </w:r>
      <w:proofErr w:type="spellEnd"/>
      <w:r>
        <w:t xml:space="preserve"> 2050, większość z nich kończy się w 2030 roku, można jednak założyć na podstawie poprzednich okresów finansowania wymienionych programów, że będą one również kontynuowane w przyszłości co pozwoli w przyszłości pozyskiwać środki zewnętrzne. </w:t>
      </w:r>
    </w:p>
    <w:p w:rsidR="003F2B0C" w:rsidRDefault="003F2B0C" w:rsidP="003F2B0C">
      <w:pPr>
        <w:spacing w:after="160"/>
      </w:pPr>
      <w:r>
        <w:t xml:space="preserve">Podstawę do określenia ram finansowych działań strategicznych stanowią budżety poszczególnych gmin Wrocławskiego Obszaru Funkcjonalnego oraz wieloletnie prognozy finansowe. </w:t>
      </w:r>
    </w:p>
    <w:p w:rsidR="003F2B0C" w:rsidRPr="005B3003" w:rsidRDefault="003F2B0C" w:rsidP="003F2B0C">
      <w:pPr>
        <w:spacing w:after="160"/>
      </w:pPr>
      <w:r w:rsidRPr="005B3003">
        <w:t>Oprócz środków własnych gminy i ich związki mogą dysponować środkami zewnętrznymi takimi jak:</w:t>
      </w:r>
    </w:p>
    <w:p w:rsidR="003F2B0C" w:rsidRDefault="003F2B0C" w:rsidP="003F2B0C">
      <w:pPr>
        <w:spacing w:after="160"/>
      </w:pPr>
      <w:r w:rsidRPr="005B3003">
        <w:rPr>
          <w:b/>
          <w:bCs/>
          <w:color w:val="FFC000"/>
        </w:rPr>
        <w:t xml:space="preserve">Krajowy Plan Odbudowy i Zwiększania Odporności </w:t>
      </w:r>
      <w:r w:rsidRPr="005D4FE8">
        <w:rPr>
          <w:b/>
          <w:bCs/>
          <w:color w:val="000000" w:themeColor="text1"/>
        </w:rPr>
        <w:t>(KPO)</w:t>
      </w:r>
      <w:r w:rsidRPr="005D4FE8">
        <w:rPr>
          <w:color w:val="000000" w:themeColor="text1"/>
        </w:rPr>
        <w:t xml:space="preserve"> </w:t>
      </w:r>
      <w:r w:rsidRPr="0083787C">
        <w:t>jest dokumentem programowym</w:t>
      </w:r>
      <w:r>
        <w:t xml:space="preserve">, który definiuje </w:t>
      </w:r>
      <w:r w:rsidRPr="0083787C">
        <w:t xml:space="preserve">cele związane z odbudową i tworzeniem odporności społeczno-gospodarczej Polski po kryzysie wywołanym pandemią COVID-19 </w:t>
      </w:r>
      <w:r>
        <w:t xml:space="preserve">oraz działania </w:t>
      </w:r>
      <w:r w:rsidRPr="0083787C">
        <w:t>służące realizacji reform strukturaln</w:t>
      </w:r>
      <w:r>
        <w:t>ych</w:t>
      </w:r>
      <w:r w:rsidRPr="0083787C">
        <w:t xml:space="preserve"> i inwestycj</w:t>
      </w:r>
      <w:r>
        <w:t>i. W ramach jego wsparcia przewidziano takie obszary jak : odporność i konkurencyjność gospodarki, zielona energia i zmniejszenie energochłonności, transformacja cyfrowa, e</w:t>
      </w:r>
      <w:r w:rsidRPr="0083787C">
        <w:t>fektywność, dostępność i jakość systemu ochrony zdrowia</w:t>
      </w:r>
      <w:r>
        <w:t xml:space="preserve">, </w:t>
      </w:r>
      <w:r w:rsidRPr="0083787C">
        <w:t>zielona, inteligentna mobilność</w:t>
      </w:r>
      <w:r>
        <w:t xml:space="preserve">, </w:t>
      </w:r>
      <w:r w:rsidRPr="0083787C">
        <w:t xml:space="preserve">bezpieczeństwo </w:t>
      </w:r>
      <w:r w:rsidRPr="0083787C">
        <w:lastRenderedPageBreak/>
        <w:t>energetyczne (</w:t>
      </w:r>
      <w:proofErr w:type="spellStart"/>
      <w:r>
        <w:t>REP</w:t>
      </w:r>
      <w:r w:rsidRPr="0083787C">
        <w:t>ower</w:t>
      </w:r>
      <w:r>
        <w:t>EU</w:t>
      </w:r>
      <w:proofErr w:type="spellEnd"/>
      <w:r w:rsidRPr="0083787C">
        <w:t>)</w:t>
      </w:r>
      <w:r>
        <w:t xml:space="preserve">, </w:t>
      </w:r>
      <w:r w:rsidRPr="0083787C">
        <w:t>poprawa jakości instytucji i warunków realizacji KPO</w:t>
      </w:r>
      <w:r>
        <w:t xml:space="preserve">. Środki finansowe pochodzą z </w:t>
      </w:r>
      <w:r w:rsidRPr="00204C89">
        <w:t>Instrumentu na rzecz Odbudowy i Zwiększania Odporności (RRF), który jest częścią Planu Odbudowy dla Europy</w:t>
      </w:r>
      <w:r>
        <w:t xml:space="preserve">. Reformy i inwestycje mają się zakończyć do końca sierpnia 2026. Pieniądze KPO pochodzą z Instrumentu na rzecz Odbudowy i Zwiększania Odporności (RRF), który jest częścią Planu Odbudowy dla Europy. Polska podpisała dwie umowy z Komisją Europejską na część grantową oraz pożyczkową, a spłata pożyczki ma najpóźniej nastąpić w 2058 r. </w:t>
      </w:r>
    </w:p>
    <w:p w:rsidR="003F2B0C" w:rsidRDefault="003F2B0C" w:rsidP="003F2B0C">
      <w:pPr>
        <w:spacing w:after="160"/>
      </w:pPr>
      <w:r>
        <w:t xml:space="preserve">W ramach </w:t>
      </w:r>
      <w:r w:rsidRPr="006662C1">
        <w:rPr>
          <w:b/>
          <w:bCs/>
        </w:rPr>
        <w:t>odporności i konkurencyjności gospodarki</w:t>
      </w:r>
      <w:r>
        <w:t xml:space="preserve"> przewidziano działania w zakresie:</w:t>
      </w:r>
    </w:p>
    <w:p w:rsidR="003F2B0C" w:rsidRDefault="003F2B0C" w:rsidP="003F2B0C">
      <w:pPr>
        <w:pStyle w:val="Akapitzlist"/>
        <w:numPr>
          <w:ilvl w:val="0"/>
          <w:numId w:val="22"/>
        </w:numPr>
        <w:spacing w:after="160"/>
      </w:pPr>
      <w:r>
        <w:t xml:space="preserve">planowania i zagospodarowania przestrzennego (odbiorcami wsparcia mają być mieszkańcy kraju, samorządy, planiści i urbaniści), </w:t>
      </w:r>
    </w:p>
    <w:p w:rsidR="003F2B0C" w:rsidRDefault="003F2B0C" w:rsidP="003F2B0C">
      <w:pPr>
        <w:pStyle w:val="Akapitzlist"/>
        <w:numPr>
          <w:ilvl w:val="0"/>
          <w:numId w:val="22"/>
        </w:numPr>
        <w:spacing w:after="160"/>
      </w:pPr>
      <w:r>
        <w:t xml:space="preserve">przyspieszenia robotyzacji, cyfryzacji i innowacyjności (odbiorcami wsparcia maja być duże formy i ich pracownicy), </w:t>
      </w:r>
    </w:p>
    <w:p w:rsidR="003F2B0C" w:rsidRDefault="003F2B0C" w:rsidP="003F2B0C">
      <w:pPr>
        <w:pStyle w:val="Akapitzlist"/>
        <w:numPr>
          <w:ilvl w:val="0"/>
          <w:numId w:val="22"/>
        </w:numPr>
        <w:spacing w:after="160"/>
      </w:pPr>
      <w:r>
        <w:t xml:space="preserve">stworzenia warunków dla gospodarki o obiegu zamkniętym (odbiorcami wsparcia będą przedsiębiorcy, instytuty i organizacje badawcze, administracja publiczna), </w:t>
      </w:r>
    </w:p>
    <w:p w:rsidR="003F2B0C" w:rsidRDefault="003F2B0C" w:rsidP="003F2B0C">
      <w:pPr>
        <w:pStyle w:val="Akapitzlist"/>
        <w:numPr>
          <w:ilvl w:val="0"/>
          <w:numId w:val="22"/>
        </w:numPr>
        <w:spacing w:after="160"/>
      </w:pPr>
      <w:r>
        <w:t>w</w:t>
      </w:r>
      <w:r w:rsidRPr="006662C1">
        <w:t>zmocnieni</w:t>
      </w:r>
      <w:r>
        <w:t>a</w:t>
      </w:r>
      <w:r w:rsidRPr="006662C1">
        <w:t xml:space="preserve"> współpracy między sektorem nauki oraz przemysłem</w:t>
      </w:r>
      <w:r>
        <w:t xml:space="preserve"> (odbiorcami wsparcia będą organizacje badacze, przedsiębiorcy, naukowcy, instytucje otoczenia biznesu, społeczeństwo, podmioty Systemu Wiedzy i Innowacji Rolniczych),</w:t>
      </w:r>
    </w:p>
    <w:p w:rsidR="003F2B0C" w:rsidRDefault="003F2B0C" w:rsidP="003F2B0C">
      <w:pPr>
        <w:pStyle w:val="Akapitzlist"/>
        <w:numPr>
          <w:ilvl w:val="0"/>
          <w:numId w:val="22"/>
        </w:numPr>
        <w:spacing w:after="160"/>
      </w:pPr>
      <w:r>
        <w:t>rozwoju k</w:t>
      </w:r>
      <w:r w:rsidRPr="006662C1">
        <w:t>adr dla nowoczesnej gospodarki – popraw</w:t>
      </w:r>
      <w:r>
        <w:t>y</w:t>
      </w:r>
      <w:r w:rsidRPr="006662C1">
        <w:t xml:space="preserve"> dopasowania umiejętności </w:t>
      </w:r>
      <w:r w:rsidRPr="00B968A9">
        <w:t>i</w:t>
      </w:r>
      <w:r>
        <w:t> </w:t>
      </w:r>
      <w:r w:rsidRPr="00B968A9">
        <w:t>kwalifikacji</w:t>
      </w:r>
      <w:r w:rsidRPr="006662C1">
        <w:t xml:space="preserve"> do wymogów rynku pracy w związku z wdrażaniem nowych technologii w</w:t>
      </w:r>
      <w:r>
        <w:t> </w:t>
      </w:r>
      <w:r w:rsidRPr="006662C1">
        <w:t>gospodarce oraz zieloną i cyfrową transformacją</w:t>
      </w:r>
      <w:r>
        <w:t xml:space="preserve"> (odbiorcami wsparcia będą organizacje i stowarzyszenia pracodawców, ośrodki badawczo-rozwojowe, administracja rządowa i samorządowa, pracodawcy i pracownicy, szkoły i uczelnie, uczniowie i ich rodzice, studenci);</w:t>
      </w:r>
    </w:p>
    <w:p w:rsidR="003F2B0C" w:rsidRPr="006662C1" w:rsidRDefault="003F2B0C" w:rsidP="003F2B0C">
      <w:pPr>
        <w:pStyle w:val="Akapitzlist"/>
        <w:numPr>
          <w:ilvl w:val="0"/>
          <w:numId w:val="22"/>
        </w:numPr>
        <w:spacing w:after="160"/>
      </w:pPr>
      <w:r>
        <w:t>p</w:t>
      </w:r>
      <w:r w:rsidRPr="006662C1">
        <w:t>opraw</w:t>
      </w:r>
      <w:r>
        <w:t>y</w:t>
      </w:r>
      <w:r w:rsidRPr="006662C1">
        <w:t xml:space="preserve"> sytuacji rodziców na rynku pracy poprzez zwiększenie dostępu do opieki nad dziećmi do lat 3</w:t>
      </w:r>
      <w:r>
        <w:t xml:space="preserve"> (odbiorcami będą </w:t>
      </w:r>
      <w:r w:rsidRPr="006662C1">
        <w:t>dzieci do ukończenia 3 roku życia, w tym dzieci z</w:t>
      </w:r>
      <w:r>
        <w:t> </w:t>
      </w:r>
      <w:proofErr w:type="spellStart"/>
      <w:r w:rsidRPr="006662C1">
        <w:t>niepełnosprawnościami</w:t>
      </w:r>
      <w:proofErr w:type="spellEnd"/>
      <w:r w:rsidRPr="006662C1">
        <w:t>/wymagające szczególnej opiek</w:t>
      </w:r>
      <w:r>
        <w:t xml:space="preserve">i oraz </w:t>
      </w:r>
      <w:r w:rsidRPr="006662C1">
        <w:t>rodzice i opiekunowie</w:t>
      </w:r>
      <w:r>
        <w:t>);</w:t>
      </w:r>
    </w:p>
    <w:p w:rsidR="003F2B0C" w:rsidRDefault="003F2B0C" w:rsidP="003F2B0C">
      <w:pPr>
        <w:pStyle w:val="Akapitzlist"/>
        <w:numPr>
          <w:ilvl w:val="0"/>
          <w:numId w:val="22"/>
        </w:numPr>
        <w:spacing w:after="160"/>
      </w:pPr>
      <w:r>
        <w:t xml:space="preserve">uelastyczniania form zatrudnienia, w tym wprowadzenia pracy zdalnej (odbiorcami będą </w:t>
      </w:r>
      <w:proofErr w:type="spellStart"/>
      <w:r>
        <w:t>mikroprzedsiębiorstwa</w:t>
      </w:r>
      <w:proofErr w:type="spellEnd"/>
      <w:r>
        <w:t>, małe i średnie przedsiębiorstwa, organizacje pozarządowe).</w:t>
      </w:r>
    </w:p>
    <w:p w:rsidR="003F2B0C" w:rsidRDefault="003F2B0C" w:rsidP="003F2B0C">
      <w:pPr>
        <w:spacing w:after="160"/>
      </w:pPr>
      <w:r>
        <w:t xml:space="preserve">W ramach obszaru </w:t>
      </w:r>
      <w:r w:rsidRPr="009344B9">
        <w:rPr>
          <w:b/>
          <w:bCs/>
        </w:rPr>
        <w:t>zielonej energii i zmniejszenia energochłonności</w:t>
      </w:r>
      <w:r>
        <w:rPr>
          <w:b/>
          <w:bCs/>
        </w:rPr>
        <w:t xml:space="preserve"> </w:t>
      </w:r>
      <w:r w:rsidRPr="009344B9">
        <w:t>przewidziano wsparcie w</w:t>
      </w:r>
      <w:r>
        <w:t> </w:t>
      </w:r>
      <w:r w:rsidRPr="009344B9">
        <w:t>zakresie:</w:t>
      </w:r>
    </w:p>
    <w:p w:rsidR="003F2B0C" w:rsidRDefault="003F2B0C" w:rsidP="003F2B0C">
      <w:pPr>
        <w:pStyle w:val="Akapitzlist"/>
        <w:numPr>
          <w:ilvl w:val="0"/>
          <w:numId w:val="23"/>
        </w:numPr>
        <w:spacing w:after="160"/>
      </w:pPr>
      <w:r>
        <w:t>czystego powietrza i efektywności energetycznej (odbiorcami wsparcia będą spółki wytwarzające energię cieplną właściciele lub zarządcy budynków, w tym samorządy, placówki oświatowe, biblioteki, domy kultury),</w:t>
      </w:r>
    </w:p>
    <w:p w:rsidR="003F2B0C" w:rsidRDefault="003F2B0C" w:rsidP="003F2B0C">
      <w:pPr>
        <w:pStyle w:val="Akapitzlist"/>
        <w:numPr>
          <w:ilvl w:val="0"/>
          <w:numId w:val="23"/>
        </w:numPr>
        <w:spacing w:after="160"/>
      </w:pPr>
      <w:r>
        <w:lastRenderedPageBreak/>
        <w:t>poprawy warunków dla rozwoju odnawialnych źródeł energii (odbiorcami wsparcia będą m.in. użytkownicy krajowego systemu elektroenergetycznego, podmioty chcące powołać społeczność energetyczną, producenci elementów do budowy morskich farm wiatrowych),</w:t>
      </w:r>
    </w:p>
    <w:p w:rsidR="003F2B0C" w:rsidRDefault="003F2B0C" w:rsidP="003F2B0C">
      <w:pPr>
        <w:pStyle w:val="Akapitzlist"/>
        <w:numPr>
          <w:ilvl w:val="0"/>
          <w:numId w:val="23"/>
        </w:numPr>
        <w:spacing w:after="160"/>
      </w:pPr>
      <w:r>
        <w:t>poprawy warunków rozwoju technologii wodorowych oraz innych gazów zdekarbonizowanych (odbiorcami będą przedsiębiorcy, samorządu, instytucje badawcze, firmy paliwowe, zarządcy dróg, podmioty zainteresowane wykorzystaniem technologii wodorowych),</w:t>
      </w:r>
    </w:p>
    <w:p w:rsidR="003F2B0C" w:rsidRDefault="003F2B0C" w:rsidP="003F2B0C">
      <w:pPr>
        <w:pStyle w:val="Akapitzlist"/>
        <w:numPr>
          <w:ilvl w:val="0"/>
          <w:numId w:val="23"/>
        </w:numPr>
        <w:spacing w:after="160"/>
      </w:pPr>
      <w:r>
        <w:t>wsparcia zrównoważonej gospodarki wodno-ściekowej na terenach wiejskich (odbiorcami będą samorządy i mieszkańcy obszarów wiejskich, a wykonawcami przedsiębiorstwa),</w:t>
      </w:r>
    </w:p>
    <w:p w:rsidR="003F2B0C" w:rsidRDefault="003F2B0C" w:rsidP="003F2B0C">
      <w:pPr>
        <w:pStyle w:val="Akapitzlist"/>
        <w:numPr>
          <w:ilvl w:val="0"/>
          <w:numId w:val="23"/>
        </w:numPr>
        <w:spacing w:after="160"/>
      </w:pPr>
      <w:r>
        <w:t>ułatwiania realizacji obowiązku oszczędzania energii przez przedsiębiorstwa energetyczne (odbiorcami wsparcia będą duże przedsiębiorstwa i podmioty zobowiązane do oszczędności energii),</w:t>
      </w:r>
    </w:p>
    <w:p w:rsidR="003F2B0C" w:rsidRDefault="003F2B0C" w:rsidP="003F2B0C">
      <w:pPr>
        <w:pStyle w:val="Akapitzlist"/>
        <w:numPr>
          <w:ilvl w:val="0"/>
          <w:numId w:val="23"/>
        </w:numPr>
        <w:spacing w:after="160"/>
      </w:pPr>
      <w:r>
        <w:t>inwestycji w zwiększanie potencjału zrównoważonej gospodarki wodnej w obszarach wiejskich (odbiorcami będą mieszkańcy obszarów wiejskich, oraz podmioty społeczne, gospodarcze i organizacje pozarządowe spoza administracji publicznej),</w:t>
      </w:r>
    </w:p>
    <w:p w:rsidR="003F2B0C" w:rsidRDefault="003F2B0C" w:rsidP="003F2B0C">
      <w:pPr>
        <w:pStyle w:val="Akapitzlist"/>
        <w:numPr>
          <w:ilvl w:val="0"/>
          <w:numId w:val="23"/>
        </w:numPr>
        <w:spacing w:after="160"/>
      </w:pPr>
      <w:r>
        <w:t>kompleksowej zielonej transformacji miast (odbiorcami wsparcia będą samorządy – miasta i obszary funkcjonalne, przedsiębiorcy, jednostki naukowo-badawcze, wspólnoty mieszkaniowe, spółdzielnie mieszkaniowe, organizacje społeczne, pozarządowe i gospodarcze, instytucje kultury i szkoły wyższe),</w:t>
      </w:r>
    </w:p>
    <w:p w:rsidR="003F2B0C" w:rsidRDefault="003F2B0C" w:rsidP="003F2B0C">
      <w:pPr>
        <w:pStyle w:val="Akapitzlist"/>
        <w:numPr>
          <w:ilvl w:val="0"/>
          <w:numId w:val="23"/>
        </w:numPr>
        <w:spacing w:after="160"/>
      </w:pPr>
      <w:r>
        <w:t>budowy mieszkań przeznaczonych dla gospodarstw domowych o niskich i umiarkowanych dochodach z uwzględnieniem efektywności energetycznej (odbiorcami będą samorządy społeczne, inicjatywy mieszkaniowe, towarzystwa budownictwa społecznego).</w:t>
      </w:r>
    </w:p>
    <w:p w:rsidR="003F2B0C" w:rsidRDefault="003F2B0C" w:rsidP="003F2B0C">
      <w:pPr>
        <w:spacing w:after="160"/>
      </w:pPr>
      <w:r>
        <w:t xml:space="preserve">W zakresie </w:t>
      </w:r>
      <w:r w:rsidRPr="00D5447C">
        <w:rPr>
          <w:b/>
          <w:bCs/>
        </w:rPr>
        <w:t>transformacji cyfrowej</w:t>
      </w:r>
      <w:r>
        <w:rPr>
          <w:b/>
          <w:bCs/>
        </w:rPr>
        <w:t xml:space="preserve"> </w:t>
      </w:r>
      <w:r>
        <w:t>przewidziano działania w zakresie:</w:t>
      </w:r>
    </w:p>
    <w:p w:rsidR="003F2B0C" w:rsidRDefault="003F2B0C" w:rsidP="003F2B0C">
      <w:pPr>
        <w:pStyle w:val="Akapitzlist"/>
        <w:numPr>
          <w:ilvl w:val="0"/>
          <w:numId w:val="24"/>
        </w:numPr>
        <w:spacing w:after="160"/>
      </w:pPr>
      <w:r>
        <w:t>zapewnienia dostępu do bardzo szybkiego Internetu na obszarach białych plam (beneficjentami wsparcia będą firmy telekomunikacyjne, samorządu, uczelnie, gospodarstwa domowe, instytucje prowadzące szkoły i placówki oświatowe),</w:t>
      </w:r>
    </w:p>
    <w:p w:rsidR="003F2B0C" w:rsidRDefault="003F2B0C" w:rsidP="003F2B0C">
      <w:pPr>
        <w:pStyle w:val="Akapitzlist"/>
        <w:numPr>
          <w:ilvl w:val="0"/>
          <w:numId w:val="24"/>
        </w:numPr>
        <w:spacing w:after="160"/>
      </w:pPr>
      <w:proofErr w:type="spellStart"/>
      <w:r>
        <w:t>c</w:t>
      </w:r>
      <w:r w:rsidRPr="00487EB6">
        <w:t>yberbezpieczeństw</w:t>
      </w:r>
      <w:r>
        <w:t>a</w:t>
      </w:r>
      <w:proofErr w:type="spellEnd"/>
      <w:r w:rsidRPr="00487EB6">
        <w:t xml:space="preserve"> – </w:t>
      </w:r>
      <w:proofErr w:type="spellStart"/>
      <w:r w:rsidRPr="00487EB6">
        <w:t>CyberPL</w:t>
      </w:r>
      <w:proofErr w:type="spellEnd"/>
      <w:r w:rsidRPr="00487EB6">
        <w:t>, infrastruktur</w:t>
      </w:r>
      <w:r>
        <w:t>y</w:t>
      </w:r>
      <w:r w:rsidRPr="00487EB6">
        <w:t xml:space="preserve"> przetwarzania danych i dostarczania usług cyfrowych oraz optymalizacj</w:t>
      </w:r>
      <w:r>
        <w:t>i</w:t>
      </w:r>
      <w:r w:rsidRPr="00487EB6">
        <w:t xml:space="preserve"> infrastruktury służb państwowych odpowiedzialnych za bezpieczeństwo</w:t>
      </w:r>
      <w:r>
        <w:t xml:space="preserve"> (odbiorcami wsparcia będą administracja publiczna, operatorzy usług kluczowych, dostawcy usług cyfrowych, firmy, służby mundurowe),</w:t>
      </w:r>
    </w:p>
    <w:p w:rsidR="003F2B0C" w:rsidRDefault="003F2B0C" w:rsidP="003F2B0C">
      <w:pPr>
        <w:pStyle w:val="Akapitzlist"/>
        <w:numPr>
          <w:ilvl w:val="0"/>
          <w:numId w:val="24"/>
        </w:numPr>
        <w:spacing w:after="160"/>
      </w:pPr>
      <w:r>
        <w:t>w</w:t>
      </w:r>
      <w:r w:rsidRPr="00487EB6">
        <w:t>yposażeni</w:t>
      </w:r>
      <w:r>
        <w:t>a</w:t>
      </w:r>
      <w:r w:rsidRPr="00487EB6">
        <w:t xml:space="preserve"> szkół/instytucji w odpowiednie urządzenia i infrastrukturę ICT w celu poprawy ogólnej wydajności systemów edukacji</w:t>
      </w:r>
      <w:r>
        <w:t xml:space="preserve"> (odbiorcami będą instytucje prowadzące szkoły i placówki oświatowe, komisje egzaminacyjne),</w:t>
      </w:r>
    </w:p>
    <w:p w:rsidR="003F2B0C" w:rsidRDefault="003F2B0C" w:rsidP="003F2B0C">
      <w:pPr>
        <w:pStyle w:val="Akapitzlist"/>
        <w:numPr>
          <w:ilvl w:val="0"/>
          <w:numId w:val="24"/>
        </w:numPr>
        <w:spacing w:after="160"/>
      </w:pPr>
      <w:r>
        <w:lastRenderedPageBreak/>
        <w:t>e</w:t>
      </w:r>
      <w:r w:rsidRPr="00487EB6">
        <w:t>-usług publiczn</w:t>
      </w:r>
      <w:r>
        <w:t>ych</w:t>
      </w:r>
      <w:r w:rsidRPr="00487EB6">
        <w:t>, rozwiąza</w:t>
      </w:r>
      <w:r>
        <w:t>ń</w:t>
      </w:r>
      <w:r w:rsidRPr="00487EB6">
        <w:t xml:space="preserve"> IT usprawniając</w:t>
      </w:r>
      <w:r>
        <w:t>ych</w:t>
      </w:r>
      <w:r w:rsidRPr="00487EB6">
        <w:t xml:space="preserve"> funkcjonowanie administracji i</w:t>
      </w:r>
      <w:r>
        <w:t> </w:t>
      </w:r>
      <w:r w:rsidRPr="00487EB6">
        <w:t>sektorów gospodarki</w:t>
      </w:r>
      <w:r>
        <w:t xml:space="preserve"> (odbiorcami będą samorządy i administracja publiczna, uczelnie, inwestorzy, firmy, organizacje społeczne, rolnicy, wszyscy podatnicy, społeczeństwo),</w:t>
      </w:r>
    </w:p>
    <w:p w:rsidR="003F2B0C" w:rsidRDefault="003F2B0C" w:rsidP="003F2B0C">
      <w:pPr>
        <w:pStyle w:val="Akapitzlist"/>
        <w:numPr>
          <w:ilvl w:val="0"/>
          <w:numId w:val="24"/>
        </w:numPr>
        <w:spacing w:after="160"/>
      </w:pPr>
      <w:r>
        <w:t>w</w:t>
      </w:r>
      <w:r w:rsidRPr="00487EB6">
        <w:t>yrównani</w:t>
      </w:r>
      <w:r>
        <w:t>a</w:t>
      </w:r>
      <w:r w:rsidRPr="00487EB6">
        <w:t xml:space="preserve"> poziomu wyposażenia szkół w przenośne urządzenia multimedialne</w:t>
      </w:r>
      <w:r>
        <w:t xml:space="preserve"> (odbiorcami będą </w:t>
      </w:r>
      <w:r w:rsidRPr="00487EB6">
        <w:t>uczniowie i nauczyciele szkół podstawowych i ponadpodstawowych, prowadzących kształcenie zawodowe</w:t>
      </w:r>
      <w:r>
        <w:t>).</w:t>
      </w:r>
    </w:p>
    <w:p w:rsidR="003F2B0C" w:rsidRDefault="003F2B0C" w:rsidP="003F2B0C">
      <w:pPr>
        <w:spacing w:after="160"/>
      </w:pPr>
      <w:r>
        <w:t xml:space="preserve">W zakresie </w:t>
      </w:r>
      <w:r w:rsidRPr="00487EB6">
        <w:rPr>
          <w:b/>
          <w:bCs/>
        </w:rPr>
        <w:t>efektywności, dostępności i jakości systemu ochrony zdrowia</w:t>
      </w:r>
      <w:r>
        <w:t xml:space="preserve"> przewidziano działania w zakresie:</w:t>
      </w:r>
    </w:p>
    <w:p w:rsidR="003F2B0C" w:rsidRDefault="003F2B0C" w:rsidP="003F2B0C">
      <w:pPr>
        <w:pStyle w:val="Akapitzlist"/>
        <w:numPr>
          <w:ilvl w:val="0"/>
          <w:numId w:val="25"/>
        </w:numPr>
        <w:spacing w:after="160"/>
      </w:pPr>
      <w:r>
        <w:t>z</w:t>
      </w:r>
      <w:r w:rsidRPr="00487EB6">
        <w:t>większeni</w:t>
      </w:r>
      <w:r>
        <w:t>a</w:t>
      </w:r>
      <w:r w:rsidRPr="00487EB6">
        <w:t xml:space="preserve"> efektywności, dostępności i jakości świadczeń zdrowotnych</w:t>
      </w:r>
      <w:r>
        <w:t xml:space="preserve"> (centra opieki wysokospecjalistycznej, regionalne podmioty lecznicze (np. szpitale powiatowe), personel medyczny, pacjenci),</w:t>
      </w:r>
    </w:p>
    <w:p w:rsidR="003F2B0C" w:rsidRDefault="003F2B0C" w:rsidP="003F2B0C">
      <w:pPr>
        <w:pStyle w:val="Akapitzlist"/>
        <w:numPr>
          <w:ilvl w:val="0"/>
          <w:numId w:val="25"/>
        </w:numPr>
        <w:spacing w:after="160"/>
      </w:pPr>
      <w:r>
        <w:t>s</w:t>
      </w:r>
      <w:r w:rsidRPr="00487EB6">
        <w:t>tworzeni</w:t>
      </w:r>
      <w:r>
        <w:t>a</w:t>
      </w:r>
      <w:r w:rsidRPr="00487EB6">
        <w:t xml:space="preserve"> odpowiednich warunków dla zwiększenia liczebności kadry medycznej</w:t>
      </w:r>
      <w:r>
        <w:t xml:space="preserve"> (odbiorcami będą uczelnie medyczne kształcące na kierunkach ratownictwa, położnictwa, pielęgniarstwa),</w:t>
      </w:r>
    </w:p>
    <w:p w:rsidR="003F2B0C" w:rsidRDefault="003F2B0C" w:rsidP="003F2B0C">
      <w:pPr>
        <w:pStyle w:val="Akapitzlist"/>
        <w:numPr>
          <w:ilvl w:val="0"/>
          <w:numId w:val="25"/>
        </w:numPr>
        <w:spacing w:after="160"/>
      </w:pPr>
      <w:r>
        <w:t>s</w:t>
      </w:r>
      <w:r w:rsidRPr="00FA62E1">
        <w:t>tworzeni</w:t>
      </w:r>
      <w:r>
        <w:t>a</w:t>
      </w:r>
      <w:r w:rsidRPr="00FA62E1">
        <w:t xml:space="preserve"> sprzyjających warunków do rozwoju sektora leków i wyrobów medycznych</w:t>
      </w:r>
      <w:r>
        <w:t xml:space="preserve"> (beneficjentami będą przedsiębiorcy z branży farmaceutycznej i pacjenci).</w:t>
      </w:r>
    </w:p>
    <w:p w:rsidR="003F2B0C" w:rsidRDefault="003F2B0C" w:rsidP="003F2B0C">
      <w:pPr>
        <w:rPr>
          <w:b/>
          <w:bCs/>
        </w:rPr>
      </w:pPr>
      <w:r w:rsidRPr="00FA62E1">
        <w:t xml:space="preserve">W zakresie </w:t>
      </w:r>
      <w:r w:rsidRPr="00FA62E1">
        <w:rPr>
          <w:b/>
          <w:bCs/>
        </w:rPr>
        <w:t>zielonej, inteligentnej mobilności</w:t>
      </w:r>
      <w:r>
        <w:rPr>
          <w:b/>
          <w:bCs/>
        </w:rPr>
        <w:t xml:space="preserve"> </w:t>
      </w:r>
      <w:r w:rsidRPr="00FA62E1">
        <w:t>przewidziano działania w zakresie:</w:t>
      </w:r>
    </w:p>
    <w:p w:rsidR="003F2B0C" w:rsidRDefault="003F2B0C" w:rsidP="003F2B0C">
      <w:pPr>
        <w:pStyle w:val="Akapitzlist"/>
        <w:numPr>
          <w:ilvl w:val="0"/>
          <w:numId w:val="26"/>
        </w:numPr>
      </w:pPr>
      <w:r>
        <w:t xml:space="preserve">wzrostu wykorzystania transportu przyjaznego dla środowiska (odbiorcami będą samorządy, producenci i użytkownicy pojazdów ekologicznych, wykonawcy projektów, lokalni </w:t>
      </w:r>
      <w:proofErr w:type="spellStart"/>
      <w:r>
        <w:t>interesariusze</w:t>
      </w:r>
      <w:proofErr w:type="spellEnd"/>
      <w:r>
        <w:t>),</w:t>
      </w:r>
    </w:p>
    <w:p w:rsidR="003F2B0C" w:rsidRDefault="003F2B0C" w:rsidP="003F2B0C">
      <w:pPr>
        <w:pStyle w:val="Akapitzlist"/>
        <w:numPr>
          <w:ilvl w:val="0"/>
          <w:numId w:val="26"/>
        </w:numPr>
      </w:pPr>
      <w:r>
        <w:t>zwiększenia konkurencyjności sektora kolejowego (beneficjentami będą użytkownicy infrastruktury kolejowej, w tym przewoźnicy na szczeblu krajowym i regionalnym, podmioty działające w sektorze transportu intermodalnego);</w:t>
      </w:r>
    </w:p>
    <w:p w:rsidR="003F2B0C" w:rsidRDefault="003F2B0C" w:rsidP="003F2B0C">
      <w:pPr>
        <w:pStyle w:val="Akapitzlist"/>
        <w:numPr>
          <w:ilvl w:val="0"/>
          <w:numId w:val="26"/>
        </w:numPr>
      </w:pPr>
      <w:r>
        <w:t>zwiększenia bezpieczeństwa transportu (odbiorcami będą zarządcy dróg i służb kontrolnych, przewoźnicy kolejowi, użytkownicy infrastruktury drogowej, zarządcy infrastruktury kolejowej, użytkownicy dróg i infrastruktury kolejowe).</w:t>
      </w:r>
    </w:p>
    <w:p w:rsidR="003F2B0C" w:rsidRDefault="003F2B0C" w:rsidP="003F2B0C">
      <w:r>
        <w:t xml:space="preserve">W zakresie </w:t>
      </w:r>
      <w:r w:rsidRPr="00FA62E1">
        <w:rPr>
          <w:b/>
          <w:bCs/>
        </w:rPr>
        <w:t>bezpieczeństwa energetycznego (</w:t>
      </w:r>
      <w:proofErr w:type="spellStart"/>
      <w:r w:rsidRPr="00FA62E1">
        <w:rPr>
          <w:b/>
          <w:bCs/>
        </w:rPr>
        <w:t>REPowerEU</w:t>
      </w:r>
      <w:proofErr w:type="spellEnd"/>
      <w:r w:rsidRPr="00FA62E1">
        <w:rPr>
          <w:b/>
          <w:bCs/>
        </w:rPr>
        <w:t>)</w:t>
      </w:r>
      <w:r>
        <w:rPr>
          <w:b/>
          <w:bCs/>
        </w:rPr>
        <w:t xml:space="preserve"> </w:t>
      </w:r>
      <w:r w:rsidRPr="00FA62E1">
        <w:t>przewidziano działania wspierające uniezależnienie Europy od rosyjskich paliw kopalnych oraz wzmocnienia i przyśpieszenia transformacji energetycznej w Unii europejskiej</w:t>
      </w:r>
      <w:r>
        <w:t xml:space="preserve"> w tym:</w:t>
      </w:r>
    </w:p>
    <w:p w:rsidR="003F2B0C" w:rsidRDefault="003F2B0C" w:rsidP="003F2B0C">
      <w:pPr>
        <w:pStyle w:val="Akapitzlist"/>
        <w:numPr>
          <w:ilvl w:val="0"/>
          <w:numId w:val="27"/>
        </w:numPr>
      </w:pPr>
      <w:r>
        <w:t>ułatwianie rozwoju Odnawialnych Źródeł Energii;</w:t>
      </w:r>
    </w:p>
    <w:p w:rsidR="003F2B0C" w:rsidRDefault="003F2B0C" w:rsidP="003F2B0C">
      <w:pPr>
        <w:pStyle w:val="Akapitzlist"/>
        <w:numPr>
          <w:ilvl w:val="0"/>
          <w:numId w:val="27"/>
        </w:numPr>
      </w:pPr>
      <w:r>
        <w:t>inwestycje w rozwój sieci przesyłowych;</w:t>
      </w:r>
    </w:p>
    <w:p w:rsidR="003F2B0C" w:rsidRDefault="003F2B0C" w:rsidP="003F2B0C">
      <w:pPr>
        <w:pStyle w:val="Akapitzlist"/>
        <w:numPr>
          <w:ilvl w:val="0"/>
          <w:numId w:val="27"/>
        </w:numPr>
      </w:pPr>
      <w:r>
        <w:t>inwestycje w rozwój magazynów energii;</w:t>
      </w:r>
    </w:p>
    <w:p w:rsidR="003F2B0C" w:rsidRDefault="003F2B0C" w:rsidP="003F2B0C">
      <w:pPr>
        <w:pStyle w:val="Akapitzlist"/>
        <w:numPr>
          <w:ilvl w:val="0"/>
          <w:numId w:val="27"/>
        </w:numPr>
      </w:pPr>
      <w:r>
        <w:lastRenderedPageBreak/>
        <w:t>budowę lub modernizację sieci dystrybucyjnych na obszarach wiejskich.</w:t>
      </w:r>
    </w:p>
    <w:p w:rsidR="003F2B0C" w:rsidRDefault="003F2B0C" w:rsidP="003F2B0C">
      <w:pPr>
        <w:rPr>
          <w:b/>
          <w:bCs/>
        </w:rPr>
      </w:pPr>
      <w:r w:rsidRPr="006F4FD2">
        <w:rPr>
          <w:b/>
          <w:bCs/>
        </w:rPr>
        <w:t>KPO</w:t>
      </w:r>
      <w:r>
        <w:t xml:space="preserve"> przewiduje również wsparcie finansowe dla podmiotów realizujących działania objęte wsparciem w celu </w:t>
      </w:r>
      <w:r w:rsidRPr="00193D50">
        <w:rPr>
          <w:b/>
          <w:bCs/>
        </w:rPr>
        <w:t>poprawy jakości instytucji i warunków realizacji Krajowego Planu Odbudowy i Zwiększania Odporności</w:t>
      </w:r>
      <w:r>
        <w:rPr>
          <w:b/>
          <w:bCs/>
        </w:rPr>
        <w:t xml:space="preserve">. </w:t>
      </w:r>
      <w:r w:rsidRPr="00193D50">
        <w:t>Działania mają zwiększyć rolę konsultacji społecznych i</w:t>
      </w:r>
      <w:r>
        <w:t> </w:t>
      </w:r>
      <w:r w:rsidRPr="00193D50">
        <w:t>publicznych oraz poprawić warunki do przeprowadzania inwestycji.</w:t>
      </w:r>
      <w:r>
        <w:rPr>
          <w:b/>
          <w:bCs/>
        </w:rPr>
        <w:t xml:space="preserve"> </w:t>
      </w:r>
    </w:p>
    <w:p w:rsidR="003F2B0C" w:rsidRDefault="003F2B0C" w:rsidP="003F2B0C">
      <w:pPr>
        <w:rPr>
          <w:b/>
          <w:bCs/>
        </w:rPr>
      </w:pPr>
      <w:r>
        <w:rPr>
          <w:b/>
          <w:bCs/>
        </w:rPr>
        <w:t>Środki dedykowane gminom i administracji są aktualnie dystrybuowane w ramach naborów w obszarach :</w:t>
      </w:r>
    </w:p>
    <w:p w:rsidR="003F2B0C" w:rsidRPr="00DB107B" w:rsidRDefault="003F2B0C" w:rsidP="003F2B0C">
      <w:pPr>
        <w:pStyle w:val="Akapitzlist"/>
        <w:numPr>
          <w:ilvl w:val="0"/>
          <w:numId w:val="38"/>
        </w:numPr>
      </w:pPr>
      <w:r w:rsidRPr="00DB107B">
        <w:t>Reforma planowania przestrzennego (wsparcie bezzwrotne)</w:t>
      </w:r>
    </w:p>
    <w:p w:rsidR="003F2B0C" w:rsidRPr="00DB107B" w:rsidRDefault="003F2B0C" w:rsidP="003F2B0C">
      <w:pPr>
        <w:pStyle w:val="Akapitzlist"/>
        <w:numPr>
          <w:ilvl w:val="0"/>
          <w:numId w:val="38"/>
        </w:numPr>
      </w:pPr>
      <w:r w:rsidRPr="00DB107B">
        <w:t xml:space="preserve">Zielona transformacja miast (pożyczka) </w:t>
      </w:r>
    </w:p>
    <w:p w:rsidR="003F2B0C" w:rsidRPr="00DB107B" w:rsidRDefault="003F2B0C" w:rsidP="003F2B0C">
      <w:pPr>
        <w:pStyle w:val="Akapitzlist"/>
        <w:numPr>
          <w:ilvl w:val="0"/>
          <w:numId w:val="38"/>
        </w:numPr>
      </w:pPr>
      <w:proofErr w:type="spellStart"/>
      <w:r w:rsidRPr="00DB107B">
        <w:t>Cyberbezpieczeństwo</w:t>
      </w:r>
      <w:proofErr w:type="spellEnd"/>
      <w:r w:rsidRPr="00DB107B">
        <w:t xml:space="preserve"> (wsparcie bezzwrotne)</w:t>
      </w:r>
    </w:p>
    <w:p w:rsidR="003F2B0C" w:rsidRPr="00DB107B" w:rsidRDefault="003F2B0C" w:rsidP="003F2B0C">
      <w:pPr>
        <w:pStyle w:val="Akapitzlist"/>
        <w:numPr>
          <w:ilvl w:val="0"/>
          <w:numId w:val="38"/>
        </w:numPr>
      </w:pPr>
      <w:r w:rsidRPr="00DB107B">
        <w:t>Energooszczędne budownictwo mieszkaniowe (pożyczka)</w:t>
      </w:r>
    </w:p>
    <w:p w:rsidR="003F2B0C" w:rsidRPr="00DB107B" w:rsidRDefault="003F2B0C" w:rsidP="003F2B0C">
      <w:pPr>
        <w:pStyle w:val="Akapitzlist"/>
        <w:numPr>
          <w:ilvl w:val="0"/>
          <w:numId w:val="38"/>
        </w:numPr>
      </w:pPr>
      <w:r w:rsidRPr="00DB107B">
        <w:t>E-kompetencje (wsparcie bezzwrotne)</w:t>
      </w:r>
    </w:p>
    <w:p w:rsidR="003F2B0C" w:rsidRPr="00DB107B" w:rsidRDefault="003F2B0C" w:rsidP="003F2B0C">
      <w:pPr>
        <w:rPr>
          <w:b/>
          <w:bCs/>
        </w:rPr>
      </w:pPr>
      <w:r>
        <w:rPr>
          <w:b/>
          <w:bCs/>
        </w:rPr>
        <w:t>Planowane są również nabory w obszarach:</w:t>
      </w:r>
    </w:p>
    <w:p w:rsidR="003F2B0C" w:rsidRPr="00DB107B" w:rsidRDefault="003F2B0C" w:rsidP="003F2B0C">
      <w:pPr>
        <w:pStyle w:val="Akapitzlist"/>
        <w:numPr>
          <w:ilvl w:val="0"/>
          <w:numId w:val="38"/>
        </w:numPr>
      </w:pPr>
      <w:r w:rsidRPr="00DB107B">
        <w:t>Modernizacja infrastruktury centrów opieki zdrowotnej (wsparcie bezzwrotne)</w:t>
      </w:r>
    </w:p>
    <w:p w:rsidR="003F2B0C" w:rsidRPr="00DB107B" w:rsidRDefault="003F2B0C" w:rsidP="003F2B0C">
      <w:pPr>
        <w:pStyle w:val="Akapitzlist"/>
        <w:numPr>
          <w:ilvl w:val="0"/>
          <w:numId w:val="38"/>
        </w:numPr>
      </w:pPr>
      <w:r w:rsidRPr="00DB107B">
        <w:t xml:space="preserve">Inwestycje w </w:t>
      </w:r>
      <w:r>
        <w:t>ź</w:t>
      </w:r>
      <w:r w:rsidRPr="00DB107B">
        <w:t>ródła ciepła (wsparcie bezzwrotne)</w:t>
      </w:r>
    </w:p>
    <w:p w:rsidR="003F2B0C" w:rsidRPr="00DB107B" w:rsidRDefault="003F2B0C" w:rsidP="003F2B0C">
      <w:pPr>
        <w:pStyle w:val="Akapitzlist"/>
        <w:numPr>
          <w:ilvl w:val="0"/>
          <w:numId w:val="38"/>
        </w:numPr>
      </w:pPr>
      <w:r w:rsidRPr="00DB107B">
        <w:t>Transformacja cyfrowa ochrony zdrowia (wsparcie bezzwrotne)</w:t>
      </w:r>
    </w:p>
    <w:p w:rsidR="003F2B0C" w:rsidRPr="00FA62E1" w:rsidRDefault="003F2B0C" w:rsidP="003F2B0C">
      <w:pPr>
        <w:pStyle w:val="Akapitzlist"/>
        <w:numPr>
          <w:ilvl w:val="0"/>
          <w:numId w:val="38"/>
        </w:numPr>
      </w:pPr>
      <w:r w:rsidRPr="00DB107B">
        <w:t>Gospodarka wodna na obszarach wiejskich (pożyczka)</w:t>
      </w:r>
    </w:p>
    <w:p w:rsidR="003F2B0C" w:rsidRPr="005B3003" w:rsidRDefault="003F2B0C" w:rsidP="003F2B0C">
      <w:pPr>
        <w:spacing w:after="160"/>
        <w:rPr>
          <w:b/>
          <w:bCs/>
          <w:color w:val="FFC000"/>
        </w:rPr>
      </w:pPr>
      <w:r w:rsidRPr="005B3003">
        <w:rPr>
          <w:b/>
          <w:bCs/>
          <w:color w:val="FFC000"/>
        </w:rPr>
        <w:t xml:space="preserve">Program Fundusze Europejskie na Infrastrukturę, Klimat, Środowisko 2021-2027 </w:t>
      </w:r>
      <w:proofErr w:type="spellStart"/>
      <w:r w:rsidRPr="005B3003">
        <w:rPr>
          <w:b/>
          <w:bCs/>
          <w:color w:val="FFC000"/>
        </w:rPr>
        <w:t>(FEnIK</w:t>
      </w:r>
      <w:proofErr w:type="spellEnd"/>
      <w:r w:rsidRPr="005B3003">
        <w:rPr>
          <w:b/>
          <w:bCs/>
          <w:color w:val="FFC000"/>
        </w:rPr>
        <w:t>S)</w:t>
      </w:r>
    </w:p>
    <w:p w:rsidR="003F2B0C" w:rsidRDefault="003F2B0C" w:rsidP="003F2B0C">
      <w:pPr>
        <w:pStyle w:val="Akapitzlist"/>
        <w:numPr>
          <w:ilvl w:val="0"/>
          <w:numId w:val="29"/>
        </w:numPr>
        <w:spacing w:after="160"/>
      </w:pPr>
      <w:r w:rsidRPr="00A80B8F">
        <w:rPr>
          <w:b/>
          <w:bCs/>
        </w:rPr>
        <w:t>Rozwój OZE:</w:t>
      </w:r>
      <w:r>
        <w:t xml:space="preserve"> program ma wspierać działania z zakresu budowy i przebudowy instalacji odnawialnych źródeł energii do wytwarzania energii elektrycznej oraz cieplnej, budowy i rozbudowy magazynów energii. Dofinansowanie ma być w formie pożyczek preferencyjnych (ze środków EFRR), pożyczek udzielanych na zasadach rynkowych(udzielanych przez </w:t>
      </w:r>
      <w:proofErr w:type="spellStart"/>
      <w:r w:rsidRPr="00A80B8F">
        <w:t>NFOŚiGW</w:t>
      </w:r>
      <w:proofErr w:type="spellEnd"/>
      <w:r>
        <w:t>)</w:t>
      </w:r>
      <w:r w:rsidRPr="00A80B8F">
        <w:t>,</w:t>
      </w:r>
      <w:r>
        <w:t xml:space="preserve"> oraz dotacji udzielanych zarówno ze środków EFRR jak i </w:t>
      </w:r>
      <w:proofErr w:type="spellStart"/>
      <w:r w:rsidRPr="00A80B8F">
        <w:t>NFOŚiGW</w:t>
      </w:r>
      <w:proofErr w:type="spellEnd"/>
      <w:r>
        <w:t xml:space="preserve">. Beneficjentami wsparcia </w:t>
      </w:r>
      <w:r w:rsidRPr="00AE5A01">
        <w:t>będą przedsiębiorcy, administracja publiczna oraz jednostki samorządów terytorialnych</w:t>
      </w:r>
      <w:r>
        <w:t>.</w:t>
      </w:r>
    </w:p>
    <w:p w:rsidR="003F2B0C" w:rsidRDefault="003F2B0C" w:rsidP="003F2B0C">
      <w:pPr>
        <w:pStyle w:val="Akapitzlist"/>
        <w:numPr>
          <w:ilvl w:val="0"/>
          <w:numId w:val="29"/>
        </w:numPr>
        <w:spacing w:after="160"/>
      </w:pPr>
      <w:r w:rsidRPr="000130CB">
        <w:rPr>
          <w:b/>
          <w:bCs/>
        </w:rPr>
        <w:t>Poprawa efektywności energetycznej w budynkach mieszkalnych (wraz z instalacją OZE) – budynki wielorodzinne</w:t>
      </w:r>
      <w:r>
        <w:rPr>
          <w:b/>
          <w:bCs/>
        </w:rPr>
        <w:t xml:space="preserve">: </w:t>
      </w:r>
      <w:r w:rsidRPr="000130CB">
        <w:t>celem programu jest poprawa efektywności energetycznej budynków wielorodzinnych poprzez kompleksową termomodernizację budynków, wraz z instalacją odnawialnych źródeł energii oraz magazynów energii</w:t>
      </w:r>
      <w:r>
        <w:t>. Beneficjentami p</w:t>
      </w:r>
      <w:r w:rsidRPr="000130CB">
        <w:t>rogram</w:t>
      </w:r>
      <w:r>
        <w:t xml:space="preserve">u będą spółdzielnie mieszkaniowe i spółki prawa handlowego z udziałem Skarbu Państwa, prowadzące działalność mieszkaniową, </w:t>
      </w:r>
      <w:r w:rsidRPr="000130CB">
        <w:t>dostawcy usług energetycznych</w:t>
      </w:r>
      <w:r>
        <w:t xml:space="preserve"> działający na rzecz wspólnot mieszkaniowych, oraz skarb Państwa. W ramach programu wspierane będą </w:t>
      </w:r>
      <w:r>
        <w:lastRenderedPageBreak/>
        <w:t xml:space="preserve">działania z zakresu poprawy efektywności energetycznej budynków mieszkalnych, poprzez ocieplanie obiektów, wykorzystanie technologii odzysku ciepła, przyłączanie do sieci ciepłowniczej w ograniczonym zakresie gazowej, instalację nowych niskoemisyjnych lub odnawialnych źródeł ciepła lub energii elektrycznej na potrzeby własne, w tym przydomowych magazynów energii i pomp ciepła, wymiany oświetlenia na bardziej energooszczędne, urządzeń umożliwiających indywidualne rozliczenie kosztów dostarczonego ciepła lub chłodu wyposażonych w funkcje zdalnego odczytu oraz zastosowanie systemów zarządzania energią w budynku (BMS), a także modernizację systemów wentylacji i klimatyzacji. </w:t>
      </w:r>
      <w:r w:rsidRPr="00BA4D0F">
        <w:t xml:space="preserve">Dofinansowanie ma być w formie pożyczek preferencyjnych (ze środków EFRR), pożyczek udzielanych na zasadach rynkowych(udzielanych przez </w:t>
      </w:r>
      <w:proofErr w:type="spellStart"/>
      <w:r w:rsidRPr="00BA4D0F">
        <w:t>NFOŚiGW</w:t>
      </w:r>
      <w:proofErr w:type="spellEnd"/>
      <w:r w:rsidRPr="00BA4D0F">
        <w:t xml:space="preserve">), oraz dotacji udzielanych zarówno ze środków EFRR jak i </w:t>
      </w:r>
      <w:proofErr w:type="spellStart"/>
      <w:r w:rsidRPr="00BA4D0F">
        <w:t>NFOŚiGW</w:t>
      </w:r>
      <w:proofErr w:type="spellEnd"/>
      <w:r w:rsidRPr="00BA4D0F">
        <w:t>.</w:t>
      </w:r>
    </w:p>
    <w:p w:rsidR="003F2B0C" w:rsidRDefault="003F2B0C" w:rsidP="003F2B0C">
      <w:pPr>
        <w:pStyle w:val="Akapitzlist"/>
        <w:numPr>
          <w:ilvl w:val="0"/>
          <w:numId w:val="29"/>
        </w:numPr>
      </w:pPr>
      <w:r w:rsidRPr="00BA4D0F">
        <w:rPr>
          <w:b/>
          <w:bCs/>
        </w:rPr>
        <w:t xml:space="preserve">Sieć ciepłownicza/chłodnicza efektywny system ciepłowniczy: </w:t>
      </w:r>
      <w:r w:rsidRPr="00BA4D0F">
        <w:t>celem programu jest wsparcie rozwoju efektywnych systemów ciepłowniczych i chłodniczyc</w:t>
      </w:r>
      <w:r>
        <w:t xml:space="preserve">h. </w:t>
      </w:r>
      <w:r w:rsidRPr="00BA4D0F">
        <w:t xml:space="preserve">Dofinansowanie ma być w formie pożyczek preferencyjnych (ze środków EFRR), pożyczek udzielanych na zasadach rynkowych(udzielanych przez </w:t>
      </w:r>
      <w:proofErr w:type="spellStart"/>
      <w:r w:rsidRPr="00BA4D0F">
        <w:t>NFOŚiGW</w:t>
      </w:r>
      <w:proofErr w:type="spellEnd"/>
      <w:r w:rsidRPr="00BA4D0F">
        <w:t>), oraz dotacji udzielanych</w:t>
      </w:r>
      <w:r>
        <w:t xml:space="preserve"> </w:t>
      </w:r>
      <w:r w:rsidRPr="00BA4D0F">
        <w:t>ze środków EFRR</w:t>
      </w:r>
      <w:r>
        <w:t xml:space="preserve">. Beneficjentami wsparcia, definiowanymi jako ostateczni odbiorcy wsparcia, będą: przedsiębiorcy, jednostki samorządu terytorialnego oraz działające w ich imieniu jednostki organizacyjne, podmioty świadczące usługi publiczne w ramach realizacji obowiązków własnych jednostek samorządu terytorialnego nie będące przedsiębiorcami, spółdzielnie mieszkaniowe, podmioty będące dostawcami usług energetycznych. W ramach możliwych przedsięwzięć przewidziano takie działania jak: budowa nowych odcinków sieci cieplnej wraz z przyłączami i węzłami ciepłowniczymi w celu likwidacji istniejących lokalnych źródeł ciepła opalanych paliwem stałym lub w celu podłączenia nowych odbiorców, modernizacja istniejących systemów ciepłowniczych i sieci chłodu, celem zmniejszenia strat na przesyle i dystrybucji, budowy i przebudowy komór ciepłowniczych, przepompowni wody sieciowej oraz węzłów cieplnych, budowa przyłączy do istniejących budynków i instalacji węzłów indywidualnych. </w:t>
      </w:r>
    </w:p>
    <w:p w:rsidR="003F2B0C" w:rsidRPr="00BA4D0F" w:rsidRDefault="003F2B0C" w:rsidP="003F2B0C">
      <w:pPr>
        <w:pStyle w:val="Akapitzlist"/>
        <w:numPr>
          <w:ilvl w:val="0"/>
          <w:numId w:val="29"/>
        </w:numPr>
      </w:pPr>
      <w:r w:rsidRPr="003B0336">
        <w:rPr>
          <w:b/>
          <w:bCs/>
        </w:rPr>
        <w:t>Transport Miejski:</w:t>
      </w:r>
      <w:r>
        <w:t xml:space="preserve"> </w:t>
      </w:r>
      <w:r w:rsidRPr="00BA4D0F">
        <w:t>celem programu</w:t>
      </w:r>
      <w:r>
        <w:t xml:space="preserve"> są inwestycje w infrastrukturę liniową, w tym: infrastrukturę szynowa (tramwajową, metro), systemy BRT, węzły przesiadkowe (w tym: parkingi </w:t>
      </w:r>
      <w:proofErr w:type="spellStart"/>
      <w:r>
        <w:t>P&amp;R</w:t>
      </w:r>
      <w:proofErr w:type="spellEnd"/>
      <w:r>
        <w:t xml:space="preserve"> poza centrami miast), miejskie systemy ITS, rozwiązania IT, systemy sprzedaży biletów i informacji pasażerskiej, tabor szynowy (tramwaje, metro), tabor autobusowy i trolejbusowy, Plany Zrównoważonej Mobilności Miejskiej.</w:t>
      </w:r>
    </w:p>
    <w:p w:rsidR="003F2B0C" w:rsidRDefault="003F2B0C" w:rsidP="003F2B0C">
      <w:pPr>
        <w:spacing w:after="160"/>
        <w:rPr>
          <w:b/>
          <w:bCs/>
          <w:color w:val="FFC000"/>
        </w:rPr>
      </w:pPr>
      <w:r w:rsidRPr="005B3003">
        <w:rPr>
          <w:b/>
          <w:bCs/>
          <w:color w:val="FFC000"/>
        </w:rPr>
        <w:t>Fundusze Europejskie dla Dolnego Śląska 2021- 2027</w:t>
      </w:r>
    </w:p>
    <w:p w:rsidR="003F2B0C" w:rsidRPr="008813CE" w:rsidRDefault="003F2B0C" w:rsidP="003F2B0C">
      <w:pPr>
        <w:pStyle w:val="Akapitzlist"/>
        <w:numPr>
          <w:ilvl w:val="0"/>
          <w:numId w:val="35"/>
        </w:numPr>
        <w:spacing w:after="160"/>
        <w:rPr>
          <w:b/>
          <w:bCs/>
          <w:color w:val="000000" w:themeColor="text1"/>
        </w:rPr>
      </w:pPr>
      <w:r w:rsidRPr="008813CE">
        <w:rPr>
          <w:b/>
          <w:bCs/>
          <w:color w:val="000000" w:themeColor="text1"/>
        </w:rPr>
        <w:lastRenderedPageBreak/>
        <w:t>Działanie FEDS.01.02 Innowacyjne przedsiębiorstwa</w:t>
      </w:r>
      <w:r>
        <w:rPr>
          <w:b/>
          <w:bCs/>
          <w:color w:val="000000" w:themeColor="text1"/>
        </w:rPr>
        <w:t xml:space="preserve">. </w:t>
      </w:r>
      <w:r w:rsidRPr="008813CE">
        <w:rPr>
          <w:color w:val="000000" w:themeColor="text1"/>
        </w:rPr>
        <w:t xml:space="preserve">Beneficjentami działania są duże przedsiębiorstwa, instytucje otoczenia biznesu, jednostki naukowe, jednostki samorządu terytorialnego, </w:t>
      </w:r>
      <w:proofErr w:type="spellStart"/>
      <w:r w:rsidRPr="008813CE">
        <w:rPr>
          <w:color w:val="000000" w:themeColor="text1"/>
        </w:rPr>
        <w:t>klastry</w:t>
      </w:r>
      <w:proofErr w:type="spellEnd"/>
      <w:r w:rsidRPr="008813CE">
        <w:rPr>
          <w:color w:val="000000" w:themeColor="text1"/>
        </w:rPr>
        <w:t>, MŚP, organizacje badawcze, ośrodki innowacji, uczelnie</w:t>
      </w:r>
      <w:r>
        <w:rPr>
          <w:color w:val="000000" w:themeColor="text1"/>
        </w:rPr>
        <w:t xml:space="preserve">. W ramach wsparcia będą finansowane inwestycje w środki trwałe, w infrastrukturę badawczą, tworzenie sieci kontaktów, rozwój umiejętności w inteligentnych specjalizacjach, wsparcie dla innowacyjnych </w:t>
      </w:r>
      <w:proofErr w:type="spellStart"/>
      <w:r>
        <w:rPr>
          <w:color w:val="000000" w:themeColor="text1"/>
        </w:rPr>
        <w:t>klastrów</w:t>
      </w:r>
      <w:proofErr w:type="spellEnd"/>
      <w:r>
        <w:rPr>
          <w:color w:val="000000" w:themeColor="text1"/>
        </w:rPr>
        <w:t>.</w:t>
      </w:r>
    </w:p>
    <w:p w:rsidR="003F2B0C" w:rsidRPr="008813CE" w:rsidRDefault="003F2B0C" w:rsidP="003F2B0C">
      <w:pPr>
        <w:pStyle w:val="Akapitzlist"/>
        <w:numPr>
          <w:ilvl w:val="0"/>
          <w:numId w:val="35"/>
        </w:numPr>
        <w:spacing w:after="160"/>
        <w:rPr>
          <w:color w:val="000000" w:themeColor="text1"/>
        </w:rPr>
      </w:pPr>
      <w:r w:rsidRPr="008813CE">
        <w:rPr>
          <w:b/>
          <w:bCs/>
          <w:color w:val="000000" w:themeColor="text1"/>
        </w:rPr>
        <w:t xml:space="preserve">Działanie FEDS.01.03 Cyfryzacja usług publicznych. </w:t>
      </w:r>
      <w:r w:rsidRPr="005B69D4">
        <w:rPr>
          <w:color w:val="000000" w:themeColor="text1"/>
        </w:rPr>
        <w:t>Beneficjentami wsparcia mogą być: jednostki organizacyjne działające w imieniu jednostek samorządu terytorialnego, jednostki samorządu terytorialnego, podmiot</w:t>
      </w:r>
      <w:r w:rsidRPr="008813CE">
        <w:rPr>
          <w:color w:val="000000" w:themeColor="text1"/>
        </w:rPr>
        <w:t>y świadczące usługi publiczne w ramach realizacji obowiązków własnych jednostek samorządu terytorialnego</w:t>
      </w:r>
      <w:r>
        <w:rPr>
          <w:color w:val="000000" w:themeColor="text1"/>
        </w:rPr>
        <w:t xml:space="preserve">. W ramach interwencji przewiduje się dofinansowanie projektów z zakresu rozwiązań teleinformacyjnych, usług elektronicznych, aplikacji dla administracji, rozwoju baz danych przestrzennych, digitalizacji i  cyfryzacji danych, </w:t>
      </w:r>
    </w:p>
    <w:p w:rsidR="003F2B0C" w:rsidRDefault="003F2B0C" w:rsidP="003F2B0C">
      <w:pPr>
        <w:pStyle w:val="Akapitzlist"/>
        <w:numPr>
          <w:ilvl w:val="0"/>
          <w:numId w:val="35"/>
        </w:numPr>
        <w:spacing w:after="160"/>
        <w:rPr>
          <w:color w:val="000000" w:themeColor="text1"/>
        </w:rPr>
      </w:pPr>
      <w:r w:rsidRPr="005B69D4">
        <w:rPr>
          <w:b/>
          <w:bCs/>
          <w:color w:val="000000" w:themeColor="text1"/>
        </w:rPr>
        <w:t>Działanie FEDS.01.04 Wsparcie rozwoju MŚP</w:t>
      </w:r>
      <w:r>
        <w:rPr>
          <w:b/>
          <w:bCs/>
          <w:color w:val="000000" w:themeColor="text1"/>
        </w:rPr>
        <w:t xml:space="preserve">. </w:t>
      </w:r>
      <w:r w:rsidRPr="005B69D4">
        <w:rPr>
          <w:color w:val="000000" w:themeColor="text1"/>
        </w:rPr>
        <w:t>Beneficjentami działań mogą być:  instytucje otoczenia biznesu, jednostki naukowe, jednostki samorządu terytorialnego, ośrodki innowacji, podmioty zarządzające terenami inwestycyjnymi, uczelnie</w:t>
      </w:r>
      <w:r>
        <w:rPr>
          <w:color w:val="000000" w:themeColor="text1"/>
        </w:rPr>
        <w:t>. Wsparciem objęte będą działania z zakresu rozwoju działalności MŚP, tworzenia infrastruktury biznesowej i produkcyjnej.</w:t>
      </w:r>
    </w:p>
    <w:p w:rsidR="003F2B0C" w:rsidRDefault="003F2B0C" w:rsidP="003F2B0C">
      <w:pPr>
        <w:pStyle w:val="Akapitzlist"/>
        <w:numPr>
          <w:ilvl w:val="0"/>
          <w:numId w:val="35"/>
        </w:numPr>
        <w:spacing w:after="160"/>
        <w:rPr>
          <w:b/>
          <w:bCs/>
          <w:color w:val="000000" w:themeColor="text1"/>
        </w:rPr>
      </w:pPr>
      <w:r w:rsidRPr="00F8479D">
        <w:rPr>
          <w:b/>
          <w:bCs/>
          <w:color w:val="000000" w:themeColor="text1"/>
        </w:rPr>
        <w:t>Działanie FEDS.02.01 Efektywność energetyczna w budynkach publicznych</w:t>
      </w:r>
      <w:r>
        <w:rPr>
          <w:b/>
          <w:bCs/>
          <w:color w:val="000000" w:themeColor="text1"/>
        </w:rPr>
        <w:t xml:space="preserve">. </w:t>
      </w:r>
      <w:r w:rsidRPr="00F8479D">
        <w:rPr>
          <w:color w:val="000000" w:themeColor="text1"/>
        </w:rPr>
        <w:t>Beneficjentami działań są</w:t>
      </w:r>
      <w:r>
        <w:rPr>
          <w:b/>
          <w:bCs/>
          <w:color w:val="000000" w:themeColor="text1"/>
        </w:rPr>
        <w:t xml:space="preserve"> </w:t>
      </w:r>
      <w:r w:rsidRPr="00F8479D">
        <w:rPr>
          <w:color w:val="000000" w:themeColor="text1"/>
        </w:rPr>
        <w:t>jednostki organizacyjne działające w imieniu jednostek samorządu terytorialnego, jednostki samorządu terytorialnego, lokalne grupy działania, organizacje pozarządowe, partnerstwa publiczno-prywatne, podmioty ekonomii społecznej, podmioty świadczące usługi publiczne w ramach realizacji obowiązków własnych jednostek samorządu terytorialnego</w:t>
      </w:r>
      <w:r>
        <w:rPr>
          <w:color w:val="000000" w:themeColor="text1"/>
        </w:rPr>
        <w:t>. Wsparciem objęta będzie k</w:t>
      </w:r>
      <w:r w:rsidRPr="00F8479D">
        <w:rPr>
          <w:color w:val="000000" w:themeColor="text1"/>
        </w:rPr>
        <w:t>ompleksowa modernizacja energetyczna budynków publicznych</w:t>
      </w:r>
      <w:r>
        <w:rPr>
          <w:color w:val="000000" w:themeColor="text1"/>
        </w:rPr>
        <w:t xml:space="preserve"> polegająca na wymianie źródeł ciepła, termomodernizacji. Finansowane mogą być również działania edukacyjne na rzecz zwiększania świadomości mieszkańców. </w:t>
      </w:r>
    </w:p>
    <w:p w:rsidR="003F2B0C" w:rsidRDefault="003F2B0C" w:rsidP="003F2B0C">
      <w:pPr>
        <w:pStyle w:val="Akapitzlist"/>
        <w:numPr>
          <w:ilvl w:val="0"/>
          <w:numId w:val="35"/>
        </w:numPr>
        <w:spacing w:after="160"/>
        <w:rPr>
          <w:b/>
          <w:bCs/>
          <w:color w:val="000000" w:themeColor="text1"/>
        </w:rPr>
      </w:pPr>
      <w:r w:rsidRPr="00F8479D">
        <w:rPr>
          <w:b/>
          <w:bCs/>
          <w:color w:val="000000" w:themeColor="text1"/>
        </w:rPr>
        <w:t>Działanie FEDS.02.02 Efektywność energetyczna w budynkach mieszkalnych</w:t>
      </w:r>
      <w:r>
        <w:rPr>
          <w:b/>
          <w:bCs/>
          <w:color w:val="000000" w:themeColor="text1"/>
        </w:rPr>
        <w:t xml:space="preserve">. </w:t>
      </w:r>
    </w:p>
    <w:p w:rsidR="003F2B0C" w:rsidRPr="00031A62" w:rsidRDefault="003F2B0C" w:rsidP="003F2B0C">
      <w:pPr>
        <w:pStyle w:val="Akapitzlist"/>
        <w:spacing w:after="160"/>
        <w:rPr>
          <w:color w:val="000000" w:themeColor="text1"/>
        </w:rPr>
      </w:pPr>
      <w:r>
        <w:rPr>
          <w:color w:val="000000" w:themeColor="text1"/>
        </w:rPr>
        <w:t xml:space="preserve">Beneficjentami mogą być </w:t>
      </w:r>
      <w:r w:rsidRPr="00F8479D">
        <w:rPr>
          <w:color w:val="000000" w:themeColor="text1"/>
        </w:rPr>
        <w:t xml:space="preserve">jednostki organizacyjne działające w imieniu jednostek samorządu terytorialnego, jednostki samorządu terytorialnego, organizacje pozarządowe, partnerstwa publiczno-prywatne, podmioty świadczące usługi publiczne w ramach realizacji obowiązków własnych jednostek samorządu terytorialnego, wspólnoty, spółdzielnie mieszkaniowe i </w:t>
      </w:r>
      <w:r>
        <w:rPr>
          <w:color w:val="000000" w:themeColor="text1"/>
        </w:rPr>
        <w:t>TBS. Działania objęte wsparciem muszą wpisywać się w r</w:t>
      </w:r>
      <w:r w:rsidRPr="00031A62">
        <w:rPr>
          <w:color w:val="000000" w:themeColor="text1"/>
        </w:rPr>
        <w:t>enowacj</w:t>
      </w:r>
      <w:r>
        <w:rPr>
          <w:color w:val="000000" w:themeColor="text1"/>
        </w:rPr>
        <w:t>ę</w:t>
      </w:r>
      <w:r w:rsidRPr="00031A62">
        <w:rPr>
          <w:color w:val="000000" w:themeColor="text1"/>
        </w:rPr>
        <w:t xml:space="preserve"> istniejących budynków mieszkalnych</w:t>
      </w:r>
      <w:r>
        <w:rPr>
          <w:color w:val="000000" w:themeColor="text1"/>
        </w:rPr>
        <w:t xml:space="preserve"> wielorodzinnych</w:t>
      </w:r>
      <w:r w:rsidRPr="00031A62">
        <w:rPr>
          <w:color w:val="000000" w:themeColor="text1"/>
        </w:rPr>
        <w:t xml:space="preserve"> pod kątem efektywności energetycznej,</w:t>
      </w:r>
      <w:r>
        <w:rPr>
          <w:color w:val="000000" w:themeColor="text1"/>
        </w:rPr>
        <w:t xml:space="preserve"> w tym w wymianę źródeł ciepła i termomodernizację. </w:t>
      </w:r>
    </w:p>
    <w:p w:rsidR="003F2B0C" w:rsidRDefault="003F2B0C" w:rsidP="003F2B0C">
      <w:pPr>
        <w:pStyle w:val="Akapitzlist"/>
        <w:numPr>
          <w:ilvl w:val="0"/>
          <w:numId w:val="35"/>
        </w:numPr>
        <w:spacing w:after="160"/>
        <w:rPr>
          <w:color w:val="000000" w:themeColor="text1"/>
        </w:rPr>
      </w:pPr>
      <w:r w:rsidRPr="00031A62">
        <w:rPr>
          <w:b/>
          <w:bCs/>
          <w:color w:val="000000" w:themeColor="text1"/>
        </w:rPr>
        <w:lastRenderedPageBreak/>
        <w:t>Działanie FEDS.02.04 Innowacje w OZE</w:t>
      </w:r>
      <w:r>
        <w:rPr>
          <w:b/>
          <w:bCs/>
          <w:color w:val="000000" w:themeColor="text1"/>
        </w:rPr>
        <w:t xml:space="preserve">. </w:t>
      </w:r>
      <w:r>
        <w:rPr>
          <w:color w:val="000000" w:themeColor="text1"/>
        </w:rPr>
        <w:t xml:space="preserve">Beneficjentami mogą być </w:t>
      </w:r>
      <w:r w:rsidRPr="00F8479D">
        <w:rPr>
          <w:color w:val="000000" w:themeColor="text1"/>
        </w:rPr>
        <w:t xml:space="preserve">jednostki organizacyjne działające w imieniu jednostek samorządu terytorialnego, jednostki samorządu terytorialnego, organizacje pozarządowe, partnerstwa publiczno-prywatne, podmioty świadczące usługi publiczne w ramach realizacji obowiązków własnych jednostek samorządu terytorialnego, </w:t>
      </w:r>
      <w:r>
        <w:rPr>
          <w:color w:val="000000" w:themeColor="text1"/>
        </w:rPr>
        <w:t>w</w:t>
      </w:r>
      <w:r w:rsidRPr="00031A62">
        <w:rPr>
          <w:color w:val="000000" w:themeColor="text1"/>
        </w:rPr>
        <w:t>spólnoty</w:t>
      </w:r>
      <w:r>
        <w:rPr>
          <w:color w:val="000000" w:themeColor="text1"/>
        </w:rPr>
        <w:t xml:space="preserve"> </w:t>
      </w:r>
      <w:r w:rsidRPr="00031A62">
        <w:rPr>
          <w:color w:val="000000" w:themeColor="text1"/>
        </w:rPr>
        <w:t xml:space="preserve">energetyczne, w tym </w:t>
      </w:r>
      <w:proofErr w:type="spellStart"/>
      <w:r w:rsidRPr="00031A62">
        <w:rPr>
          <w:color w:val="000000" w:themeColor="text1"/>
        </w:rPr>
        <w:t>klastry</w:t>
      </w:r>
      <w:proofErr w:type="spellEnd"/>
      <w:r w:rsidRPr="00031A62">
        <w:rPr>
          <w:color w:val="000000" w:themeColor="text1"/>
        </w:rPr>
        <w:t xml:space="preserve"> energii i</w:t>
      </w:r>
      <w:r>
        <w:rPr>
          <w:color w:val="000000" w:themeColor="text1"/>
        </w:rPr>
        <w:t> </w:t>
      </w:r>
      <w:r w:rsidRPr="00031A62">
        <w:rPr>
          <w:color w:val="000000" w:themeColor="text1"/>
        </w:rPr>
        <w:t>spółdzielnie energetyczne, Wspólnoty, spółdzielnie mieszkaniowe i</w:t>
      </w:r>
      <w:r>
        <w:rPr>
          <w:color w:val="000000" w:themeColor="text1"/>
        </w:rPr>
        <w:t xml:space="preserve"> </w:t>
      </w:r>
      <w:r w:rsidRPr="00031A62">
        <w:rPr>
          <w:color w:val="000000" w:themeColor="text1"/>
        </w:rPr>
        <w:t>TBS</w:t>
      </w:r>
      <w:r>
        <w:rPr>
          <w:color w:val="000000" w:themeColor="text1"/>
        </w:rPr>
        <w:t xml:space="preserve">. Dofinansowanie może obejmować </w:t>
      </w:r>
      <w:r w:rsidRPr="004D587B">
        <w:rPr>
          <w:color w:val="000000" w:themeColor="text1"/>
        </w:rPr>
        <w:t>inwestycje w zakresie budowy i rozbudowy instalacji wytwarzających energię elektryczną i/lub</w:t>
      </w:r>
      <w:r>
        <w:rPr>
          <w:color w:val="000000" w:themeColor="text1"/>
        </w:rPr>
        <w:t xml:space="preserve"> </w:t>
      </w:r>
      <w:r w:rsidRPr="004D587B">
        <w:rPr>
          <w:color w:val="000000" w:themeColor="text1"/>
        </w:rPr>
        <w:t>cieplną z odnawialnych źródeł energii</w:t>
      </w:r>
      <w:r>
        <w:rPr>
          <w:color w:val="000000" w:themeColor="text1"/>
        </w:rPr>
        <w:t>, budowę magazynów energii na potrzeby OZE.</w:t>
      </w:r>
    </w:p>
    <w:p w:rsidR="003F2B0C" w:rsidRPr="004D587B" w:rsidRDefault="003F2B0C" w:rsidP="003F2B0C">
      <w:pPr>
        <w:pStyle w:val="Akapitzlist"/>
        <w:numPr>
          <w:ilvl w:val="0"/>
          <w:numId w:val="35"/>
        </w:numPr>
        <w:spacing w:after="160"/>
        <w:rPr>
          <w:color w:val="000000" w:themeColor="text1"/>
        </w:rPr>
      </w:pPr>
      <w:r w:rsidRPr="004D587B">
        <w:rPr>
          <w:b/>
          <w:bCs/>
          <w:color w:val="000000" w:themeColor="text1"/>
        </w:rPr>
        <w:t xml:space="preserve">Działanie FEDS.02.06 Gospodarka ściekowa </w:t>
      </w:r>
      <w:r>
        <w:rPr>
          <w:b/>
          <w:bCs/>
          <w:color w:val="000000" w:themeColor="text1"/>
        </w:rPr>
        <w:t>–</w:t>
      </w:r>
      <w:r w:rsidRPr="004D587B">
        <w:rPr>
          <w:b/>
          <w:bCs/>
          <w:color w:val="000000" w:themeColor="text1"/>
        </w:rPr>
        <w:t xml:space="preserve"> ZIT</w:t>
      </w:r>
      <w:r>
        <w:rPr>
          <w:b/>
          <w:bCs/>
          <w:color w:val="000000" w:themeColor="text1"/>
        </w:rPr>
        <w:t xml:space="preserve"> j</w:t>
      </w:r>
      <w:r w:rsidRPr="004D587B">
        <w:rPr>
          <w:color w:val="000000" w:themeColor="text1"/>
        </w:rPr>
        <w:t>est dedykowane Zintegrowanym Inwestycjom Terytorialnym, a jego beneficjentami są jednostki samorządu terytorialnego i przedsiębiorstwa wodno-kanalizacyjne. Wsparciem objęte mogą być inwestycje ujęte w</w:t>
      </w:r>
      <w:r>
        <w:rPr>
          <w:color w:val="000000" w:themeColor="text1"/>
        </w:rPr>
        <w:t> </w:t>
      </w:r>
      <w:r w:rsidRPr="004D587B">
        <w:rPr>
          <w:color w:val="000000" w:themeColor="text1"/>
        </w:rPr>
        <w:t>Aktualizacji Krajowego Programu Oczyszczania Ścieków Komunalnych w</w:t>
      </w:r>
      <w:r>
        <w:rPr>
          <w:color w:val="000000" w:themeColor="text1"/>
        </w:rPr>
        <w:t> </w:t>
      </w:r>
      <w:r w:rsidRPr="004D587B">
        <w:rPr>
          <w:color w:val="000000" w:themeColor="text1"/>
        </w:rPr>
        <w:t>aglomeracjach na terenie Dolnego Śląska. W zakres finansowania wpisują się takie inwestycje jak budowa, rozbudowa i modernizacja zbiorczych systemów odprowadzania i</w:t>
      </w:r>
      <w:r>
        <w:rPr>
          <w:color w:val="000000" w:themeColor="text1"/>
        </w:rPr>
        <w:t> </w:t>
      </w:r>
      <w:r w:rsidRPr="004D587B">
        <w:rPr>
          <w:color w:val="000000" w:themeColor="text1"/>
        </w:rPr>
        <w:t>oczyszczania ścieków komunalnych dot. oczyszczalni ścieków komunalnych, sieci kanalizacji sanitarnej, zagospodarowania osadów ściekowych, monitoringu</w:t>
      </w:r>
      <w:r>
        <w:rPr>
          <w:color w:val="000000" w:themeColor="text1"/>
        </w:rPr>
        <w:t xml:space="preserve">. </w:t>
      </w:r>
      <w:r w:rsidRPr="004D587B">
        <w:rPr>
          <w:color w:val="000000" w:themeColor="text1"/>
        </w:rPr>
        <w:t>Podstawą realizacji projektów ZIT jest zidentyfikowanie ich w strategii terytorialnej, wcześniej</w:t>
      </w:r>
      <w:r>
        <w:rPr>
          <w:color w:val="000000" w:themeColor="text1"/>
        </w:rPr>
        <w:t xml:space="preserve"> </w:t>
      </w:r>
      <w:r w:rsidRPr="004D587B">
        <w:rPr>
          <w:color w:val="000000" w:themeColor="text1"/>
        </w:rPr>
        <w:t>pozytywnie zaopiniowanej przez IZ FEDS 2021-2027</w:t>
      </w:r>
      <w:r>
        <w:rPr>
          <w:color w:val="000000" w:themeColor="text1"/>
        </w:rPr>
        <w:t>.</w:t>
      </w:r>
    </w:p>
    <w:p w:rsidR="003F2B0C" w:rsidRPr="004D587B" w:rsidRDefault="003F2B0C" w:rsidP="003F2B0C">
      <w:pPr>
        <w:pStyle w:val="Akapitzlist"/>
        <w:numPr>
          <w:ilvl w:val="0"/>
          <w:numId w:val="35"/>
        </w:numPr>
        <w:spacing w:after="160"/>
        <w:rPr>
          <w:color w:val="000000" w:themeColor="text1"/>
        </w:rPr>
      </w:pPr>
      <w:r w:rsidRPr="004D587B">
        <w:rPr>
          <w:b/>
          <w:bCs/>
          <w:color w:val="000000" w:themeColor="text1"/>
        </w:rPr>
        <w:t>Działanie FEDS.02.07 Ochrona przyrody i klimatu</w:t>
      </w:r>
      <w:r>
        <w:rPr>
          <w:b/>
          <w:bCs/>
          <w:color w:val="000000" w:themeColor="text1"/>
        </w:rPr>
        <w:t xml:space="preserve">. </w:t>
      </w:r>
      <w:r w:rsidRPr="004D587B">
        <w:rPr>
          <w:color w:val="000000" w:themeColor="text1"/>
        </w:rPr>
        <w:t>Beneficjentami wsparcia mogą być: duże przedsiębiorstwa, jednostki naukowe, jednostki organizacyjne działające w imieniu jednostek samorządu terytorialnego, jednostki rządowe i samorządowe ochrony środowiska, jednostki samorządu terytorialnego, lasy państwowe, parki narodowe i</w:t>
      </w:r>
      <w:r>
        <w:rPr>
          <w:color w:val="000000" w:themeColor="text1"/>
        </w:rPr>
        <w:t> </w:t>
      </w:r>
      <w:r w:rsidRPr="004D587B">
        <w:rPr>
          <w:color w:val="000000" w:themeColor="text1"/>
        </w:rPr>
        <w:t>krajobrazowe, lokalne grupy działania, MŚP, organizacje pozarządowe, przedszkola i inne formy wychowania przedszkolnego, szkoły i inne placówki systemu oświaty, uczelnie</w:t>
      </w:r>
      <w:r>
        <w:rPr>
          <w:color w:val="000000" w:themeColor="text1"/>
        </w:rPr>
        <w:t>. W zakres interwencji wpisują się takie działania jak: t</w:t>
      </w:r>
      <w:r w:rsidRPr="004D587B">
        <w:rPr>
          <w:color w:val="000000" w:themeColor="text1"/>
        </w:rPr>
        <w:t>worzenie, odnowienie szlaków rowerowych</w:t>
      </w:r>
      <w:r>
        <w:rPr>
          <w:color w:val="000000" w:themeColor="text1"/>
        </w:rPr>
        <w:t>, p</w:t>
      </w:r>
      <w:r w:rsidRPr="004D587B">
        <w:rPr>
          <w:color w:val="000000" w:themeColor="text1"/>
        </w:rPr>
        <w:t xml:space="preserve">rzywracanie i wzmacnianie usług </w:t>
      </w:r>
      <w:proofErr w:type="spellStart"/>
      <w:r w:rsidRPr="004D587B">
        <w:rPr>
          <w:color w:val="000000" w:themeColor="text1"/>
        </w:rPr>
        <w:t>ekosystemowych</w:t>
      </w:r>
      <w:proofErr w:type="spellEnd"/>
      <w:r w:rsidRPr="004D587B">
        <w:rPr>
          <w:color w:val="000000" w:themeColor="text1"/>
        </w:rPr>
        <w:t xml:space="preserve"> w ramach zielonej i</w:t>
      </w:r>
      <w:r>
        <w:rPr>
          <w:color w:val="000000" w:themeColor="text1"/>
        </w:rPr>
        <w:t> </w:t>
      </w:r>
      <w:r w:rsidRPr="004D587B">
        <w:rPr>
          <w:color w:val="000000" w:themeColor="text1"/>
        </w:rPr>
        <w:t>niebieskiej</w:t>
      </w:r>
      <w:r>
        <w:rPr>
          <w:color w:val="000000" w:themeColor="text1"/>
        </w:rPr>
        <w:t xml:space="preserve"> </w:t>
      </w:r>
      <w:r w:rsidRPr="004D587B">
        <w:rPr>
          <w:color w:val="000000" w:themeColor="text1"/>
        </w:rPr>
        <w:t>infrastruktury na terenach miejskich i ich obszarach funkcjonalnych.</w:t>
      </w:r>
      <w:r w:rsidRPr="004D587B">
        <w:t xml:space="preserve"> </w:t>
      </w:r>
      <w:r w:rsidRPr="004D587B">
        <w:rPr>
          <w:color w:val="000000" w:themeColor="text1"/>
        </w:rPr>
        <w:t>Możliwe będzie finansowanie działań edukacyjnych</w:t>
      </w:r>
      <w:r>
        <w:rPr>
          <w:color w:val="000000" w:themeColor="text1"/>
        </w:rPr>
        <w:t>.</w:t>
      </w:r>
    </w:p>
    <w:p w:rsidR="003F2B0C" w:rsidRDefault="003F2B0C" w:rsidP="003F2B0C">
      <w:pPr>
        <w:pStyle w:val="Akapitzlist"/>
        <w:numPr>
          <w:ilvl w:val="0"/>
          <w:numId w:val="35"/>
        </w:numPr>
        <w:spacing w:after="160"/>
        <w:rPr>
          <w:color w:val="000000" w:themeColor="text1"/>
        </w:rPr>
      </w:pPr>
      <w:r w:rsidRPr="004D587B">
        <w:rPr>
          <w:b/>
          <w:bCs/>
          <w:color w:val="000000" w:themeColor="text1"/>
        </w:rPr>
        <w:t xml:space="preserve">Działanie FEDS.02.08 Efektywność energetyczna w budynkach publicznych </w:t>
      </w:r>
      <w:r>
        <w:rPr>
          <w:b/>
          <w:bCs/>
          <w:color w:val="000000" w:themeColor="text1"/>
        </w:rPr>
        <w:t>–</w:t>
      </w:r>
      <w:r w:rsidRPr="004D587B">
        <w:rPr>
          <w:b/>
          <w:bCs/>
          <w:color w:val="000000" w:themeColor="text1"/>
        </w:rPr>
        <w:t xml:space="preserve"> ZIT</w:t>
      </w:r>
      <w:r>
        <w:rPr>
          <w:b/>
          <w:bCs/>
          <w:color w:val="000000" w:themeColor="text1"/>
        </w:rPr>
        <w:t xml:space="preserve"> </w:t>
      </w:r>
      <w:r>
        <w:rPr>
          <w:color w:val="000000" w:themeColor="text1"/>
        </w:rPr>
        <w:t>j</w:t>
      </w:r>
      <w:r w:rsidRPr="004D587B">
        <w:rPr>
          <w:color w:val="000000" w:themeColor="text1"/>
        </w:rPr>
        <w:t>est dedykowane Zintegrowanym Inwestycjom Terytorialnym, a jego beneficjentami są jednostki organizacyjne działające w imieniu jednostek samorządu terytorialnego, jednostki samorządu</w:t>
      </w:r>
      <w:r>
        <w:rPr>
          <w:color w:val="000000" w:themeColor="text1"/>
        </w:rPr>
        <w:t xml:space="preserve"> </w:t>
      </w:r>
      <w:r w:rsidRPr="004D587B">
        <w:rPr>
          <w:color w:val="000000" w:themeColor="text1"/>
        </w:rPr>
        <w:t>terytorialnego, organizacje pozarządowe, podmioty ekonomii społecznej, podmioty świadczące usługi</w:t>
      </w:r>
      <w:r>
        <w:rPr>
          <w:color w:val="000000" w:themeColor="text1"/>
        </w:rPr>
        <w:t xml:space="preserve"> </w:t>
      </w:r>
      <w:r w:rsidRPr="004D587B">
        <w:rPr>
          <w:color w:val="000000" w:themeColor="text1"/>
        </w:rPr>
        <w:t>publiczne w ramach realizacji obowiązków własnych jednostek samorządu terytorialnego</w:t>
      </w:r>
      <w:r>
        <w:rPr>
          <w:color w:val="000000" w:themeColor="text1"/>
        </w:rPr>
        <w:t xml:space="preserve">. W ramach wsparcia przewiduje się kompleksową modernizację energetyczna </w:t>
      </w:r>
      <w:r>
        <w:rPr>
          <w:color w:val="000000" w:themeColor="text1"/>
        </w:rPr>
        <w:lastRenderedPageBreak/>
        <w:t xml:space="preserve">budynków publicznych poprzez wymianę źródeł ciepła oraz termomodernizację. </w:t>
      </w:r>
      <w:r w:rsidRPr="00F27699">
        <w:rPr>
          <w:color w:val="000000" w:themeColor="text1"/>
        </w:rPr>
        <w:t>Podstawą realizacji projektów ZIT jest zidentyfikowanie ich w strategii terytorialnej, wcześniej</w:t>
      </w:r>
      <w:r>
        <w:rPr>
          <w:color w:val="000000" w:themeColor="text1"/>
        </w:rPr>
        <w:t xml:space="preserve"> </w:t>
      </w:r>
      <w:r w:rsidRPr="00F27699">
        <w:rPr>
          <w:color w:val="000000" w:themeColor="text1"/>
        </w:rPr>
        <w:t>pozytywnie zaopiniowanej przez IZ FEDS 2021-2027</w:t>
      </w:r>
      <w:r>
        <w:rPr>
          <w:color w:val="000000" w:themeColor="text1"/>
        </w:rPr>
        <w:t>.</w:t>
      </w:r>
    </w:p>
    <w:p w:rsidR="003F2B0C" w:rsidRPr="00F27699" w:rsidRDefault="003F2B0C" w:rsidP="003F2B0C">
      <w:pPr>
        <w:pStyle w:val="Akapitzlist"/>
        <w:numPr>
          <w:ilvl w:val="0"/>
          <w:numId w:val="35"/>
        </w:numPr>
        <w:spacing w:after="160"/>
        <w:rPr>
          <w:color w:val="000000" w:themeColor="text1"/>
        </w:rPr>
      </w:pPr>
      <w:r w:rsidRPr="00F27699">
        <w:rPr>
          <w:b/>
          <w:bCs/>
          <w:color w:val="000000" w:themeColor="text1"/>
        </w:rPr>
        <w:t>Działanie FEDS.02.10 Ochrona przyrody i klimatu - ZIT</w:t>
      </w:r>
      <w:r w:rsidRPr="00F27699">
        <w:rPr>
          <w:color w:val="000000" w:themeColor="text1"/>
        </w:rPr>
        <w:t xml:space="preserve"> </w:t>
      </w:r>
      <w:r>
        <w:rPr>
          <w:color w:val="000000" w:themeColor="text1"/>
        </w:rPr>
        <w:t>j</w:t>
      </w:r>
      <w:r w:rsidRPr="004D587B">
        <w:rPr>
          <w:color w:val="000000" w:themeColor="text1"/>
        </w:rPr>
        <w:t>est dedykowane Zintegrowanym Inwestycjom Terytorialnym, a jego beneficjentami są</w:t>
      </w:r>
      <w:r w:rsidRPr="00F27699">
        <w:rPr>
          <w:color w:val="000000" w:themeColor="text1"/>
        </w:rPr>
        <w:t xml:space="preserve"> duże przedsiębiorstwa, jednostki naukowe, jednostki organizacyjne działające w imieniu jednostek samorządu terytorialnego, jednostki rządowe i samorządowe ochrony środowiska, jednostki samorządu terytorialnego, lasy państwowe, parki narodowe i krajobrazowe, lokalne grupy działania, </w:t>
      </w:r>
      <w:proofErr w:type="spellStart"/>
      <w:r w:rsidRPr="00F27699">
        <w:rPr>
          <w:color w:val="000000" w:themeColor="text1"/>
        </w:rPr>
        <w:t>mśp</w:t>
      </w:r>
      <w:proofErr w:type="spellEnd"/>
      <w:r w:rsidRPr="00F27699">
        <w:rPr>
          <w:color w:val="000000" w:themeColor="text1"/>
        </w:rPr>
        <w:t>, organizacje pozarządowe, przedszkola i inne formy wychowania przedszkolnego, szkoły i inne placówki systemu oświaty, uczelnie</w:t>
      </w:r>
      <w:r>
        <w:rPr>
          <w:color w:val="000000" w:themeColor="text1"/>
        </w:rPr>
        <w:t>. Wsparcie może być przyznane w ramach o</w:t>
      </w:r>
      <w:r w:rsidRPr="00F27699">
        <w:rPr>
          <w:color w:val="000000" w:themeColor="text1"/>
        </w:rPr>
        <w:t>chron</w:t>
      </w:r>
      <w:r>
        <w:rPr>
          <w:color w:val="000000" w:themeColor="text1"/>
        </w:rPr>
        <w:t>y</w:t>
      </w:r>
      <w:r w:rsidRPr="00F27699">
        <w:rPr>
          <w:color w:val="000000" w:themeColor="text1"/>
        </w:rPr>
        <w:t>, regeneracj</w:t>
      </w:r>
      <w:r>
        <w:rPr>
          <w:color w:val="000000" w:themeColor="text1"/>
        </w:rPr>
        <w:t>i</w:t>
      </w:r>
      <w:r w:rsidRPr="00F27699">
        <w:rPr>
          <w:color w:val="000000" w:themeColor="text1"/>
        </w:rPr>
        <w:t xml:space="preserve"> i zrównoważone</w:t>
      </w:r>
      <w:r>
        <w:rPr>
          <w:color w:val="000000" w:themeColor="text1"/>
        </w:rPr>
        <w:t>go</w:t>
      </w:r>
      <w:r w:rsidRPr="00F27699">
        <w:rPr>
          <w:color w:val="000000" w:themeColor="text1"/>
        </w:rPr>
        <w:t xml:space="preserve"> wykorzystani</w:t>
      </w:r>
      <w:r>
        <w:rPr>
          <w:color w:val="000000" w:themeColor="text1"/>
        </w:rPr>
        <w:t>a</w:t>
      </w:r>
      <w:r w:rsidRPr="00F27699">
        <w:rPr>
          <w:color w:val="000000" w:themeColor="text1"/>
        </w:rPr>
        <w:t xml:space="preserve"> obszarów Natura 2000</w:t>
      </w:r>
      <w:r>
        <w:rPr>
          <w:color w:val="000000" w:themeColor="text1"/>
        </w:rPr>
        <w:t xml:space="preserve">, ochrony </w:t>
      </w:r>
      <w:r w:rsidRPr="00F27699">
        <w:rPr>
          <w:color w:val="000000" w:themeColor="text1"/>
        </w:rPr>
        <w:t>przyrody i różnorodności biologicznej, dziedzictw</w:t>
      </w:r>
      <w:r>
        <w:rPr>
          <w:color w:val="000000" w:themeColor="text1"/>
        </w:rPr>
        <w:t>a</w:t>
      </w:r>
      <w:r w:rsidRPr="00F27699">
        <w:rPr>
          <w:color w:val="000000" w:themeColor="text1"/>
        </w:rPr>
        <w:t xml:space="preserve"> naturalne</w:t>
      </w:r>
      <w:r>
        <w:rPr>
          <w:color w:val="000000" w:themeColor="text1"/>
        </w:rPr>
        <w:t>go</w:t>
      </w:r>
      <w:r w:rsidRPr="00F27699">
        <w:rPr>
          <w:color w:val="000000" w:themeColor="text1"/>
        </w:rPr>
        <w:t xml:space="preserve"> i</w:t>
      </w:r>
      <w:r>
        <w:rPr>
          <w:color w:val="000000" w:themeColor="text1"/>
        </w:rPr>
        <w:t> </w:t>
      </w:r>
      <w:r w:rsidRPr="00F27699">
        <w:rPr>
          <w:color w:val="000000" w:themeColor="text1"/>
        </w:rPr>
        <w:t>zasob</w:t>
      </w:r>
      <w:r>
        <w:rPr>
          <w:color w:val="000000" w:themeColor="text1"/>
        </w:rPr>
        <w:t>ów</w:t>
      </w:r>
      <w:r w:rsidRPr="00F27699">
        <w:rPr>
          <w:color w:val="000000" w:themeColor="text1"/>
        </w:rPr>
        <w:t xml:space="preserve"> naturaln</w:t>
      </w:r>
      <w:r>
        <w:rPr>
          <w:color w:val="000000" w:themeColor="text1"/>
        </w:rPr>
        <w:t>ych</w:t>
      </w:r>
      <w:r w:rsidRPr="00F27699">
        <w:rPr>
          <w:color w:val="000000" w:themeColor="text1"/>
        </w:rPr>
        <w:t>, zielon</w:t>
      </w:r>
      <w:r>
        <w:rPr>
          <w:color w:val="000000" w:themeColor="text1"/>
        </w:rPr>
        <w:t>ej</w:t>
      </w:r>
      <w:r w:rsidRPr="00F27699">
        <w:rPr>
          <w:color w:val="000000" w:themeColor="text1"/>
        </w:rPr>
        <w:t xml:space="preserve"> i niebiesk</w:t>
      </w:r>
      <w:r>
        <w:rPr>
          <w:color w:val="000000" w:themeColor="text1"/>
        </w:rPr>
        <w:t xml:space="preserve">iej </w:t>
      </w:r>
      <w:r w:rsidRPr="00F27699">
        <w:rPr>
          <w:color w:val="000000" w:themeColor="text1"/>
        </w:rPr>
        <w:t>infrastruktur</w:t>
      </w:r>
      <w:r>
        <w:rPr>
          <w:color w:val="000000" w:themeColor="text1"/>
        </w:rPr>
        <w:t xml:space="preserve">y. </w:t>
      </w:r>
      <w:r w:rsidRPr="00F27699">
        <w:rPr>
          <w:color w:val="000000" w:themeColor="text1"/>
        </w:rPr>
        <w:t>Podstawą realizacji projektów ZIT jest zidentyfikowanie ich w strategii terytorialnej, wcześniej pozytywnie zaopiniowanej przez IZ FEDS 2021-2027.</w:t>
      </w:r>
    </w:p>
    <w:p w:rsidR="003F2B0C" w:rsidRDefault="003F2B0C" w:rsidP="003F2B0C">
      <w:pPr>
        <w:pStyle w:val="Akapitzlist"/>
        <w:numPr>
          <w:ilvl w:val="0"/>
          <w:numId w:val="35"/>
        </w:numPr>
        <w:spacing w:after="160"/>
        <w:rPr>
          <w:color w:val="000000" w:themeColor="text1"/>
        </w:rPr>
      </w:pPr>
      <w:r w:rsidRPr="00BA4388">
        <w:rPr>
          <w:b/>
          <w:bCs/>
          <w:color w:val="000000" w:themeColor="text1"/>
        </w:rPr>
        <w:t xml:space="preserve">Działanie FEDS.03.01 </w:t>
      </w:r>
      <w:proofErr w:type="spellStart"/>
      <w:r w:rsidRPr="00BA4388">
        <w:rPr>
          <w:b/>
          <w:bCs/>
          <w:color w:val="000000" w:themeColor="text1"/>
        </w:rPr>
        <w:t>Ekotransport</w:t>
      </w:r>
      <w:proofErr w:type="spellEnd"/>
      <w:r w:rsidRPr="00BA4388">
        <w:rPr>
          <w:b/>
          <w:bCs/>
          <w:color w:val="000000" w:themeColor="text1"/>
        </w:rPr>
        <w:t xml:space="preserve"> miejski i podmiejski – ZIT</w:t>
      </w:r>
      <w:r>
        <w:rPr>
          <w:b/>
          <w:bCs/>
          <w:color w:val="000000" w:themeColor="text1"/>
        </w:rPr>
        <w:t xml:space="preserve"> </w:t>
      </w:r>
      <w:r>
        <w:rPr>
          <w:color w:val="000000" w:themeColor="text1"/>
        </w:rPr>
        <w:t>j</w:t>
      </w:r>
      <w:r w:rsidRPr="004D587B">
        <w:rPr>
          <w:color w:val="000000" w:themeColor="text1"/>
        </w:rPr>
        <w:t>est dedykowane Zintegrowanym Inwestycjom Terytorialnym, a jego beneficjentami są</w:t>
      </w:r>
      <w:r>
        <w:rPr>
          <w:color w:val="000000" w:themeColor="text1"/>
        </w:rPr>
        <w:t xml:space="preserve"> </w:t>
      </w:r>
      <w:r w:rsidRPr="00BA4388">
        <w:rPr>
          <w:color w:val="000000" w:themeColor="text1"/>
        </w:rPr>
        <w:t>jednostki organizacyjne działające w imieniu jednostek samorządu terytorialnego, jednostki samorządu</w:t>
      </w:r>
      <w:r>
        <w:rPr>
          <w:color w:val="000000" w:themeColor="text1"/>
        </w:rPr>
        <w:t xml:space="preserve"> </w:t>
      </w:r>
      <w:r w:rsidRPr="00BA4388">
        <w:rPr>
          <w:color w:val="000000" w:themeColor="text1"/>
        </w:rPr>
        <w:t>terytorialnego, organizacje pozarządowe, organizatorzy i operatorzy publicznego transportu</w:t>
      </w:r>
      <w:r>
        <w:rPr>
          <w:color w:val="000000" w:themeColor="text1"/>
        </w:rPr>
        <w:t xml:space="preserve"> </w:t>
      </w:r>
      <w:r w:rsidRPr="00BA4388">
        <w:rPr>
          <w:color w:val="000000" w:themeColor="text1"/>
        </w:rPr>
        <w:t>zbiorowego, zarządcy dróg publicznych, zarządcy infrastruktury dworcowej</w:t>
      </w:r>
      <w:r>
        <w:rPr>
          <w:color w:val="000000" w:themeColor="text1"/>
        </w:rPr>
        <w:t xml:space="preserve">. Dofinansowanie mogą uzyskać działania z zakresu zakupu i modernizacji zero i niskoemisyjnego taboru autobusowego dla połączeń w obszarach funkcjonalnych miast, budowy infrastruktury ładowania i tankowania pojazdów </w:t>
      </w:r>
      <w:proofErr w:type="spellStart"/>
      <w:r>
        <w:rPr>
          <w:color w:val="000000" w:themeColor="text1"/>
        </w:rPr>
        <w:t>zeroemisyjnych</w:t>
      </w:r>
      <w:proofErr w:type="spellEnd"/>
      <w:r>
        <w:rPr>
          <w:color w:val="000000" w:themeColor="text1"/>
        </w:rPr>
        <w:t xml:space="preserve">, budowy i przebudowy infrastruktury transportu publicznego, budowy infrastruktury rowerowej. </w:t>
      </w:r>
      <w:r w:rsidRPr="005A03E5">
        <w:rPr>
          <w:color w:val="000000" w:themeColor="text1"/>
        </w:rPr>
        <w:t>Inwestycje objęte wsparciem muszą opierać się na odpowiednich Planach Zrównoważonej Mobilności</w:t>
      </w:r>
      <w:r>
        <w:rPr>
          <w:color w:val="000000" w:themeColor="text1"/>
        </w:rPr>
        <w:t xml:space="preserve"> </w:t>
      </w:r>
      <w:r w:rsidRPr="005A03E5">
        <w:rPr>
          <w:color w:val="000000" w:themeColor="text1"/>
        </w:rPr>
        <w:t>Miejskiej (SUMP) lub innych dokumentach planowania mobilności przyjętych na obszarze, w którym</w:t>
      </w:r>
      <w:r>
        <w:rPr>
          <w:color w:val="000000" w:themeColor="text1"/>
        </w:rPr>
        <w:t xml:space="preserve"> </w:t>
      </w:r>
      <w:r w:rsidRPr="005A03E5">
        <w:rPr>
          <w:color w:val="000000" w:themeColor="text1"/>
        </w:rPr>
        <w:t>realizowana jest inwestycja</w:t>
      </w:r>
      <w:r>
        <w:rPr>
          <w:color w:val="000000" w:themeColor="text1"/>
        </w:rPr>
        <w:t xml:space="preserve">. </w:t>
      </w:r>
    </w:p>
    <w:p w:rsidR="003F2B0C" w:rsidRDefault="003F2B0C" w:rsidP="003F2B0C">
      <w:pPr>
        <w:pStyle w:val="Akapitzlist"/>
        <w:numPr>
          <w:ilvl w:val="0"/>
          <w:numId w:val="35"/>
        </w:numPr>
        <w:spacing w:after="160"/>
        <w:rPr>
          <w:color w:val="000000" w:themeColor="text1"/>
        </w:rPr>
      </w:pPr>
      <w:r w:rsidRPr="00BF398E">
        <w:rPr>
          <w:b/>
          <w:bCs/>
          <w:color w:val="000000" w:themeColor="text1"/>
        </w:rPr>
        <w:t>Działanie FEDS.04.01 Infrastruktura drogowa i kolejowa</w:t>
      </w:r>
      <w:r>
        <w:rPr>
          <w:b/>
          <w:bCs/>
          <w:color w:val="000000" w:themeColor="text1"/>
        </w:rPr>
        <w:t xml:space="preserve">. </w:t>
      </w:r>
      <w:r w:rsidRPr="00062D3C">
        <w:rPr>
          <w:color w:val="000000" w:themeColor="text1"/>
        </w:rPr>
        <w:t xml:space="preserve">Beneficjentami są </w:t>
      </w:r>
      <w:r w:rsidRPr="00BF398E">
        <w:rPr>
          <w:color w:val="000000" w:themeColor="text1"/>
        </w:rPr>
        <w:t>jednostki organizacyjne działające w imieniu jednostek samorządu terytorialnego, jednostki samorządu</w:t>
      </w:r>
      <w:r>
        <w:rPr>
          <w:color w:val="000000" w:themeColor="text1"/>
        </w:rPr>
        <w:t xml:space="preserve"> </w:t>
      </w:r>
      <w:r w:rsidRPr="00BF398E">
        <w:rPr>
          <w:color w:val="000000" w:themeColor="text1"/>
        </w:rPr>
        <w:t>terytorialnego, organizatorzy i operatorzy publicznego transportu zbiorowego, przedsiębiorstwa</w:t>
      </w:r>
      <w:r>
        <w:rPr>
          <w:color w:val="000000" w:themeColor="text1"/>
        </w:rPr>
        <w:t xml:space="preserve"> </w:t>
      </w:r>
      <w:r w:rsidRPr="00BF398E">
        <w:rPr>
          <w:color w:val="000000" w:themeColor="text1"/>
        </w:rPr>
        <w:t>kolejowych przewozów pasażerskich, zarządcy infrastruktury kolejowej</w:t>
      </w:r>
      <w:r>
        <w:rPr>
          <w:color w:val="000000" w:themeColor="text1"/>
        </w:rPr>
        <w:t>. Finansowanie uzyskają działania z zakresu b</w:t>
      </w:r>
      <w:r w:rsidRPr="00062D3C">
        <w:rPr>
          <w:color w:val="000000" w:themeColor="text1"/>
        </w:rPr>
        <w:t>udow</w:t>
      </w:r>
      <w:r>
        <w:rPr>
          <w:color w:val="000000" w:themeColor="text1"/>
        </w:rPr>
        <w:t>y</w:t>
      </w:r>
      <w:r w:rsidRPr="00062D3C">
        <w:rPr>
          <w:color w:val="000000" w:themeColor="text1"/>
        </w:rPr>
        <w:t>, przebudow</w:t>
      </w:r>
      <w:r>
        <w:rPr>
          <w:color w:val="000000" w:themeColor="text1"/>
        </w:rPr>
        <w:t>y</w:t>
      </w:r>
      <w:r w:rsidRPr="00062D3C">
        <w:rPr>
          <w:color w:val="000000" w:themeColor="text1"/>
        </w:rPr>
        <w:t>, remont</w:t>
      </w:r>
      <w:r>
        <w:rPr>
          <w:color w:val="000000" w:themeColor="text1"/>
        </w:rPr>
        <w:t>u</w:t>
      </w:r>
      <w:r w:rsidRPr="00062D3C">
        <w:rPr>
          <w:color w:val="000000" w:themeColor="text1"/>
        </w:rPr>
        <w:t xml:space="preserve"> i modernizacj</w:t>
      </w:r>
      <w:r>
        <w:rPr>
          <w:color w:val="000000" w:themeColor="text1"/>
        </w:rPr>
        <w:t>i</w:t>
      </w:r>
      <w:r w:rsidRPr="00062D3C">
        <w:rPr>
          <w:color w:val="000000" w:themeColor="text1"/>
        </w:rPr>
        <w:t xml:space="preserve"> dróg wojewódzkich, które zapewni</w:t>
      </w:r>
      <w:r>
        <w:rPr>
          <w:color w:val="000000" w:themeColor="text1"/>
        </w:rPr>
        <w:t xml:space="preserve">ą </w:t>
      </w:r>
      <w:r w:rsidRPr="00062D3C">
        <w:rPr>
          <w:color w:val="000000" w:themeColor="text1"/>
        </w:rPr>
        <w:t xml:space="preserve">niezbędne połączenia z </w:t>
      </w:r>
      <w:proofErr w:type="spellStart"/>
      <w:r w:rsidRPr="00062D3C">
        <w:rPr>
          <w:color w:val="000000" w:themeColor="text1"/>
        </w:rPr>
        <w:t>TEN-T</w:t>
      </w:r>
      <w:proofErr w:type="spellEnd"/>
      <w:r>
        <w:rPr>
          <w:color w:val="000000" w:themeColor="text1"/>
        </w:rPr>
        <w:t xml:space="preserve"> wraz z</w:t>
      </w:r>
      <w:r w:rsidRPr="00062D3C">
        <w:rPr>
          <w:color w:val="000000" w:themeColor="text1"/>
        </w:rPr>
        <w:t xml:space="preserve"> miejscami inwestycji, centrami logistycznymi i innymi zrównoważonymi</w:t>
      </w:r>
      <w:r>
        <w:rPr>
          <w:color w:val="000000" w:themeColor="text1"/>
        </w:rPr>
        <w:t xml:space="preserve"> </w:t>
      </w:r>
      <w:r w:rsidRPr="00062D3C">
        <w:rPr>
          <w:color w:val="000000" w:themeColor="text1"/>
        </w:rPr>
        <w:t>środkami transportu, a także budow</w:t>
      </w:r>
      <w:r>
        <w:rPr>
          <w:color w:val="000000" w:themeColor="text1"/>
        </w:rPr>
        <w:t>y</w:t>
      </w:r>
      <w:r w:rsidRPr="00062D3C">
        <w:rPr>
          <w:color w:val="000000" w:themeColor="text1"/>
        </w:rPr>
        <w:t xml:space="preserve"> i przebudow</w:t>
      </w:r>
      <w:r>
        <w:rPr>
          <w:color w:val="000000" w:themeColor="text1"/>
        </w:rPr>
        <w:t>y</w:t>
      </w:r>
      <w:r w:rsidRPr="00062D3C">
        <w:rPr>
          <w:color w:val="000000" w:themeColor="text1"/>
        </w:rPr>
        <w:t xml:space="preserve"> obwodnic oraz obejść miejscowości w obrębie dróg</w:t>
      </w:r>
      <w:r>
        <w:rPr>
          <w:color w:val="000000" w:themeColor="text1"/>
        </w:rPr>
        <w:t xml:space="preserve"> </w:t>
      </w:r>
      <w:r w:rsidRPr="00062D3C">
        <w:rPr>
          <w:color w:val="000000" w:themeColor="text1"/>
        </w:rPr>
        <w:t xml:space="preserve">wojewódzkich polegających </w:t>
      </w:r>
      <w:r w:rsidRPr="00062D3C">
        <w:rPr>
          <w:color w:val="000000" w:themeColor="text1"/>
        </w:rPr>
        <w:lastRenderedPageBreak/>
        <w:t>na wyprowadzeniu ruchu tranzytowego z miast.</w:t>
      </w:r>
      <w:r>
        <w:rPr>
          <w:color w:val="000000" w:themeColor="text1"/>
        </w:rPr>
        <w:t xml:space="preserve"> M</w:t>
      </w:r>
      <w:r w:rsidRPr="00062D3C">
        <w:rPr>
          <w:color w:val="000000" w:themeColor="text1"/>
        </w:rPr>
        <w:t>ożliwe będzie</w:t>
      </w:r>
      <w:r>
        <w:rPr>
          <w:color w:val="000000" w:themeColor="text1"/>
        </w:rPr>
        <w:t xml:space="preserve"> również </w:t>
      </w:r>
      <w:r w:rsidRPr="00062D3C">
        <w:rPr>
          <w:color w:val="000000" w:themeColor="text1"/>
        </w:rPr>
        <w:t xml:space="preserve"> </w:t>
      </w:r>
      <w:proofErr w:type="spellStart"/>
      <w:r w:rsidRPr="00062D3C">
        <w:rPr>
          <w:color w:val="000000" w:themeColor="text1"/>
        </w:rPr>
        <w:t>finasowanie</w:t>
      </w:r>
      <w:proofErr w:type="spellEnd"/>
      <w:r w:rsidRPr="00062D3C">
        <w:rPr>
          <w:color w:val="000000" w:themeColor="text1"/>
        </w:rPr>
        <w:t xml:space="preserve"> inwestycji dotyczącyc</w:t>
      </w:r>
      <w:r>
        <w:rPr>
          <w:color w:val="000000" w:themeColor="text1"/>
        </w:rPr>
        <w:t xml:space="preserve">h </w:t>
      </w:r>
      <w:r w:rsidRPr="00062D3C">
        <w:rPr>
          <w:color w:val="000000" w:themeColor="text1"/>
        </w:rPr>
        <w:t>zwiększenia bezpieczeństwa ruchu</w:t>
      </w:r>
      <w:r>
        <w:rPr>
          <w:color w:val="000000" w:themeColor="text1"/>
        </w:rPr>
        <w:t>, rozbudowy sieci dróg dla rowerów.</w:t>
      </w:r>
    </w:p>
    <w:p w:rsidR="003F2B0C" w:rsidRPr="00804C89" w:rsidRDefault="003F2B0C" w:rsidP="003F2B0C">
      <w:pPr>
        <w:pStyle w:val="Akapitzlist"/>
        <w:numPr>
          <w:ilvl w:val="0"/>
          <w:numId w:val="35"/>
        </w:numPr>
        <w:spacing w:after="160"/>
        <w:rPr>
          <w:color w:val="000000" w:themeColor="text1"/>
        </w:rPr>
      </w:pPr>
      <w:r w:rsidRPr="00804C89">
        <w:rPr>
          <w:b/>
          <w:bCs/>
          <w:color w:val="000000" w:themeColor="text1"/>
        </w:rPr>
        <w:t>Działanie FEDS.05.02 Kultura i turystyka.</w:t>
      </w:r>
      <w:r w:rsidRPr="00804C89">
        <w:rPr>
          <w:color w:val="000000" w:themeColor="text1"/>
        </w:rPr>
        <w:t xml:space="preserve"> Beneficjentami są instytucje kultury, jednostki organizacyjne działające w imieniu jednostek samorządu terytorialnego, jednostki samorządu terytorialnego, lasy państwowe, parki narodowe i krajobrazowe, lokalne grupy działania, organizacje pozarządowe. W ramach finansowania możliwa będzie rozbudowa i przebudowa infrastruktury o znaczeniu regionalnym, które będą miały na celu </w:t>
      </w:r>
      <w:r>
        <w:rPr>
          <w:color w:val="000000" w:themeColor="text1"/>
        </w:rPr>
        <w:t>rewaloryzację</w:t>
      </w:r>
      <w:r w:rsidRPr="00804C89">
        <w:rPr>
          <w:color w:val="000000" w:themeColor="text1"/>
        </w:rPr>
        <w:t xml:space="preserve"> zabytkowych przestrzeni i modernizacje obiektów. Elementami uzupełniającymi projekty mogą być nowe produkty kulturowe, usługi cyfrowe, wzbogacona oferta </w:t>
      </w:r>
      <w:proofErr w:type="spellStart"/>
      <w:r w:rsidRPr="00804C89">
        <w:rPr>
          <w:color w:val="000000" w:themeColor="text1"/>
        </w:rPr>
        <w:t>online</w:t>
      </w:r>
      <w:proofErr w:type="spellEnd"/>
      <w:r w:rsidRPr="00804C89">
        <w:rPr>
          <w:color w:val="000000" w:themeColor="text1"/>
        </w:rPr>
        <w:t>. W ramach wsparcia możliwe będzie również tworzenie i</w:t>
      </w:r>
      <w:r>
        <w:rPr>
          <w:color w:val="000000" w:themeColor="text1"/>
        </w:rPr>
        <w:t> </w:t>
      </w:r>
      <w:r w:rsidRPr="00804C89">
        <w:rPr>
          <w:color w:val="000000" w:themeColor="text1"/>
        </w:rPr>
        <w:t>odnawianie szlaków rowerowych wraz z infrastrukturą towarzyszącą.</w:t>
      </w:r>
    </w:p>
    <w:p w:rsidR="003F2B0C" w:rsidRPr="004E7302" w:rsidRDefault="003F2B0C" w:rsidP="003F2B0C">
      <w:pPr>
        <w:pStyle w:val="Akapitzlist"/>
        <w:numPr>
          <w:ilvl w:val="0"/>
          <w:numId w:val="35"/>
        </w:numPr>
        <w:spacing w:after="160"/>
        <w:rPr>
          <w:color w:val="000000" w:themeColor="text1"/>
        </w:rPr>
      </w:pPr>
      <w:r w:rsidRPr="00804C89">
        <w:rPr>
          <w:b/>
          <w:bCs/>
          <w:color w:val="000000" w:themeColor="text1"/>
        </w:rPr>
        <w:t xml:space="preserve">Działanie FEDS.06.01 Rozwój lokalny - strategie ZIT </w:t>
      </w:r>
      <w:r w:rsidRPr="00804C89">
        <w:rPr>
          <w:color w:val="000000" w:themeColor="text1"/>
        </w:rPr>
        <w:t xml:space="preserve">jest dedykowane Zintegrowanym Inwestycjom Terytorialnym, a jego beneficjentami są administracja publiczna, instytucje nauki i edukacji, instytucje ochrony zdrowia, instytucje wspierające biznes, organizacje społeczne i związki wyznaniowe, partnerstwa, partnerzy społeczni, przedsiębiorstwa realizujące cele publiczne, służby publiczne, zintegrowane inwestycje terytorialne. </w:t>
      </w:r>
      <w:r>
        <w:rPr>
          <w:color w:val="000000" w:themeColor="text1"/>
        </w:rPr>
        <w:t>Ś</w:t>
      </w:r>
      <w:r w:rsidRPr="004E7302">
        <w:rPr>
          <w:color w:val="000000" w:themeColor="text1"/>
        </w:rPr>
        <w:t>rodki są</w:t>
      </w:r>
      <w:r>
        <w:rPr>
          <w:color w:val="000000" w:themeColor="text1"/>
        </w:rPr>
        <w:t xml:space="preserve"> </w:t>
      </w:r>
      <w:r w:rsidRPr="004E7302">
        <w:rPr>
          <w:color w:val="000000" w:themeColor="text1"/>
        </w:rPr>
        <w:t>przeznaczone na realizację kluczowych przedsięwzięć wynikających ze strategii ZIT, istotnych z punktu</w:t>
      </w:r>
      <w:r>
        <w:rPr>
          <w:color w:val="000000" w:themeColor="text1"/>
        </w:rPr>
        <w:t xml:space="preserve"> </w:t>
      </w:r>
      <w:r w:rsidRPr="004E7302">
        <w:rPr>
          <w:color w:val="000000" w:themeColor="text1"/>
        </w:rPr>
        <w:t>widzenia rozwoju miast, gmin, powiatów oraz ich obszarów funkcjonalnych.</w:t>
      </w:r>
      <w:r>
        <w:rPr>
          <w:color w:val="000000" w:themeColor="text1"/>
        </w:rPr>
        <w:t xml:space="preserve"> W zakresie tego działania finansowane będą projekty niekonkurencyjne wskazane w strategii ZIT oraz konkurencyjne z zakresu odnowy i poprawy bezpieczeństwa i jakości przestrzeni takich jak zagospodarowywanie przestrzeni międzyblokowych, parków, skwerów i rynków, rozwój infrastruktury aktywizacji i integracji społecznej. Działanie przewiduje również p</w:t>
      </w:r>
      <w:r w:rsidRPr="004E7302">
        <w:rPr>
          <w:color w:val="000000" w:themeColor="text1"/>
        </w:rPr>
        <w:t>rzebudow</w:t>
      </w:r>
      <w:r>
        <w:rPr>
          <w:color w:val="000000" w:themeColor="text1"/>
        </w:rPr>
        <w:t>ę</w:t>
      </w:r>
      <w:r w:rsidRPr="004E7302">
        <w:rPr>
          <w:color w:val="000000" w:themeColor="text1"/>
        </w:rPr>
        <w:t>, modernizacj</w:t>
      </w:r>
      <w:r>
        <w:rPr>
          <w:color w:val="000000" w:themeColor="text1"/>
        </w:rPr>
        <w:t>e</w:t>
      </w:r>
      <w:r w:rsidRPr="004E7302">
        <w:rPr>
          <w:color w:val="000000" w:themeColor="text1"/>
        </w:rPr>
        <w:t xml:space="preserve"> i adaptacj</w:t>
      </w:r>
      <w:r>
        <w:rPr>
          <w:color w:val="000000" w:themeColor="text1"/>
        </w:rPr>
        <w:t>ę</w:t>
      </w:r>
      <w:r w:rsidRPr="004E7302">
        <w:rPr>
          <w:color w:val="000000" w:themeColor="text1"/>
        </w:rPr>
        <w:t xml:space="preserve"> na cele kulturalne obiektów użyteczności publicznej m.in.</w:t>
      </w:r>
      <w:r>
        <w:rPr>
          <w:color w:val="000000" w:themeColor="text1"/>
        </w:rPr>
        <w:t xml:space="preserve"> </w:t>
      </w:r>
      <w:r w:rsidRPr="004E7302">
        <w:rPr>
          <w:color w:val="000000" w:themeColor="text1"/>
        </w:rPr>
        <w:t>wpisanych do rejestru zabytków lub gminnej ewidencji zabytków</w:t>
      </w:r>
      <w:r>
        <w:rPr>
          <w:color w:val="000000" w:themeColor="text1"/>
        </w:rPr>
        <w:t xml:space="preserve">, </w:t>
      </w:r>
      <w:r w:rsidRPr="004E7302">
        <w:rPr>
          <w:color w:val="000000" w:themeColor="text1"/>
        </w:rPr>
        <w:t>inwestycje w obiekty/miejsca tworzące turystyczne szlaki tematyczne</w:t>
      </w:r>
      <w:r>
        <w:rPr>
          <w:color w:val="000000" w:themeColor="text1"/>
        </w:rPr>
        <w:t xml:space="preserve">, </w:t>
      </w:r>
      <w:r w:rsidRPr="004E7302">
        <w:rPr>
          <w:color w:val="000000" w:themeColor="text1"/>
        </w:rPr>
        <w:t>inwestycje mające na celu rozwój i promowanie publicznych walorów turystycznych i usług</w:t>
      </w:r>
      <w:r>
        <w:rPr>
          <w:color w:val="000000" w:themeColor="text1"/>
        </w:rPr>
        <w:t xml:space="preserve"> </w:t>
      </w:r>
      <w:r w:rsidRPr="004E7302">
        <w:rPr>
          <w:color w:val="000000" w:themeColor="text1"/>
        </w:rPr>
        <w:t>turystycznych</w:t>
      </w:r>
      <w:r>
        <w:rPr>
          <w:color w:val="000000" w:themeColor="text1"/>
        </w:rPr>
        <w:t>.</w:t>
      </w:r>
    </w:p>
    <w:p w:rsidR="003F2B0C" w:rsidRDefault="003F2B0C" w:rsidP="003F2B0C">
      <w:pPr>
        <w:pStyle w:val="Akapitzlist"/>
        <w:numPr>
          <w:ilvl w:val="0"/>
          <w:numId w:val="35"/>
        </w:numPr>
        <w:spacing w:after="160"/>
        <w:rPr>
          <w:color w:val="000000" w:themeColor="text1"/>
        </w:rPr>
      </w:pPr>
      <w:r w:rsidRPr="00F243F4">
        <w:rPr>
          <w:b/>
          <w:bCs/>
          <w:color w:val="000000" w:themeColor="text1"/>
        </w:rPr>
        <w:t>Działanie FEDS.07.02 Rozwój instytucji rynku pracy</w:t>
      </w:r>
      <w:r w:rsidRPr="00F243F4">
        <w:rPr>
          <w:color w:val="000000" w:themeColor="text1"/>
        </w:rPr>
        <w:t xml:space="preserve">. Grupą docelową wsparcia </w:t>
      </w:r>
      <w:r>
        <w:rPr>
          <w:color w:val="000000" w:themeColor="text1"/>
        </w:rPr>
        <w:t>są</w:t>
      </w:r>
      <w:r w:rsidRPr="00F243F4">
        <w:rPr>
          <w:color w:val="000000" w:themeColor="text1"/>
        </w:rPr>
        <w:t xml:space="preserve"> bezrobotni, instytucje otoczenia biznesu (IOB), instytucje rynku pracy (w tym publiczne służb zatrudnienia), JST oraz podległe im podmioty, organizacje pozarządowe, organizacje pracodawców, osoby bez zatrudnienia, partnerzy społeczni, poszukujący pracy, pracodawcy, pracownicy instytucji rynku pracy (w tym publicznych służb zatrudnienia)</w:t>
      </w:r>
      <w:r>
        <w:rPr>
          <w:color w:val="000000" w:themeColor="text1"/>
        </w:rPr>
        <w:t>. Wparcie będzie możliwe w ramach działań na rzecz modernizacji i wzmacniania instytucji i służb rynku pracy.</w:t>
      </w:r>
    </w:p>
    <w:p w:rsidR="003F2B0C" w:rsidRPr="00336D87" w:rsidRDefault="003F2B0C" w:rsidP="003F2B0C">
      <w:pPr>
        <w:pStyle w:val="Akapitzlist"/>
        <w:numPr>
          <w:ilvl w:val="0"/>
          <w:numId w:val="35"/>
        </w:numPr>
        <w:spacing w:after="160"/>
        <w:rPr>
          <w:color w:val="000000" w:themeColor="text1"/>
        </w:rPr>
      </w:pPr>
      <w:r w:rsidRPr="00336D87">
        <w:rPr>
          <w:b/>
          <w:bCs/>
          <w:color w:val="000000" w:themeColor="text1"/>
        </w:rPr>
        <w:t xml:space="preserve">Działanie FEDS.07.03 Równe szanse. </w:t>
      </w:r>
      <w:r w:rsidRPr="00336D87">
        <w:rPr>
          <w:color w:val="000000" w:themeColor="text1"/>
        </w:rPr>
        <w:t xml:space="preserve">Beneficjentami działań </w:t>
      </w:r>
      <w:r>
        <w:rPr>
          <w:color w:val="000000" w:themeColor="text1"/>
        </w:rPr>
        <w:t>są</w:t>
      </w:r>
      <w:r w:rsidRPr="00336D87">
        <w:rPr>
          <w:color w:val="000000" w:themeColor="text1"/>
        </w:rPr>
        <w:t>:</w:t>
      </w:r>
      <w:r w:rsidRPr="00F243F4">
        <w:t xml:space="preserve"> </w:t>
      </w:r>
      <w:r w:rsidRPr="00336D87">
        <w:rPr>
          <w:color w:val="000000" w:themeColor="text1"/>
        </w:rPr>
        <w:t xml:space="preserve">administracja rządowa, inne instytucje systemu ochrony zdrowia, instytucje integracji i pomocy społecznej, instytucje </w:t>
      </w:r>
      <w:r w:rsidRPr="00336D87">
        <w:rPr>
          <w:color w:val="000000" w:themeColor="text1"/>
        </w:rPr>
        <w:lastRenderedPageBreak/>
        <w:t xml:space="preserve">otoczenia biznesu, instytucje rynku pracy, jednostki organizacyjne działające w imieniu jednostek samorządu terytorialnego, jednostki samorządu terytorialnego, lokalne grupy działania, </w:t>
      </w:r>
      <w:proofErr w:type="spellStart"/>
      <w:r w:rsidRPr="00336D87">
        <w:rPr>
          <w:color w:val="000000" w:themeColor="text1"/>
        </w:rPr>
        <w:t>mśp</w:t>
      </w:r>
      <w:proofErr w:type="spellEnd"/>
      <w:r w:rsidRPr="00336D87">
        <w:rPr>
          <w:color w:val="000000" w:themeColor="text1"/>
        </w:rPr>
        <w:t>, niepubliczne podmioty integracji i pomocy społecznej, niepubliczne zakłady opieki zdrowotnej, organizacje pozarządowe, organizacje zrzeszające pracodawców, ośrodki kształcenia dorosłych, partnerstwa instytucji pozarządowych, podmioty ekonomii społecznej, podmioty świadczące usługi publiczne w ramach realizacji obowiązków własnych jednostek samorządu terytorialnego, przedszkola i inne formy wychowania przedszkolnego, publiczne zakłady opieki zdrowotnej, szkoły i inne placówki systemu oświaty, uzdrowiska, związki zawodowe. Interwencje będą możliwe w</w:t>
      </w:r>
      <w:r>
        <w:rPr>
          <w:color w:val="000000" w:themeColor="text1"/>
        </w:rPr>
        <w:t> </w:t>
      </w:r>
      <w:r w:rsidRPr="00336D87">
        <w:rPr>
          <w:color w:val="000000" w:themeColor="text1"/>
        </w:rPr>
        <w:t xml:space="preserve">ramach działań wspierających równe traktowanie i niedyskryminację, wdrażania rozwiązań systemowych włączających i niedyskryminujących, działań zwiększających kompetencje pracowników, wsparcia dzieci i młodzieży w wieku szkolnym w zakresie zapewnienia dobrostanu </w:t>
      </w:r>
      <w:proofErr w:type="spellStart"/>
      <w:r w:rsidRPr="00336D87">
        <w:rPr>
          <w:color w:val="000000" w:themeColor="text1"/>
        </w:rPr>
        <w:t>psycho-fizycznego</w:t>
      </w:r>
      <w:proofErr w:type="spellEnd"/>
      <w:r w:rsidRPr="00336D87">
        <w:rPr>
          <w:color w:val="000000" w:themeColor="text1"/>
        </w:rPr>
        <w:t xml:space="preserve"> poprzez rozwój umiejętności osobistych, społecznych, obywatelskich oraz kreowania postaw tolerancyjnych. O wsparcie mogą ubiegać się również inicjatywy lokalne na obszarach wiejskich i wiejsko- miejskich.</w:t>
      </w:r>
    </w:p>
    <w:p w:rsidR="003F2B0C" w:rsidRDefault="003F2B0C" w:rsidP="003F2B0C">
      <w:pPr>
        <w:pStyle w:val="Akapitzlist"/>
        <w:numPr>
          <w:ilvl w:val="0"/>
          <w:numId w:val="36"/>
        </w:numPr>
        <w:spacing w:after="160"/>
        <w:rPr>
          <w:color w:val="000000" w:themeColor="text1"/>
        </w:rPr>
      </w:pPr>
      <w:r w:rsidRPr="00336D87">
        <w:rPr>
          <w:b/>
          <w:bCs/>
          <w:color w:val="000000" w:themeColor="text1"/>
        </w:rPr>
        <w:t>Działanie FEDS.07.04 Adaptacja do zmian na rynku pracy.</w:t>
      </w:r>
      <w:r w:rsidRPr="00336D87">
        <w:rPr>
          <w:color w:val="000000" w:themeColor="text1"/>
        </w:rPr>
        <w:t xml:space="preserve"> Beneficjentami są duże przedsiębiorstwa, instytucje rynku pracy, jednostki organizacyjne działające w imieniu jednostek samorządu terytorialnego, jednostki samorządu terytorialnego, lokalne grupy działania, MŚP, niepubliczne zakłady opieki zdrowotnej, organizacje pozarządowe, organizacje zrzeszające pracodawców, podmioty ekonomii społecznej, podmioty świadczące usługi publiczne w ramach realizacji obowiązków własnych jednostek samorządu terytorialnego, publiczne zakłady opieki zdrowotnej, samorządy zawodowe, związki zawodowe. Zakres wsparcia obejmuje działania, których celem jest reorganizacja zatrudnienia ograniczająca proces zwolnień lub przeprowadzenie procesu zwolnień uwzględniające udzielenie pomocy zwalnianym lub zwolnionym pracownikom w</w:t>
      </w:r>
      <w:r>
        <w:rPr>
          <w:color w:val="000000" w:themeColor="text1"/>
        </w:rPr>
        <w:t> </w:t>
      </w:r>
      <w:r w:rsidRPr="00336D87">
        <w:rPr>
          <w:color w:val="000000" w:themeColor="text1"/>
        </w:rPr>
        <w:t xml:space="preserve">odnalezieniu się w nowej sytuacji życiowej i zawodowej głównie poprzez pośrednictwo pracy, szkolenia, kury, studia podyplomowe, staże., edukację liderów lokalnych poprzez szkolenia, </w:t>
      </w:r>
      <w:proofErr w:type="spellStart"/>
      <w:r w:rsidRPr="00336D87">
        <w:rPr>
          <w:color w:val="000000" w:themeColor="text1"/>
        </w:rPr>
        <w:t>mentoring</w:t>
      </w:r>
      <w:proofErr w:type="spellEnd"/>
      <w:r w:rsidRPr="00336D87">
        <w:rPr>
          <w:color w:val="000000" w:themeColor="text1"/>
        </w:rPr>
        <w:t xml:space="preserve">, </w:t>
      </w:r>
      <w:proofErr w:type="spellStart"/>
      <w:r w:rsidRPr="00336D87">
        <w:rPr>
          <w:color w:val="000000" w:themeColor="text1"/>
        </w:rPr>
        <w:t>coaching</w:t>
      </w:r>
      <w:proofErr w:type="spellEnd"/>
      <w:r w:rsidRPr="00336D87">
        <w:rPr>
          <w:color w:val="000000" w:themeColor="text1"/>
        </w:rPr>
        <w:t>.</w:t>
      </w:r>
    </w:p>
    <w:p w:rsidR="003F2B0C" w:rsidRDefault="003F2B0C" w:rsidP="003F2B0C">
      <w:pPr>
        <w:pStyle w:val="Akapitzlist"/>
        <w:numPr>
          <w:ilvl w:val="0"/>
          <w:numId w:val="36"/>
        </w:numPr>
        <w:spacing w:after="160"/>
        <w:rPr>
          <w:color w:val="000000" w:themeColor="text1"/>
        </w:rPr>
      </w:pPr>
      <w:r w:rsidRPr="00336D87">
        <w:rPr>
          <w:b/>
          <w:bCs/>
          <w:color w:val="000000" w:themeColor="text1"/>
        </w:rPr>
        <w:t>Działanie FEDS.07.05 Aktywna integracja.</w:t>
      </w:r>
      <w:r w:rsidRPr="00336D87">
        <w:rPr>
          <w:color w:val="000000" w:themeColor="text1"/>
        </w:rPr>
        <w:t xml:space="preserve"> Beneficjentami są instytucje rynku pracy, Jednostki organizacyjne działające w imieniu jednostek samorządu terytorialnego, jednostki samorządu terytorialnego, lokalne grupy działania, MŚP, niepubliczne podmioty integracji i pomocy społecznej, organizacje pozarządowe, organizacje zrzeszające pracodawców, ośrodki wsparcia ekonomii społecznej, podmioty ekonomii społecznej, podmioty świadczące usługi publiczne w ramach realizacji obowiązków własnych jednostek samorządu terytorialnego. </w:t>
      </w:r>
      <w:r>
        <w:rPr>
          <w:color w:val="000000" w:themeColor="text1"/>
        </w:rPr>
        <w:t>Środki uzyskają działania wspierające integrację społeczną , nabywanie i wzmocnienie kompetencji społecznych, integrację osób z </w:t>
      </w:r>
      <w:proofErr w:type="spellStart"/>
      <w:r>
        <w:rPr>
          <w:color w:val="000000" w:themeColor="text1"/>
        </w:rPr>
        <w:t>niepełnosprawnościami</w:t>
      </w:r>
      <w:proofErr w:type="spellEnd"/>
      <w:r>
        <w:rPr>
          <w:color w:val="000000" w:themeColor="text1"/>
        </w:rPr>
        <w:t xml:space="preserve"> zarówno w sferze społecznej jak i zawodowej. Wsparcie otrzymają również podmioty ekonomii społecznej.</w:t>
      </w:r>
    </w:p>
    <w:p w:rsidR="003F2B0C" w:rsidRDefault="003F2B0C" w:rsidP="003F2B0C">
      <w:pPr>
        <w:pStyle w:val="Akapitzlist"/>
        <w:numPr>
          <w:ilvl w:val="0"/>
          <w:numId w:val="36"/>
        </w:numPr>
        <w:spacing w:after="160"/>
        <w:rPr>
          <w:color w:val="000000" w:themeColor="text1"/>
        </w:rPr>
      </w:pPr>
      <w:r w:rsidRPr="0061274C">
        <w:rPr>
          <w:b/>
          <w:bCs/>
          <w:color w:val="000000" w:themeColor="text1"/>
        </w:rPr>
        <w:lastRenderedPageBreak/>
        <w:t xml:space="preserve"> Działanie FEDS.07.06 Integracja migrantów.</w:t>
      </w:r>
      <w:r>
        <w:rPr>
          <w:color w:val="000000" w:themeColor="text1"/>
        </w:rPr>
        <w:t xml:space="preserve"> Beneficjentami są </w:t>
      </w:r>
      <w:r w:rsidRPr="0061274C">
        <w:rPr>
          <w:color w:val="000000" w:themeColor="text1"/>
        </w:rPr>
        <w:t>instytucje integracji i</w:t>
      </w:r>
      <w:r>
        <w:rPr>
          <w:color w:val="000000" w:themeColor="text1"/>
        </w:rPr>
        <w:t> </w:t>
      </w:r>
      <w:r w:rsidRPr="0061274C">
        <w:rPr>
          <w:color w:val="000000" w:themeColor="text1"/>
        </w:rPr>
        <w:t>pomocy społecznej, instytucje rynku pracy, jednostki organizacyjne działające w</w:t>
      </w:r>
      <w:r>
        <w:rPr>
          <w:color w:val="000000" w:themeColor="text1"/>
        </w:rPr>
        <w:t xml:space="preserve"> </w:t>
      </w:r>
      <w:r w:rsidRPr="0061274C">
        <w:rPr>
          <w:color w:val="000000" w:themeColor="text1"/>
        </w:rPr>
        <w:t>imieniu jednostek samorządu terytorialnego, jednostki samorządu terytorialnego, lokalne grupy</w:t>
      </w:r>
      <w:r>
        <w:rPr>
          <w:color w:val="000000" w:themeColor="text1"/>
        </w:rPr>
        <w:t xml:space="preserve"> </w:t>
      </w:r>
      <w:r w:rsidRPr="0061274C">
        <w:rPr>
          <w:color w:val="000000" w:themeColor="text1"/>
        </w:rPr>
        <w:t>działania, niepubliczne podmioty integracji i pomocy społecznej, organizacje</w:t>
      </w:r>
      <w:r>
        <w:rPr>
          <w:color w:val="000000" w:themeColor="text1"/>
        </w:rPr>
        <w:t xml:space="preserve"> </w:t>
      </w:r>
      <w:r w:rsidRPr="0061274C">
        <w:rPr>
          <w:color w:val="000000" w:themeColor="text1"/>
        </w:rPr>
        <w:t>pozarządowe, organizacje</w:t>
      </w:r>
      <w:r>
        <w:rPr>
          <w:color w:val="000000" w:themeColor="text1"/>
        </w:rPr>
        <w:t xml:space="preserve"> </w:t>
      </w:r>
      <w:r w:rsidRPr="0061274C">
        <w:rPr>
          <w:color w:val="000000" w:themeColor="text1"/>
        </w:rPr>
        <w:t>zrzeszające pracodawców, podmioty ekonomii społecznej, uczelnie</w:t>
      </w:r>
      <w:r>
        <w:rPr>
          <w:color w:val="000000" w:themeColor="text1"/>
        </w:rPr>
        <w:t xml:space="preserve">. Finansowaniem będą objęte działania z zakresu integracji społecznej i zawodowej obywateli państw trzecich czy tworzenie Centrów Integracji Cudzoziemców. </w:t>
      </w:r>
    </w:p>
    <w:p w:rsidR="003F2B0C" w:rsidRPr="0061274C" w:rsidRDefault="003F2B0C" w:rsidP="003F2B0C">
      <w:pPr>
        <w:pStyle w:val="Akapitzlist"/>
        <w:numPr>
          <w:ilvl w:val="0"/>
          <w:numId w:val="36"/>
        </w:numPr>
        <w:spacing w:after="160"/>
        <w:rPr>
          <w:color w:val="000000" w:themeColor="text1"/>
        </w:rPr>
      </w:pPr>
      <w:r w:rsidRPr="0061274C">
        <w:rPr>
          <w:b/>
          <w:bCs/>
          <w:color w:val="000000" w:themeColor="text1"/>
        </w:rPr>
        <w:t xml:space="preserve">Działanie FEDS.07.07 Rozwój usług społecznych i zdrowotnych. </w:t>
      </w:r>
      <w:r w:rsidRPr="0061274C">
        <w:rPr>
          <w:color w:val="000000" w:themeColor="text1"/>
        </w:rPr>
        <w:t>Beneficjentami są</w:t>
      </w:r>
      <w:r>
        <w:rPr>
          <w:color w:val="000000" w:themeColor="text1"/>
        </w:rPr>
        <w:t xml:space="preserve"> </w:t>
      </w:r>
      <w:r w:rsidRPr="0061274C">
        <w:rPr>
          <w:color w:val="000000" w:themeColor="text1"/>
        </w:rPr>
        <w:t>jednostki organizacyjne działające w imieniu jednostek samorządu terytorialnego, jednostki samorządu</w:t>
      </w:r>
      <w:r>
        <w:rPr>
          <w:color w:val="000000" w:themeColor="text1"/>
        </w:rPr>
        <w:t xml:space="preserve"> </w:t>
      </w:r>
      <w:r w:rsidRPr="0061274C">
        <w:rPr>
          <w:color w:val="000000" w:themeColor="text1"/>
        </w:rPr>
        <w:t>terytorialnego, lokalne grupy działania, niepubliczne podmioty integracji i pomocy społecznej,</w:t>
      </w:r>
      <w:r>
        <w:rPr>
          <w:color w:val="000000" w:themeColor="text1"/>
        </w:rPr>
        <w:t xml:space="preserve"> </w:t>
      </w:r>
      <w:r w:rsidRPr="0061274C">
        <w:rPr>
          <w:color w:val="000000" w:themeColor="text1"/>
        </w:rPr>
        <w:t>niepubliczne zakłady opieki zdrowotnej, organizacje pozarządowe, podmioty ekonomii społecznej,</w:t>
      </w:r>
      <w:r>
        <w:rPr>
          <w:color w:val="000000" w:themeColor="text1"/>
        </w:rPr>
        <w:t xml:space="preserve"> </w:t>
      </w:r>
      <w:r w:rsidRPr="0061274C">
        <w:rPr>
          <w:color w:val="000000" w:themeColor="text1"/>
        </w:rPr>
        <w:t xml:space="preserve">publiczne zakłady opieki zdrowotnej Wsparciem objęte będą działania z zakresu rozwoju usług asystenckich i opiekuńczych świadczonych w społeczności lokalnej, usługi asystenckie, tworzenia miejsc opieki i świadczenie usług opiekuńczych i gospodarstw opiekuńczych. </w:t>
      </w:r>
      <w:r w:rsidRPr="00AF3FFB">
        <w:rPr>
          <w:color w:val="000000" w:themeColor="text1"/>
        </w:rPr>
        <w:t>Wsparciem objęte będą również działania polegające na tworzeniu Centrów Usług Społecznych, tworzenia nowych mieszkań treningowych, wspomaganych, mieszkań z usługami lub mieszkań ze wsparciem; rozwoju w  domach pomocy społ</w:t>
      </w:r>
      <w:r>
        <w:rPr>
          <w:color w:val="000000" w:themeColor="text1"/>
        </w:rPr>
        <w:t>e</w:t>
      </w:r>
      <w:r w:rsidRPr="00AF3FFB">
        <w:rPr>
          <w:color w:val="000000" w:themeColor="text1"/>
        </w:rPr>
        <w:t xml:space="preserve">cznej  usług  świadczonych w społeczności lokalnej oraz realizację opieki </w:t>
      </w:r>
      <w:proofErr w:type="spellStart"/>
      <w:r w:rsidRPr="00AF3FFB">
        <w:rPr>
          <w:color w:val="000000" w:themeColor="text1"/>
        </w:rPr>
        <w:t>wytchnieniowej</w:t>
      </w:r>
      <w:proofErr w:type="spellEnd"/>
      <w:r w:rsidRPr="00AF3FFB">
        <w:rPr>
          <w:color w:val="000000" w:themeColor="text1"/>
        </w:rPr>
        <w:t xml:space="preserve"> w formie krótkookresowego pobytu; realizacji przez domy pomocy społecznej usług – </w:t>
      </w:r>
      <w:proofErr w:type="spellStart"/>
      <w:r w:rsidRPr="00AF3FFB">
        <w:rPr>
          <w:color w:val="000000" w:themeColor="text1"/>
        </w:rPr>
        <w:t>teleopieki</w:t>
      </w:r>
      <w:proofErr w:type="spellEnd"/>
      <w:r w:rsidRPr="00AF3FFB">
        <w:rPr>
          <w:color w:val="000000" w:themeColor="text1"/>
        </w:rPr>
        <w:t xml:space="preserve"> lub elektronicznych systemów wspierających pracę opiekunów jako elementu kompleksowej usługi; tworzeniu i</w:t>
      </w:r>
      <w:r>
        <w:rPr>
          <w:color w:val="000000" w:themeColor="text1"/>
        </w:rPr>
        <w:t> </w:t>
      </w:r>
      <w:r w:rsidRPr="00AF3FFB">
        <w:rPr>
          <w:color w:val="000000" w:themeColor="text1"/>
        </w:rPr>
        <w:t>wsparciu funkcjonowania w strukturze domów pomocy społecznej miejsc pobytu dziennego wraz z usługami; działania wspierające rozwój kariery pracowników opieki długoterminowej, w tym strategie ich zatrzymywania czy działania wspierające dialog społeczny i budowanie zdolności organizacji społeczeństwa obywatelskiego.</w:t>
      </w:r>
    </w:p>
    <w:p w:rsidR="003F2B0C" w:rsidRDefault="003F2B0C" w:rsidP="003F2B0C">
      <w:pPr>
        <w:pStyle w:val="Akapitzlist"/>
        <w:numPr>
          <w:ilvl w:val="0"/>
          <w:numId w:val="36"/>
        </w:numPr>
        <w:spacing w:after="160"/>
        <w:rPr>
          <w:color w:val="000000" w:themeColor="text1"/>
        </w:rPr>
      </w:pPr>
      <w:r w:rsidRPr="003B49E3">
        <w:rPr>
          <w:b/>
          <w:bCs/>
          <w:color w:val="000000" w:themeColor="text1"/>
        </w:rPr>
        <w:t xml:space="preserve">Działanie FEDS.07.08 Wspieranie włączenia społecznego. </w:t>
      </w:r>
      <w:r w:rsidRPr="003B49E3">
        <w:rPr>
          <w:color w:val="000000" w:themeColor="text1"/>
        </w:rPr>
        <w:t>Beneficjentami są jednostki organizacyjne działające w imieniu jednostek samorządu terytorialnego, jednostki samorządu terytorialnego, lokalne grupy działania, niepubliczne podmioty integracji i</w:t>
      </w:r>
      <w:r>
        <w:rPr>
          <w:color w:val="000000" w:themeColor="text1"/>
        </w:rPr>
        <w:t> </w:t>
      </w:r>
      <w:r w:rsidRPr="003B49E3">
        <w:rPr>
          <w:color w:val="000000" w:themeColor="text1"/>
        </w:rPr>
        <w:t>pomocy społecznej, niepubliczne zakłady opieki zdrowotnej, organizacje pozarządowe, podmioty ekonomii społecznej.</w:t>
      </w:r>
      <w:r>
        <w:rPr>
          <w:color w:val="000000" w:themeColor="text1"/>
        </w:rPr>
        <w:t xml:space="preserve"> Wsparciem będą usługi na rzecz rodziny takiej jak poradnictwo specjalistyczne, terapie i mediacje, tworzenie placówek wsparcia dziennego, </w:t>
      </w:r>
      <w:r w:rsidRPr="003B49E3">
        <w:rPr>
          <w:color w:val="000000" w:themeColor="text1"/>
        </w:rPr>
        <w:t>przygotowani</w:t>
      </w:r>
      <w:r>
        <w:rPr>
          <w:color w:val="000000" w:themeColor="text1"/>
        </w:rPr>
        <w:t>e</w:t>
      </w:r>
      <w:r w:rsidRPr="003B49E3">
        <w:rPr>
          <w:color w:val="000000" w:themeColor="text1"/>
        </w:rPr>
        <w:t xml:space="preserve"> do usamodzielnienia dzieci i młodzieży powyżej 15 roku życia, będących w</w:t>
      </w:r>
      <w:r>
        <w:rPr>
          <w:color w:val="000000" w:themeColor="text1"/>
        </w:rPr>
        <w:t> </w:t>
      </w:r>
      <w:r w:rsidRPr="003B49E3">
        <w:rPr>
          <w:color w:val="000000" w:themeColor="text1"/>
        </w:rPr>
        <w:t>rodzinnej i instytucjonalnej pieczy zastępczej</w:t>
      </w:r>
      <w:r>
        <w:rPr>
          <w:color w:val="000000" w:themeColor="text1"/>
        </w:rPr>
        <w:t xml:space="preserve">. Finansowane będą również działania z zakresu przeciwdziałania przemocy, wsparcia dla osób w kryzysie bezdomności, podnoszenia kompetencji kadr. </w:t>
      </w:r>
    </w:p>
    <w:p w:rsidR="003F2B0C" w:rsidRPr="00023232" w:rsidRDefault="003F2B0C" w:rsidP="003F2B0C">
      <w:pPr>
        <w:pStyle w:val="Akapitzlist"/>
        <w:numPr>
          <w:ilvl w:val="0"/>
          <w:numId w:val="36"/>
        </w:numPr>
        <w:spacing w:after="160"/>
        <w:rPr>
          <w:b/>
          <w:bCs/>
          <w:color w:val="000000" w:themeColor="text1"/>
        </w:rPr>
      </w:pPr>
      <w:r w:rsidRPr="00FF140E">
        <w:rPr>
          <w:b/>
          <w:bCs/>
          <w:color w:val="000000" w:themeColor="text1"/>
        </w:rPr>
        <w:lastRenderedPageBreak/>
        <w:t>Działanie FEDS.07.09 Aktywizacja osób na rynku pracy</w:t>
      </w:r>
      <w:r>
        <w:rPr>
          <w:b/>
          <w:bCs/>
          <w:color w:val="000000" w:themeColor="text1"/>
        </w:rPr>
        <w:t xml:space="preserve">. </w:t>
      </w:r>
      <w:r w:rsidRPr="00FF140E">
        <w:rPr>
          <w:color w:val="000000" w:themeColor="text1"/>
        </w:rPr>
        <w:t xml:space="preserve"> </w:t>
      </w:r>
      <w:r w:rsidRPr="003B49E3">
        <w:rPr>
          <w:color w:val="000000" w:themeColor="text1"/>
        </w:rPr>
        <w:t xml:space="preserve">Beneficjentami są </w:t>
      </w:r>
      <w:r w:rsidRPr="00FF140E">
        <w:rPr>
          <w:color w:val="000000" w:themeColor="text1"/>
        </w:rPr>
        <w:t>administracja rządowa, instytucje otoczenia biznesu, instytucje rynku pracy, izby gospodarcze, jednostki organizacyjne działające w imieniu jednostek samorządu terytorialnego, jednostki samorządu terytorialnego, lokalne grupy działania, MŚP, organizacje pozarządowe, organizacje zrzeszające pracodawców, partnerzy gospodarczy, podmioty świadczące usługi publiczne w ramach realizacji obowiązków własnych jednostek samorządu terytorialnego, związki zawodowe</w:t>
      </w:r>
      <w:r>
        <w:rPr>
          <w:color w:val="000000" w:themeColor="text1"/>
        </w:rPr>
        <w:t xml:space="preserve">. Wsparciem objęte będą projekty Ochotniczych Hufców Pracy m.in. w zakresie doradztwa zawodowego, pośrednictwa pracy, nabywania i podwyższania kompetencji. </w:t>
      </w:r>
      <w:r w:rsidRPr="0061274C">
        <w:rPr>
          <w:color w:val="000000" w:themeColor="text1"/>
        </w:rPr>
        <w:t>Wsparciem objęte będą również działania polegające na tworzeniu Centrów Usług Społecznych, tworzeni</w:t>
      </w:r>
      <w:r>
        <w:rPr>
          <w:color w:val="000000" w:themeColor="text1"/>
        </w:rPr>
        <w:t xml:space="preserve">a </w:t>
      </w:r>
      <w:r w:rsidRPr="0061274C">
        <w:rPr>
          <w:color w:val="000000" w:themeColor="text1"/>
        </w:rPr>
        <w:t>nowych mieszkań treningowych, wspomaganych, mieszkań z usługami lub mieszkań ze wsparciem, działania wspierające rozwój kariery pracowników opieki długoterminowej, w tym strategie ich zatrzymywania czy działania wspierające dialog społeczny i budowanie zdolności organizacji społeczeństwa obywatelskiego</w:t>
      </w:r>
    </w:p>
    <w:p w:rsidR="003F2B0C" w:rsidRPr="00023232" w:rsidRDefault="003F2B0C" w:rsidP="003F2B0C">
      <w:pPr>
        <w:pStyle w:val="Akapitzlist"/>
        <w:numPr>
          <w:ilvl w:val="0"/>
          <w:numId w:val="36"/>
        </w:numPr>
        <w:spacing w:after="160"/>
        <w:rPr>
          <w:color w:val="000000" w:themeColor="text1"/>
        </w:rPr>
      </w:pPr>
      <w:r w:rsidRPr="00023232">
        <w:rPr>
          <w:b/>
          <w:bCs/>
          <w:color w:val="000000" w:themeColor="text1"/>
        </w:rPr>
        <w:t>Działanie FEDS.07.10 Rozwój usług społecznych i zdrowotnych – ZIT</w:t>
      </w:r>
      <w:r w:rsidRPr="00023232">
        <w:rPr>
          <w:color w:val="000000" w:themeColor="text1"/>
        </w:rPr>
        <w:t xml:space="preserve"> jest dedykowane Zintegrowanym Inwestycjom Terytorialnym, a jego beneficjentami są</w:t>
      </w:r>
      <w:r w:rsidRPr="00555276">
        <w:t xml:space="preserve"> </w:t>
      </w:r>
      <w:r w:rsidRPr="00023232">
        <w:rPr>
          <w:color w:val="000000" w:themeColor="text1"/>
        </w:rPr>
        <w:t>jednostki organizacyjne działające w imieniu jednostek samorządu terytorialnego, jednostki samorządu terytorialnego, lokalne grupy działania, niepubliczne podmioty integracji i</w:t>
      </w:r>
      <w:r>
        <w:rPr>
          <w:color w:val="000000" w:themeColor="text1"/>
        </w:rPr>
        <w:t> </w:t>
      </w:r>
      <w:r w:rsidRPr="00023232">
        <w:rPr>
          <w:color w:val="000000" w:themeColor="text1"/>
        </w:rPr>
        <w:t xml:space="preserve">pomocy społecznej, organizacje pozarządowe, podmioty ekonomii społecznej, zintegrowane inwestycje terytorialne. </w:t>
      </w:r>
      <w:r w:rsidRPr="00670348">
        <w:rPr>
          <w:color w:val="000000" w:themeColor="text1"/>
        </w:rPr>
        <w:t xml:space="preserve">Wsparciem objęte będą działania z zakresu, rozwoju usług na rzecz społeczności lokalnej, tworzenia miejsc opieki specjalistycznej, tworzeniu w domach pomocy społecznej opieki </w:t>
      </w:r>
      <w:proofErr w:type="spellStart"/>
      <w:r w:rsidRPr="00670348">
        <w:rPr>
          <w:color w:val="000000" w:themeColor="text1"/>
        </w:rPr>
        <w:t>wytchnieniowej</w:t>
      </w:r>
      <w:proofErr w:type="spellEnd"/>
      <w:r w:rsidRPr="00670348">
        <w:rPr>
          <w:color w:val="000000" w:themeColor="text1"/>
        </w:rPr>
        <w:t xml:space="preserve"> w formie krótkookresowego pobytu, usług asystenckich, wolontariatu opiekuńczego</w:t>
      </w:r>
      <w:r>
        <w:rPr>
          <w:color w:val="000000" w:themeColor="text1"/>
        </w:rPr>
        <w:t xml:space="preserve">. </w:t>
      </w:r>
      <w:r w:rsidRPr="00613419">
        <w:rPr>
          <w:color w:val="000000" w:themeColor="text1"/>
        </w:rPr>
        <w:t>Podstawą realizacji projektów ZIT jest zidentyfikowanie ich w strategii terytorialnej pozytywnie</w:t>
      </w:r>
      <w:r>
        <w:rPr>
          <w:color w:val="000000" w:themeColor="text1"/>
        </w:rPr>
        <w:t xml:space="preserve"> </w:t>
      </w:r>
      <w:r w:rsidRPr="00613419">
        <w:rPr>
          <w:color w:val="000000" w:themeColor="text1"/>
        </w:rPr>
        <w:t>zaopiniowanej przez IZ FEDS 2021-2027</w:t>
      </w:r>
      <w:r>
        <w:rPr>
          <w:color w:val="000000" w:themeColor="text1"/>
        </w:rPr>
        <w:t>.</w:t>
      </w:r>
    </w:p>
    <w:p w:rsidR="003F2B0C" w:rsidRPr="00023232" w:rsidRDefault="003F2B0C" w:rsidP="003F2B0C">
      <w:pPr>
        <w:pStyle w:val="Akapitzlist"/>
        <w:numPr>
          <w:ilvl w:val="0"/>
          <w:numId w:val="36"/>
        </w:numPr>
        <w:spacing w:after="160"/>
        <w:rPr>
          <w:b/>
          <w:bCs/>
          <w:color w:val="000000" w:themeColor="text1"/>
        </w:rPr>
      </w:pPr>
      <w:r w:rsidRPr="00023232">
        <w:rPr>
          <w:b/>
          <w:bCs/>
          <w:color w:val="000000" w:themeColor="text1"/>
        </w:rPr>
        <w:t>Działanie FEDS.08.01 Dostęp do edukacji</w:t>
      </w:r>
      <w:r>
        <w:rPr>
          <w:b/>
          <w:bCs/>
          <w:color w:val="000000" w:themeColor="text1"/>
        </w:rPr>
        <w:t xml:space="preserve">. </w:t>
      </w:r>
      <w:r w:rsidRPr="00023232">
        <w:rPr>
          <w:color w:val="000000" w:themeColor="text1"/>
        </w:rPr>
        <w:t>Beneficjentami są</w:t>
      </w:r>
      <w:r>
        <w:rPr>
          <w:b/>
          <w:bCs/>
          <w:color w:val="000000" w:themeColor="text1"/>
        </w:rPr>
        <w:t xml:space="preserve"> </w:t>
      </w:r>
      <w:r w:rsidRPr="00023232">
        <w:rPr>
          <w:color w:val="000000" w:themeColor="text1"/>
        </w:rPr>
        <w:t>duże przedsiębiorstwa, instytucje kultury, instytucje rynku pracy, instytucje sportu, jednostki naukowe, jednostki organizacyjne działające w imieniu jednostek samorządu terytorialnego, jednostki samorządu terytorialnego, kościoły i związki wyznaniowe, lasy państwowe, parki narodowe i</w:t>
      </w:r>
      <w:r>
        <w:rPr>
          <w:color w:val="000000" w:themeColor="text1"/>
        </w:rPr>
        <w:t> </w:t>
      </w:r>
      <w:r w:rsidRPr="00023232">
        <w:rPr>
          <w:color w:val="000000" w:themeColor="text1"/>
        </w:rPr>
        <w:t>krajobrazowe, lokalne grupy działania, MŚP, niepubliczne instytucje kultury, niepubliczne instytucje sportu, organizacje pozarządowe, organizacje zrzeszające pracodawców, ośrodki kształcenia dorosłych, przedszkola i inne formy wychowania przedszkolnego, szkoły i inne placówki systemu oświaty, uczelnie, zintegrowane inwestycje terytorialne</w:t>
      </w:r>
      <w:r>
        <w:rPr>
          <w:color w:val="000000" w:themeColor="text1"/>
        </w:rPr>
        <w:t xml:space="preserve">. Wsparciem objęte będą działania z zakresu tworzenia nowych miejsc wychowania przedszkolnego, zajęć rozwijających umiejętności społeczno-emocjonalne, doposażenia placówek. Finansowanie uzyskają również działania w ramach wsparcia kształcenia ogólnego, zajęć podnoszących </w:t>
      </w:r>
      <w:r>
        <w:rPr>
          <w:color w:val="000000" w:themeColor="text1"/>
        </w:rPr>
        <w:lastRenderedPageBreak/>
        <w:t>umiejętności uczniów, wsparcia i rozwoju kompetencji kadry pedagogicznej, rozwijania edukacji włączającej, wspierania zdrowia psychicznego dzieci i uczniów.</w:t>
      </w:r>
    </w:p>
    <w:p w:rsidR="003F2B0C" w:rsidRPr="00680BAF" w:rsidRDefault="003F2B0C" w:rsidP="003F2B0C">
      <w:pPr>
        <w:pStyle w:val="Akapitzlist"/>
        <w:numPr>
          <w:ilvl w:val="0"/>
          <w:numId w:val="36"/>
        </w:numPr>
        <w:spacing w:after="160"/>
        <w:rPr>
          <w:color w:val="000000" w:themeColor="text1"/>
        </w:rPr>
      </w:pPr>
      <w:r w:rsidRPr="00023232">
        <w:rPr>
          <w:b/>
          <w:bCs/>
          <w:color w:val="000000" w:themeColor="text1"/>
        </w:rPr>
        <w:t>Działanie FEDS.08.02 Uczenie się przez całe życi</w:t>
      </w:r>
      <w:r>
        <w:rPr>
          <w:b/>
          <w:bCs/>
          <w:color w:val="000000" w:themeColor="text1"/>
        </w:rPr>
        <w:t xml:space="preserve">e. </w:t>
      </w:r>
      <w:r w:rsidRPr="00023232">
        <w:rPr>
          <w:color w:val="000000" w:themeColor="text1"/>
        </w:rPr>
        <w:t>Beneficjentami są duże przedsiębiorstwa, instytucje otoczenia biznesu, instytucje rynku pracy, jednostki organizacyjne działające w imieniu jednostek samorządu terytorialnego, jednostki samorządu terytorialnego, lokalne grupy działania, MŚP, organizacje pozarządowe, organizacje zrzeszające pracodawców, ośrodki kształcenia dorosłych, szkoły i inne placówki systemu oświaty, uczelnie, związki zawodowe</w:t>
      </w:r>
      <w:r>
        <w:rPr>
          <w:color w:val="000000" w:themeColor="text1"/>
        </w:rPr>
        <w:t>. Wspierane będą działania z zakresu rozwoju i kształcenia osób dorosłych, tworzenia L</w:t>
      </w:r>
      <w:r w:rsidRPr="00613419">
        <w:rPr>
          <w:color w:val="000000" w:themeColor="text1"/>
        </w:rPr>
        <w:t>okalnych Ośrodków Wiedzy i</w:t>
      </w:r>
      <w:r w:rsidRPr="00680BAF">
        <w:rPr>
          <w:color w:val="000000" w:themeColor="text1"/>
        </w:rPr>
        <w:t xml:space="preserve"> Edukacji, </w:t>
      </w:r>
    </w:p>
    <w:p w:rsidR="003F2B0C" w:rsidRPr="00613419" w:rsidRDefault="003F2B0C" w:rsidP="003F2B0C">
      <w:pPr>
        <w:pStyle w:val="Akapitzlist"/>
        <w:numPr>
          <w:ilvl w:val="0"/>
          <w:numId w:val="36"/>
        </w:numPr>
        <w:spacing w:after="160"/>
        <w:rPr>
          <w:color w:val="000000" w:themeColor="text1"/>
        </w:rPr>
      </w:pPr>
      <w:r w:rsidRPr="00613419">
        <w:rPr>
          <w:b/>
          <w:bCs/>
          <w:color w:val="000000" w:themeColor="text1"/>
        </w:rPr>
        <w:t>Działanie FEDS.08.03 Dostęp do edukacji – ZIT</w:t>
      </w:r>
      <w:r w:rsidRPr="00613419">
        <w:rPr>
          <w:color w:val="000000" w:themeColor="text1"/>
        </w:rPr>
        <w:t xml:space="preserve"> jest dedykowane Zintegrowanym Inwestycjom Terytorialnym, a jego beneficjentami są duże przedsiębiorstwa, instytucje kultury, instytucje rynku pracy, instytucje sportu, jednostki naukowe, jednostki organizacyjne działające w imieniu jednostek samorządu terytorialnego, jednostki samorządu terytorialnego, kościoły i związki wyznaniowe, lasy państwowe, parki narodowe i krajobrazowe, lokalne grupy działania, MŚP, niepubliczne instytucje kultury, niepubliczne instytucje sportu, organizacje pozarządowe, organizacje zrzeszające pracodawców, ośrodki kształcenia dorosłych, przedszkola i inne formy wychowania przedszkolnego, szkoły i inne placówki systemu oświaty, uczelnie, zintegrowane inwestycje terytorialne. </w:t>
      </w:r>
      <w:r>
        <w:rPr>
          <w:color w:val="000000" w:themeColor="text1"/>
        </w:rPr>
        <w:t xml:space="preserve">Wsparciem objęte będą działania z zakresu tworzenia nowych miejsc wychowania przedszkolnego, zajęć rozwijających umiejętności społeczno-emocjonalne, doposażenia placówek. Finansowanie uzyskają również działania w ramach wsparcia kształcenia ogólnego, zajęć podnoszących umiejętności uczniów, wsparcia i rozwoju kompetencji kadry pedagogicznej, rozwijania edukacji włączającej, wspierania zdrowia psychicznego dzieci i uczniów. </w:t>
      </w:r>
      <w:r w:rsidRPr="00613419">
        <w:rPr>
          <w:color w:val="000000" w:themeColor="text1"/>
        </w:rPr>
        <w:t>Podstawą realizacji projektów ZIT jest zidentyfikowanie ich w strategii terytorialnej pozytywnie</w:t>
      </w:r>
      <w:r>
        <w:rPr>
          <w:color w:val="000000" w:themeColor="text1"/>
        </w:rPr>
        <w:t xml:space="preserve"> </w:t>
      </w:r>
      <w:r w:rsidRPr="00613419">
        <w:rPr>
          <w:color w:val="000000" w:themeColor="text1"/>
        </w:rPr>
        <w:t>zaopiniowanej przez IZ FEDS 2021-2027</w:t>
      </w:r>
      <w:r>
        <w:rPr>
          <w:color w:val="000000" w:themeColor="text1"/>
        </w:rPr>
        <w:t xml:space="preserve">. </w:t>
      </w:r>
    </w:p>
    <w:p w:rsidR="00DF1B82" w:rsidRPr="00DF1B82" w:rsidRDefault="003F2B0C" w:rsidP="00DF1B82">
      <w:pPr>
        <w:pStyle w:val="Akapitzlist"/>
        <w:numPr>
          <w:ilvl w:val="0"/>
          <w:numId w:val="36"/>
        </w:numPr>
        <w:spacing w:after="160"/>
        <w:rPr>
          <w:color w:val="000000" w:themeColor="text1"/>
        </w:rPr>
      </w:pPr>
      <w:r w:rsidRPr="00A74339">
        <w:rPr>
          <w:b/>
          <w:bCs/>
          <w:color w:val="000000" w:themeColor="text1"/>
        </w:rPr>
        <w:t>Działani</w:t>
      </w:r>
      <w:r w:rsidR="00DF1B82">
        <w:rPr>
          <w:b/>
          <w:bCs/>
          <w:color w:val="000000" w:themeColor="text1"/>
        </w:rPr>
        <w:t>a</w:t>
      </w:r>
      <w:r w:rsidRPr="00A74339">
        <w:rPr>
          <w:b/>
          <w:bCs/>
          <w:color w:val="000000" w:themeColor="text1"/>
        </w:rPr>
        <w:t xml:space="preserve"> FEDS.09.</w:t>
      </w:r>
      <w:r w:rsidR="00DF1B82" w:rsidRPr="00DF1B82">
        <w:t xml:space="preserve"> </w:t>
      </w:r>
      <w:r w:rsidR="00DF1B82" w:rsidRPr="00DF1B82">
        <w:rPr>
          <w:color w:val="000000" w:themeColor="text1"/>
        </w:rPr>
        <w:t>dotyczą wsparcia społecznej i środowiskowej transformacji regionów górniczych Dolnego Śląska i obejmują m.in. poprawę dostępności do usług społecznych i opiekuńczych, rozwój i modernizację infrastruktury edukacyjnej oraz wsparcie dla kształcenia zawodowego, a także działania na rzecz efektywności energetycznej budynków, rozwoju odnawialnych źródeł energii i zrównoważonej mobilności lokalnej</w:t>
      </w:r>
      <w:r w:rsidR="00DF1B82">
        <w:rPr>
          <w:color w:val="000000" w:themeColor="text1"/>
        </w:rPr>
        <w:t>.</w:t>
      </w:r>
    </w:p>
    <w:p w:rsidR="00DF1B82" w:rsidRPr="00DF1B82" w:rsidRDefault="00DF1B82" w:rsidP="00DF1B82">
      <w:pPr>
        <w:pStyle w:val="Akapitzlist"/>
        <w:spacing w:after="160"/>
        <w:rPr>
          <w:b/>
          <w:bCs/>
        </w:rPr>
      </w:pPr>
    </w:p>
    <w:p w:rsidR="003F2B0C" w:rsidRPr="00DF1B82" w:rsidRDefault="003F2B0C" w:rsidP="00DF1B82">
      <w:pPr>
        <w:spacing w:after="160"/>
        <w:ind w:left="360"/>
        <w:rPr>
          <w:b/>
          <w:bCs/>
        </w:rPr>
      </w:pPr>
      <w:r w:rsidRPr="00DF1B82">
        <w:rPr>
          <w:b/>
          <w:bCs/>
          <w:color w:val="FFC000"/>
        </w:rPr>
        <w:t xml:space="preserve">Program Fundusze Europejskie dla Nowoczesnej Gospodarki </w:t>
      </w:r>
      <w:r w:rsidRPr="00DF1B82">
        <w:rPr>
          <w:b/>
          <w:bCs/>
        </w:rPr>
        <w:t>:</w:t>
      </w:r>
      <w:r w:rsidRPr="00EC22C1">
        <w:t xml:space="preserve">jego celem jest zwiększenie potencjału w zakresie badań i innowacji oraz wykorzystywania zaawansowanych technologii, wzrost konkurencyjności MŚP, rozwinięcie umiejętności na rzecz inteligentnych specjalizacji, </w:t>
      </w:r>
      <w:r w:rsidRPr="00EC22C1">
        <w:lastRenderedPageBreak/>
        <w:t xml:space="preserve">transformacji przemysłowej i przedsiębiorczości, transformacja gospodarki w kierunku Przemysłu 4.0 oraz zielonych technologii. </w:t>
      </w:r>
    </w:p>
    <w:p w:rsidR="003F2B0C" w:rsidRPr="000A4499" w:rsidRDefault="003F2B0C" w:rsidP="003F2B0C">
      <w:pPr>
        <w:pStyle w:val="Akapitzlist"/>
        <w:numPr>
          <w:ilvl w:val="0"/>
          <w:numId w:val="30"/>
        </w:numPr>
      </w:pPr>
      <w:r w:rsidRPr="000A4499">
        <w:rPr>
          <w:b/>
          <w:bCs/>
        </w:rPr>
        <w:t xml:space="preserve">Działanie FENG.02.14 </w:t>
      </w:r>
      <w:proofErr w:type="spellStart"/>
      <w:r w:rsidRPr="000A4499">
        <w:rPr>
          <w:b/>
          <w:bCs/>
        </w:rPr>
        <w:t>Inno_LAB</w:t>
      </w:r>
      <w:proofErr w:type="spellEnd"/>
      <w:r w:rsidRPr="000A4499">
        <w:rPr>
          <w:b/>
          <w:bCs/>
        </w:rPr>
        <w:t xml:space="preserve">- </w:t>
      </w:r>
      <w:r w:rsidRPr="000A4499">
        <w:t>Grup</w:t>
      </w:r>
      <w:r>
        <w:t>ą</w:t>
      </w:r>
      <w:r w:rsidRPr="000A4499">
        <w:t xml:space="preserve"> docelow</w:t>
      </w:r>
      <w:r>
        <w:t>ą</w:t>
      </w:r>
      <w:r w:rsidRPr="000A4499">
        <w:t xml:space="preserve">, </w:t>
      </w:r>
      <w:r>
        <w:t xml:space="preserve">do </w:t>
      </w:r>
      <w:r w:rsidRPr="000A4499">
        <w:t>której skierowany jest program w</w:t>
      </w:r>
      <w:r>
        <w:t> </w:t>
      </w:r>
      <w:r w:rsidRPr="000A4499">
        <w:t>tym działaniu są administracja publiczna (w tym rządowa) oraz podległe jej organy i</w:t>
      </w:r>
      <w:r>
        <w:t> </w:t>
      </w:r>
      <w:r w:rsidRPr="000A4499">
        <w:t>jednostki organizacyjne, JST oraz podległe im podmioty, organizacje i instytuty badawcze, organizacje pozarządowe, przedsiębiorstwa (w tym MŚP), uczelnie i inne podmioty systemu szkolnictwa wyższego i nauk</w:t>
      </w:r>
      <w:r>
        <w:t xml:space="preserve">. W ramach finansowanych działań możliwe jest prowadzenie analiz, badań i testów, uzyskanie dostępu do baz danych, zakup ekspertyz oraz doradztwo, a także przeprowadzanie działań informacyjnych i promocyjnych oraz ewaluacji oraz rozwój narzędzi wspierających innowacyjność polskiej gospodarki. </w:t>
      </w:r>
    </w:p>
    <w:p w:rsidR="003F2B0C" w:rsidRPr="00363B16" w:rsidRDefault="003F2B0C" w:rsidP="003F2B0C">
      <w:pPr>
        <w:pStyle w:val="Akapitzlist"/>
        <w:numPr>
          <w:ilvl w:val="0"/>
          <w:numId w:val="30"/>
        </w:numPr>
      </w:pPr>
      <w:r w:rsidRPr="000A4499">
        <w:rPr>
          <w:b/>
          <w:bCs/>
        </w:rPr>
        <w:t xml:space="preserve">Działanie FENG.02.15 Smart </w:t>
      </w:r>
      <w:proofErr w:type="spellStart"/>
      <w:r w:rsidRPr="000A4499">
        <w:rPr>
          <w:b/>
          <w:bCs/>
        </w:rPr>
        <w:t>discovery</w:t>
      </w:r>
      <w:proofErr w:type="spellEnd"/>
      <w:r>
        <w:rPr>
          <w:b/>
          <w:bCs/>
        </w:rPr>
        <w:t xml:space="preserve">: </w:t>
      </w:r>
      <w:r w:rsidRPr="000A4499">
        <w:t>Grup</w:t>
      </w:r>
      <w:r>
        <w:t>ą</w:t>
      </w:r>
      <w:r w:rsidRPr="000A4499">
        <w:t xml:space="preserve"> docelow</w:t>
      </w:r>
      <w:r>
        <w:t>ą</w:t>
      </w:r>
      <w:r w:rsidRPr="000A4499">
        <w:t xml:space="preserve">, </w:t>
      </w:r>
      <w:r>
        <w:t xml:space="preserve">do </w:t>
      </w:r>
      <w:r w:rsidRPr="000A4499">
        <w:t>której skierowany jest program w</w:t>
      </w:r>
      <w:r>
        <w:t> </w:t>
      </w:r>
      <w:r w:rsidRPr="000A4499">
        <w:t>tym działaniu są administracja publiczna (w tym rządowa) oraz podległe jej organy i</w:t>
      </w:r>
      <w:r>
        <w:t> </w:t>
      </w:r>
      <w:r w:rsidRPr="000A4499">
        <w:t>jednostki organizacyjne, JST oraz podległe im podmioty, organizacje i instytuty badawcze, organizacje pozarządowe, przedsiębiorstwa (w tym MŚP), uczelnie i inne podmioty systemu szkolnictwa wyższego i nauk</w:t>
      </w:r>
      <w:r>
        <w:t xml:space="preserve">. Forma wsparcia jest dotacja. W ramach możliwych działań przewiduje się koordynację i współpracę na poziomie krajowym i regionalnym oraz współpracę międzynarodową w obszarze inteligentnych specjalizacji (m.in. wymianę danych, informacji, wspólne projekty w obszarze </w:t>
      </w:r>
      <w:r w:rsidRPr="00363B16">
        <w:t>procesu przedsiębiorczego odkrywania</w:t>
      </w:r>
      <w:r>
        <w:t xml:space="preserve"> i monitorowania, wymianę doświadczeń, dobrych praktyk i wiedzy pomiędzy przedstawicielami administracji publicznej w zakresie inteligentnych specjalizacji - udział w </w:t>
      </w:r>
      <w:proofErr w:type="spellStart"/>
      <w:r>
        <w:t>peer-review</w:t>
      </w:r>
      <w:proofErr w:type="spellEnd"/>
      <w:r>
        <w:t>, wizyty studyjne.</w:t>
      </w:r>
    </w:p>
    <w:p w:rsidR="003F2B0C" w:rsidRDefault="003F2B0C" w:rsidP="003F2B0C">
      <w:pPr>
        <w:pStyle w:val="Akapitzlist"/>
        <w:numPr>
          <w:ilvl w:val="0"/>
          <w:numId w:val="30"/>
        </w:numPr>
      </w:pPr>
      <w:r w:rsidRPr="0094364E">
        <w:rPr>
          <w:b/>
          <w:bCs/>
        </w:rPr>
        <w:t>Działanie FENG.04.01 Pomoc techniczna</w:t>
      </w:r>
      <w:r>
        <w:rPr>
          <w:b/>
          <w:bCs/>
        </w:rPr>
        <w:t xml:space="preserve">: </w:t>
      </w:r>
      <w:r w:rsidRPr="0094364E">
        <w:t xml:space="preserve">Beneficjentami działania są: </w:t>
      </w:r>
      <w:r>
        <w:t>a</w:t>
      </w:r>
      <w:r w:rsidRPr="0094364E">
        <w:t xml:space="preserve">dministracja publiczna, </w:t>
      </w:r>
      <w:r>
        <w:t>i</w:t>
      </w:r>
      <w:r w:rsidRPr="0094364E">
        <w:t xml:space="preserve">nstytucje nauki i edukacji, </w:t>
      </w:r>
      <w:r>
        <w:t>i</w:t>
      </w:r>
      <w:r w:rsidRPr="0094364E">
        <w:t xml:space="preserve">nstytucje wspierające biznes, </w:t>
      </w:r>
      <w:r>
        <w:t>o</w:t>
      </w:r>
      <w:r w:rsidRPr="0094364E">
        <w:t>rganizacje społeczne</w:t>
      </w:r>
      <w:r>
        <w:t xml:space="preserve"> </w:t>
      </w:r>
      <w:r w:rsidRPr="0094364E">
        <w:t>i związki wyznaniowe</w:t>
      </w:r>
      <w:r>
        <w:t>. Dofinansowanie przewiduje działania z zakresu utrzymania odpowiedniego poziomu zatrudnienia w jednostkach realizujących program, podnoszenie kompetencji pracowników, finansowania wsparcia eksperckiego w </w:t>
      </w:r>
      <w:proofErr w:type="spellStart"/>
      <w:r>
        <w:t>zarzadzaniu</w:t>
      </w:r>
      <w:proofErr w:type="spellEnd"/>
      <w:r>
        <w:t xml:space="preserve"> i wdrażaniu FENG, finansowania kosztów funkcjonowania Komitetu Monitorującego oraz grup i zespołów roboczych, wsparcia partnerów społeczno-gospodarczych, w</w:t>
      </w:r>
      <w:r w:rsidRPr="0094364E">
        <w:t>sparci</w:t>
      </w:r>
      <w:r>
        <w:t>a</w:t>
      </w:r>
      <w:r w:rsidRPr="0094364E">
        <w:t xml:space="preserve"> funkcjonowania skutecznego systemu informacji i promocji FENG</w:t>
      </w:r>
      <w:r>
        <w:t xml:space="preserve">, wzmacniania kompetencji beneficjentów do realizacji projektów, na poziomie organizacyjnym, zarządczym, prawnym, komunikacyjnym, badawczym. Możliwą formą wsparcia są dotacje. </w:t>
      </w:r>
    </w:p>
    <w:p w:rsidR="003F2B0C" w:rsidRDefault="003F2B0C" w:rsidP="003F2B0C">
      <w:r w:rsidRPr="005B3003">
        <w:rPr>
          <w:b/>
          <w:bCs/>
          <w:color w:val="FFC000"/>
        </w:rPr>
        <w:t>Program Fundusze Europejskie dla Rozwoju Społecznego 2021-2027 (FERS)</w:t>
      </w:r>
      <w:r>
        <w:rPr>
          <w:b/>
          <w:bCs/>
        </w:rPr>
        <w:t xml:space="preserve"> </w:t>
      </w:r>
      <w:r w:rsidRPr="00F531D6">
        <w:t xml:space="preserve">ma spierać projekty rozwojowe z zakresu: poprawy sytuacji osób na rynku pracy, zwiększenia dostępności dla osób ze szczególnymi potrzebami, zapewnienia opieki nad dziećmi, podnoszenia jakości edukacji i rozwoju </w:t>
      </w:r>
      <w:r w:rsidRPr="00F531D6">
        <w:lastRenderedPageBreak/>
        <w:t>kompetencji, integracji społecznej, rozwoju usług społecznych i ekonomii społecznej oraz ochrony zdrowia</w:t>
      </w:r>
      <w:r>
        <w:t>. W ramach działań w których beneficjentami mogą być: administracja publiczna, instytucje nauki i edukacji, instytucje ochrony zdrowia, instytucje wspierające biznes, organizacje społeczne i związki wyznaniowe, osoby fizyczne, partnerzy społeczni, przedsiębiorstwa, służby publiczne są:</w:t>
      </w:r>
    </w:p>
    <w:p w:rsidR="003F2B0C" w:rsidRPr="00F531D6" w:rsidRDefault="003F2B0C" w:rsidP="003F2B0C">
      <w:pPr>
        <w:pStyle w:val="Akapitzlist"/>
        <w:numPr>
          <w:ilvl w:val="0"/>
          <w:numId w:val="32"/>
        </w:numPr>
      </w:pPr>
      <w:r w:rsidRPr="00F531D6">
        <w:rPr>
          <w:b/>
          <w:bCs/>
        </w:rPr>
        <w:t>Działanie FERS.01.01 Współpraca ponadnarodowa</w:t>
      </w:r>
      <w:r>
        <w:rPr>
          <w:b/>
          <w:bCs/>
        </w:rPr>
        <w:t xml:space="preserve">: </w:t>
      </w:r>
      <w:r w:rsidRPr="00F531D6">
        <w:t>w jego ramach przewidziano projekty z zakresu</w:t>
      </w:r>
      <w:r>
        <w:t>:</w:t>
      </w:r>
      <w:r w:rsidRPr="00F531D6">
        <w:t xml:space="preserve"> wsparcia zatrudnienia, promowanie dostępu do zatrudnienia dla osób długotrwale bezrobotnych, wsparcie na rzecz </w:t>
      </w:r>
      <w:proofErr w:type="spellStart"/>
      <w:r w:rsidRPr="00F531D6">
        <w:t>samozatrudnienia</w:t>
      </w:r>
      <w:proofErr w:type="spellEnd"/>
      <w:r w:rsidRPr="00F531D6">
        <w:t>, działania na rzecz wzmocnienia instytucji i słu</w:t>
      </w:r>
      <w:r>
        <w:t>ż</w:t>
      </w:r>
      <w:r w:rsidRPr="00F531D6">
        <w:t xml:space="preserve">b rynku pracy, wspieranie kompetencji cyfrowych, zwiększenia równego i szybkiego dostępu do dobrej jakości trwałych i przystępnych cenowo usług, </w:t>
      </w:r>
      <w:r>
        <w:t xml:space="preserve">poprawy dostępu do wysokiej jakości usług w zakresie opieki zdrowotnej, rodzinnej, środowiskowej , opieki długoterminowej, oraz promowanie integracji społecznej osób zagrożonych wykluczeniem i ubóstwem. </w:t>
      </w:r>
    </w:p>
    <w:p w:rsidR="003F2B0C" w:rsidRDefault="003F2B0C" w:rsidP="003F2B0C">
      <w:pPr>
        <w:pStyle w:val="Akapitzlist"/>
        <w:numPr>
          <w:ilvl w:val="0"/>
          <w:numId w:val="32"/>
        </w:numPr>
        <w:spacing w:after="160"/>
      </w:pPr>
      <w:r w:rsidRPr="006404D2">
        <w:rPr>
          <w:b/>
          <w:bCs/>
        </w:rPr>
        <w:t>Działanie FERS.01.02 Rozwój publicznych służb zatrudnienia</w:t>
      </w:r>
      <w:r>
        <w:t xml:space="preserve">, którego beneficjentami są: administracja rządowa, instytucje rynku pracy, jednostki naukowe, jednostki organizacyjne działające w imieniu jednostek samorządu terytorialnego, jednostki samorządu terytorialnego, organizacje badawcze, organizacje pozarządowe, organizacje zrzeszające pracodawców, podmioty ekonomii społecznej, uczelnie, związki zawodowe. W ramach wsparcia przewidziano działania z zakresu: rozwoju kwalifikacji i kompetencji pracowników instytucji rynku pracy w zakresie profesjonalizacji wsparcia świadczonego na rzecz osób będących w szczególnie trudnej sytuacji na rynku pracy, wypracowania szczegółowych standardów dotyczących wsparcia osób młodych i wykluczonych, stworzenia systemu monitorowania sytuacji osób objętych wsparciem po zakończeniu, opracowanie interaktywnych narzędzi ułatwiających tworzenie ścieżek kariery i ścieżek edukacyjnych przy wykorzystaniu istniejących materiałów </w:t>
      </w:r>
      <w:proofErr w:type="spellStart"/>
      <w:r>
        <w:t>zawodoznawczych</w:t>
      </w:r>
      <w:proofErr w:type="spellEnd"/>
      <w:r>
        <w:t xml:space="preserve">, baz danych i klasyfikacji, </w:t>
      </w:r>
    </w:p>
    <w:p w:rsidR="003F2B0C" w:rsidRDefault="003F2B0C" w:rsidP="003F2B0C">
      <w:pPr>
        <w:pStyle w:val="Akapitzlist"/>
        <w:numPr>
          <w:ilvl w:val="0"/>
          <w:numId w:val="32"/>
        </w:numPr>
        <w:spacing w:after="160"/>
      </w:pPr>
      <w:r w:rsidRPr="007A0682">
        <w:rPr>
          <w:b/>
          <w:bCs/>
        </w:rPr>
        <w:t>Działanie FERS.01.04 Rozwój systemu edukacji</w:t>
      </w:r>
      <w:r>
        <w:rPr>
          <w:b/>
          <w:bCs/>
        </w:rPr>
        <w:t xml:space="preserve">: </w:t>
      </w:r>
      <w:r>
        <w:t xml:space="preserve">w ramach wsparcia przewidziano działania z zakresu </w:t>
      </w:r>
      <w:r w:rsidRPr="007A0682">
        <w:t>edukac</w:t>
      </w:r>
      <w:r>
        <w:t>ji</w:t>
      </w:r>
      <w:r w:rsidRPr="007A0682">
        <w:t xml:space="preserve"> dla kadr systemu oświaty i JST w obszarach kluczowych, </w:t>
      </w:r>
      <w:r>
        <w:t>rozwijania kompetencji kluczowych dzieci, kompetencji cyfrowych i metodycznych nauczycieli, r</w:t>
      </w:r>
      <w:r w:rsidRPr="007A0682">
        <w:t>oz</w:t>
      </w:r>
      <w:r>
        <w:t>woju</w:t>
      </w:r>
      <w:r w:rsidRPr="007A0682">
        <w:t xml:space="preserve"> narzędzi i metodyki kształcenia ukierunkowanych na wspieranie kształcenia kompetencji</w:t>
      </w:r>
      <w:r>
        <w:t>, rozwoju systemu monitoringu karier absolwentów szkół ponadpodstawowych, opracowania i wdrożenia rozwiązań wspierających współpracę pracodawców ze szkołami, rozwoju cyfrowego edukacji. Grupą docelową wsparcia są jednostki systemu oświaty, kadra JST, organizacje pozarządowe, organizacje pracodawców, podmioty świadczące usługi edukacyjne, pracodawcy, pracownicy systemu oświaty, przedsiębiorcy, rodzice lub opiekunowie, uczniowie.</w:t>
      </w:r>
    </w:p>
    <w:p w:rsidR="003F2B0C" w:rsidRDefault="003F2B0C" w:rsidP="003F2B0C">
      <w:pPr>
        <w:pStyle w:val="Akapitzlist"/>
        <w:numPr>
          <w:ilvl w:val="0"/>
          <w:numId w:val="32"/>
        </w:numPr>
        <w:spacing w:after="160"/>
      </w:pPr>
      <w:r w:rsidRPr="00ED38BE">
        <w:rPr>
          <w:b/>
          <w:bCs/>
        </w:rPr>
        <w:lastRenderedPageBreak/>
        <w:t>Działanie FERS.01.06 Edukacja włączająca</w:t>
      </w:r>
      <w:r>
        <w:t>.</w:t>
      </w:r>
      <w:r w:rsidRPr="00ED38BE">
        <w:t xml:space="preserve"> </w:t>
      </w:r>
      <w:r>
        <w:t xml:space="preserve">Grupą docelową wsparcia są jednostki systemu oświaty, kadra JST, organizacje pozarządowe, organy prowadzące szkoły i placówki systemu oświaty, podmioty świadczące usługi edukacyjne, pracownicy systemu oświaty, rodzice lub opiekunowie, studenci, uczniowie. W ramach wsparcia przewidziano działania z zakresu </w:t>
      </w:r>
      <w:r w:rsidRPr="00ED38BE">
        <w:t>wsparci</w:t>
      </w:r>
      <w:r>
        <w:t>a</w:t>
      </w:r>
      <w:r w:rsidRPr="00ED38BE">
        <w:t xml:space="preserve"> dla poradnictwa psychologiczno-pedagogicznego</w:t>
      </w:r>
      <w:r>
        <w:t xml:space="preserve">, </w:t>
      </w:r>
      <w:r w:rsidRPr="00ED38BE">
        <w:t>szkol</w:t>
      </w:r>
      <w:r>
        <w:t>eń</w:t>
      </w:r>
      <w:r w:rsidRPr="00ED38BE">
        <w:t xml:space="preserve"> i doradztw</w:t>
      </w:r>
      <w:r>
        <w:t>a</w:t>
      </w:r>
      <w:r w:rsidRPr="00ED38BE">
        <w:t xml:space="preserve"> dla kadr edukacji włączającej</w:t>
      </w:r>
      <w:r>
        <w:t xml:space="preserve">, budowy skoordynowanego systemu pomocy specjalistycznej opartego na Specjalistycznych Centrach Wspierających Edukację Włączającą, </w:t>
      </w:r>
    </w:p>
    <w:p w:rsidR="003F2B0C" w:rsidRDefault="003F2B0C" w:rsidP="003F2B0C">
      <w:pPr>
        <w:pStyle w:val="Akapitzlist"/>
        <w:numPr>
          <w:ilvl w:val="0"/>
          <w:numId w:val="32"/>
        </w:numPr>
        <w:spacing w:after="160"/>
      </w:pPr>
      <w:r w:rsidRPr="00853781">
        <w:rPr>
          <w:b/>
          <w:bCs/>
        </w:rPr>
        <w:t>Działanie FERS.01.09 Rozwój kompetencji cyfrowych</w:t>
      </w:r>
      <w:r>
        <w:rPr>
          <w:b/>
          <w:bCs/>
        </w:rPr>
        <w:t xml:space="preserve">. </w:t>
      </w:r>
      <w:r w:rsidRPr="00853781">
        <w:t>Beneficjentami działania są jednostki samorządu terytorialnego</w:t>
      </w:r>
      <w:r>
        <w:t xml:space="preserve">. </w:t>
      </w:r>
      <w:r w:rsidRPr="00853781">
        <w:t xml:space="preserve">W ramach działania </w:t>
      </w:r>
      <w:r>
        <w:t>wsparte mogą być nowo powstające</w:t>
      </w:r>
      <w:r w:rsidRPr="00853781">
        <w:t xml:space="preserve"> lokalne ośrodki rozwoju kompetencji cyfrowych</w:t>
      </w:r>
      <w:r>
        <w:t xml:space="preserve">, które wesprą uczenie się przez całe życie, w szczególności poprzez uelastycznienie możliwości podnoszenia i zmiany kwalifikacji dla wszystkich. </w:t>
      </w:r>
    </w:p>
    <w:p w:rsidR="003F2B0C" w:rsidRDefault="003F2B0C" w:rsidP="003F2B0C">
      <w:pPr>
        <w:pStyle w:val="Akapitzlist"/>
        <w:numPr>
          <w:ilvl w:val="0"/>
          <w:numId w:val="32"/>
        </w:numPr>
        <w:spacing w:after="160"/>
      </w:pPr>
      <w:r w:rsidRPr="00376D15">
        <w:rPr>
          <w:b/>
          <w:bCs/>
        </w:rPr>
        <w:t>Działanie FERS.01.10 Monitorowanie i identyfikacja potrzeb kompetencyjnych na rynku pracy.</w:t>
      </w:r>
      <w:r>
        <w:t xml:space="preserve"> Grupą docelową objętą wsparciem jest: administracja publiczna (w tym rządowa) oraz podległe jej organy i jednostki organizacyjne, instytucje rynku pracy (w tym publiczne służby zatrudnienia), jednostki systemu oświaty, JST oraz podległe im podmioty, organizacje i instytuty badawcze, organizacje pozarządowe, partnerzy gospodarczy, partnerzy społeczni, podmioty świadczące usługi edukacyjne, podmioty świadczące usługi rozwojowe, pracodawcy, pracownicy, Sektorowe Rady do spraw Kompetencji, uczelnie i inne podmioty systemu szkolnictwa wyższego i nauki. Działania mogą obejmować analizę i badania tematyczne w obszarach kluczowych dla efektywności rynku pracy, prace nad bilansem kapitału ludzkiego, wsparcie prac sektorowych rad ds. kompetencji.</w:t>
      </w:r>
    </w:p>
    <w:p w:rsidR="003F2B0C" w:rsidRDefault="003F2B0C" w:rsidP="003F2B0C">
      <w:pPr>
        <w:pStyle w:val="Akapitzlist"/>
        <w:numPr>
          <w:ilvl w:val="0"/>
          <w:numId w:val="32"/>
        </w:numPr>
        <w:spacing w:after="160"/>
      </w:pPr>
      <w:r w:rsidRPr="005C29F9">
        <w:rPr>
          <w:b/>
          <w:bCs/>
        </w:rPr>
        <w:t>Działanie FERS.02.01 Opieka nad dziećmi do lat 3 - program Maluch+</w:t>
      </w:r>
      <w:r>
        <w:rPr>
          <w:b/>
          <w:bCs/>
        </w:rPr>
        <w:t xml:space="preserve">. </w:t>
      </w:r>
      <w:r w:rsidRPr="005C29F9">
        <w:t>W ramach tego typu projektu realizowane będą działania mające na celu poprawę dostępu do wczesnej edukacji i opieki nad dziećmi poprzez zwiększenie liczby miejsc opieki w jej instytucjonalnych formach (żłobki, kluby dziecięce, dzienni opiekunowie), w nowo utworzonych lub istniejących placówkach oraz zapewnienie ich dofinansowania przez pierwsze 36 miesięcy funkcjonowania</w:t>
      </w:r>
      <w:r>
        <w:t>. Grupą docelową objętą wsparciem będą: JST oraz podległe im podmioty, osoby fizyczne, osoby prawne i jednostki organizacyjne nieposiadające.</w:t>
      </w:r>
    </w:p>
    <w:p w:rsidR="003F2B0C" w:rsidRDefault="003F2B0C" w:rsidP="003F2B0C">
      <w:pPr>
        <w:pStyle w:val="Akapitzlist"/>
        <w:numPr>
          <w:ilvl w:val="0"/>
          <w:numId w:val="32"/>
        </w:numPr>
        <w:spacing w:after="160"/>
      </w:pPr>
      <w:r w:rsidRPr="005C29F9">
        <w:rPr>
          <w:b/>
          <w:bCs/>
        </w:rPr>
        <w:t>Działanie FERS.02.02 Wsparcie systemu opieki nad dziećmi do lat 3</w:t>
      </w:r>
      <w:r>
        <w:rPr>
          <w:b/>
          <w:bCs/>
        </w:rPr>
        <w:t xml:space="preserve">. </w:t>
      </w:r>
      <w:r w:rsidRPr="0026203F">
        <w:t>Celem wsparcia będzie podniesienie kompetencji przedstawicieli podmiotów tworzących instytucje opieki nad dziećmi w wieku</w:t>
      </w:r>
      <w:r>
        <w:t xml:space="preserve">. Grupa docelową objętą wsparciem będą: JST oraz podległe im podmioty, osoby fizyczne, osoby podejmujące pracę w instytucjach opieki nad dziećmi w wieku do lat 3, osoby pracujące w instytucjach opieki nad dziećmi w wieku do lat 3, osoby prawne i jednostki </w:t>
      </w:r>
      <w:r>
        <w:lastRenderedPageBreak/>
        <w:t>organizacyjne nieposiadające osobowości prawnej, podmioty publiczne, pracownicy podmiotów prowadzących instytucje opieki nad dziećmi w wieku do lat 3.</w:t>
      </w:r>
    </w:p>
    <w:p w:rsidR="003F2B0C" w:rsidRDefault="003F2B0C" w:rsidP="003F2B0C">
      <w:pPr>
        <w:pStyle w:val="Akapitzlist"/>
        <w:numPr>
          <w:ilvl w:val="0"/>
          <w:numId w:val="32"/>
        </w:numPr>
        <w:spacing w:after="160"/>
      </w:pPr>
      <w:r w:rsidRPr="0026203F">
        <w:rPr>
          <w:b/>
          <w:bCs/>
        </w:rPr>
        <w:t>Działanie FERS.03.02 Dostępność cyfrowa</w:t>
      </w:r>
      <w:r>
        <w:rPr>
          <w:b/>
          <w:bCs/>
        </w:rPr>
        <w:t xml:space="preserve">. </w:t>
      </w:r>
      <w:r w:rsidRPr="0026203F">
        <w:t>W ramach wsparcia przewidziano</w:t>
      </w:r>
      <w:r>
        <w:t xml:space="preserve"> m.in.</w:t>
      </w:r>
      <w:r w:rsidRPr="0026203F">
        <w:t xml:space="preserve"> działania z zakresu opracowania planu strategicznego wdrażania dostępności cyfrowej w</w:t>
      </w:r>
      <w:r>
        <w:t> </w:t>
      </w:r>
      <w:r w:rsidRPr="0026203F">
        <w:t>Polsce w perspektywie do 2030 r., a także szkoleń dotyczących dostępności cyfrowej w</w:t>
      </w:r>
      <w:r>
        <w:t> </w:t>
      </w:r>
      <w:r w:rsidRPr="0026203F">
        <w:t>celu zwiększenia liczby wykształconych specjalistów w tej dziedzinie</w:t>
      </w:r>
      <w:r>
        <w:t>. Grupą docelową objęta wsparciem są:</w:t>
      </w:r>
      <w:r w:rsidRPr="0026203F">
        <w:t xml:space="preserve"> </w:t>
      </w:r>
      <w:r>
        <w:t xml:space="preserve">administracja publiczna (w tym rządowa) oraz podległe jej organy i jednostki organizacyjne, JST oraz podległe im podmioty, organizacje i instytuty badawcze, osoby dorosłe, podmioty odpowiedzialne za monitoring dostępności cyfrowej w Polsce, pracownicy podmiotów publicznych, pracownicy uczelni i innych podmiotów systemu szkolnictwa wyższego i nauki, przedsiębiorcy, przedsiębiorstwa (w tym MŚP), przedstawiciele organizacji pozarządowych, przedstawiciele partnerów społecznych, specjaliści działający w obszarze cyfrowym, uczelnie i inne podmioty systemu szkolnictwa wyższego i nauki. </w:t>
      </w:r>
    </w:p>
    <w:p w:rsidR="003F2B0C" w:rsidRDefault="003F2B0C" w:rsidP="003F2B0C">
      <w:pPr>
        <w:pStyle w:val="Akapitzlist"/>
        <w:numPr>
          <w:ilvl w:val="0"/>
          <w:numId w:val="32"/>
        </w:numPr>
        <w:spacing w:after="160"/>
      </w:pPr>
      <w:r w:rsidRPr="0026203F">
        <w:rPr>
          <w:b/>
          <w:bCs/>
        </w:rPr>
        <w:t>Działanie FERS.03.03 Systemowa poprawa dostępności</w:t>
      </w:r>
      <w:r>
        <w:rPr>
          <w:b/>
          <w:bCs/>
        </w:rPr>
        <w:t xml:space="preserve">. </w:t>
      </w:r>
      <w:r w:rsidRPr="0026203F">
        <w:t>Beneficjentami wsparcia są: administracja publiczna, instytucje nauki i edukacji, instytucje ochrony zdrowia, instytucje wspierające biznes, organizacje społeczne i związki wyznaniowe, partnerstwa, partnerzy społeczni, przedsiębiorstwa, przedsiębiorstwa realizujące cele publiczne, służby publiczne</w:t>
      </w:r>
      <w:r>
        <w:t>. W ramach wsparcia przewidziano między innymi: szkolenia i doradztwo dla kadr podmiotów publicznych, identyfikację barier na terenie oraz w usługach świadczonych przez JST i przygotowanie rekomendacji dla ich ograniczenia, animację i spotkania z udziałem podmiotów publicznych i NGO w celu wypracowywania najlepszych rozwiązań dla poprawy dostępności na danym terenie, pomoc w dostosowywaniu procedur oraz komunikacji do wymogów dostępności, działania poprawiające dostępność podmiotów publicznych, w tym działania inwestycyjne. Powyższe działania maja wspierać aktywne włączenie społeczne w celu promowania równości szans, niedyskryminacji i aktywnego uczestnictwa, oraz zwiększyć zdolności do zatrudnienia, w szczególności grup w niekorzystnej sytuacji.</w:t>
      </w:r>
    </w:p>
    <w:p w:rsidR="003F2B0C" w:rsidRPr="00CC49EC" w:rsidRDefault="003F2B0C" w:rsidP="003F2B0C">
      <w:pPr>
        <w:pStyle w:val="Akapitzlist"/>
        <w:numPr>
          <w:ilvl w:val="0"/>
          <w:numId w:val="32"/>
        </w:numPr>
        <w:spacing w:after="160"/>
        <w:rPr>
          <w:b/>
          <w:bCs/>
        </w:rPr>
      </w:pPr>
      <w:r w:rsidRPr="00974DE3">
        <w:rPr>
          <w:b/>
          <w:bCs/>
        </w:rPr>
        <w:t xml:space="preserve">Działanie FERS.03.04 Nowe rozwiązania na rzecz osób z </w:t>
      </w:r>
      <w:proofErr w:type="spellStart"/>
      <w:r w:rsidRPr="00974DE3">
        <w:rPr>
          <w:b/>
          <w:bCs/>
        </w:rPr>
        <w:t>niepełnosprawnościami</w:t>
      </w:r>
      <w:proofErr w:type="spellEnd"/>
      <w:r>
        <w:rPr>
          <w:b/>
          <w:bCs/>
        </w:rPr>
        <w:t xml:space="preserve">. </w:t>
      </w:r>
      <w:r w:rsidRPr="00CC49EC">
        <w:t>Beneficjentami są:</w:t>
      </w:r>
      <w:r>
        <w:rPr>
          <w:b/>
          <w:bCs/>
        </w:rPr>
        <w:t xml:space="preserve"> </w:t>
      </w:r>
      <w:r w:rsidRPr="00974DE3">
        <w:t>administracja rządowa, jednostki naukowe, jednostki organizacyjne działające w imieniu jednostek samorządu terytorialnego, jednostki samorządu terytorialnego, MŚP, organizacje badawcze, organizacje pozarządowe, podmioty ekonomii społecznej, uczelnie</w:t>
      </w:r>
      <w:r>
        <w:t xml:space="preserve">. Działania objęte wsparciem mają wspomóc wdrażanie rozwiązań zatrudnienia wspomaganego dla osób z </w:t>
      </w:r>
      <w:proofErr w:type="spellStart"/>
      <w:r>
        <w:t>niepełnosprawnościami</w:t>
      </w:r>
      <w:proofErr w:type="spellEnd"/>
      <w:r>
        <w:t xml:space="preserve">, opracowanie modelu wsparcia dla rodzin, w których funkcjonują osoby z </w:t>
      </w:r>
      <w:proofErr w:type="spellStart"/>
      <w:r>
        <w:t>niepełnosprawnościami</w:t>
      </w:r>
      <w:proofErr w:type="spellEnd"/>
      <w:r>
        <w:t xml:space="preserve">, wdrożenie sprawnego systemu orzekania o niepełnosprawności. </w:t>
      </w:r>
    </w:p>
    <w:p w:rsidR="003F2B0C" w:rsidRDefault="003F2B0C" w:rsidP="003F2B0C">
      <w:pPr>
        <w:pStyle w:val="Akapitzlist"/>
        <w:numPr>
          <w:ilvl w:val="0"/>
          <w:numId w:val="32"/>
        </w:numPr>
        <w:spacing w:after="160"/>
      </w:pPr>
      <w:r w:rsidRPr="00CC49EC">
        <w:rPr>
          <w:b/>
          <w:bCs/>
        </w:rPr>
        <w:lastRenderedPageBreak/>
        <w:t>Działanie FERS.04.10 Wspieranie procesów zarządzania migracjami</w:t>
      </w:r>
      <w:r>
        <w:rPr>
          <w:b/>
          <w:bCs/>
        </w:rPr>
        <w:t xml:space="preserve"> </w:t>
      </w:r>
      <w:r w:rsidRPr="00CC49EC">
        <w:rPr>
          <w:b/>
          <w:bCs/>
        </w:rPr>
        <w:t xml:space="preserve">zarobkowymi </w:t>
      </w:r>
      <w:r w:rsidRPr="00CC49EC">
        <w:t>Beneficjentami wsparcia są administracja publiczna (w tym rządowa) oraz podległe jej organy i jednostki organizacyjne, cudzoziemcy, instytucje rynku pracy (w tym publiczne służby zatrudnienia), JST oraz podległe im podmioty, organizacji pozarządowe, partnerzy społeczni, pracodawcy</w:t>
      </w:r>
      <w:r>
        <w:t>. Działania objęte wsparciem mają wypracowywać i wdrażać narzędzia dostarczające kompleksowych informacji o zasadach zatrudniania i pracy w Polsce poprzez: modernizację i rozwój centrum informacyjno-konsultacyjnego wspierającego zatrudnienia cudzoziemców, przepisów o dostępie do polskiego rynku pracy, możliwości rozwojowych kariery i przedsiębiorczości oraz dostosowanie stron internetowych instytucji publicznych i innych podmiotów do potrzeb migrantów zarobkowych.</w:t>
      </w:r>
    </w:p>
    <w:p w:rsidR="003F2B0C" w:rsidRPr="001B42CD" w:rsidRDefault="003F2B0C" w:rsidP="003F2B0C">
      <w:pPr>
        <w:pStyle w:val="Akapitzlist"/>
        <w:numPr>
          <w:ilvl w:val="0"/>
          <w:numId w:val="32"/>
        </w:numPr>
        <w:spacing w:after="160"/>
        <w:rPr>
          <w:b/>
          <w:bCs/>
        </w:rPr>
      </w:pPr>
      <w:r w:rsidRPr="00CC49EC">
        <w:rPr>
          <w:b/>
          <w:bCs/>
        </w:rPr>
        <w:t>Działanie FERS.04.11 Rozwój systemu obsługi cudzoziemców przez publiczne służby zatrudnienia</w:t>
      </w:r>
      <w:r>
        <w:rPr>
          <w:b/>
          <w:bCs/>
        </w:rPr>
        <w:t xml:space="preserve">. </w:t>
      </w:r>
      <w:r w:rsidRPr="001B42CD">
        <w:t>Grupa docelowa objętą wsparciem są: administracja publiczna (w tym rządowa) oraz podległe jej organy i jednostki organizacyjne, cudzoziemcy, instytucje rynku pracy (w tym publiczne służby zatrudnienia), JST oraz podległe im podmioty, organizacje pozarządowe, partnerzy społeczni, pracodawcy</w:t>
      </w:r>
      <w:r>
        <w:t xml:space="preserve">. Działania mają wspierać integrację społeczno-gospodarcza obywateli państw trzecich np. poprzez </w:t>
      </w:r>
      <w:r w:rsidRPr="001B42CD">
        <w:t>stworzenie i modernizację punktów obsługi cudzoziemców</w:t>
      </w:r>
      <w:r>
        <w:t xml:space="preserve">. </w:t>
      </w:r>
    </w:p>
    <w:p w:rsidR="003F2B0C" w:rsidRDefault="003F2B0C" w:rsidP="003F2B0C">
      <w:pPr>
        <w:pStyle w:val="Akapitzlist"/>
        <w:numPr>
          <w:ilvl w:val="0"/>
          <w:numId w:val="32"/>
        </w:numPr>
        <w:spacing w:after="160"/>
      </w:pPr>
      <w:r w:rsidRPr="001B42CD">
        <w:rPr>
          <w:b/>
          <w:bCs/>
        </w:rPr>
        <w:t>Działanie FERS.04.13 Wysokiej jakości system włączenia społecznego</w:t>
      </w:r>
      <w:r>
        <w:t>.</w:t>
      </w:r>
      <w:r w:rsidRPr="001B42CD">
        <w:t xml:space="preserve"> </w:t>
      </w:r>
      <w:r>
        <w:t>Działania objęte wsparciem mają podnosić kompetencje pracowników instytucji regionalnych zajmujących się planowaniem oraz wdrażaniem polityki z zakresu usług społecznych na poziomie regionu, w tym doradztwa i rzecznictwa na rzecz regionalnych instytucji publicznych zajmujących się obszarem włączenia społecznego.</w:t>
      </w:r>
      <w:r w:rsidRPr="001B42CD">
        <w:t xml:space="preserve"> Beneficjentami wsparcia mogą być:</w:t>
      </w:r>
      <w:r>
        <w:t xml:space="preserve"> </w:t>
      </w:r>
      <w:r w:rsidRPr="001B42CD">
        <w:t>administracja rządowa, jednostki samorządu terytorialnego, podmioty ekonomii społecznej</w:t>
      </w:r>
      <w:r>
        <w:t>.</w:t>
      </w:r>
    </w:p>
    <w:p w:rsidR="003F2B0C" w:rsidRPr="001B42CD" w:rsidRDefault="003F2B0C" w:rsidP="003F2B0C">
      <w:pPr>
        <w:pStyle w:val="Akapitzlist"/>
        <w:numPr>
          <w:ilvl w:val="0"/>
          <w:numId w:val="32"/>
        </w:numPr>
        <w:spacing w:after="160"/>
      </w:pPr>
      <w:r w:rsidRPr="001B42CD">
        <w:rPr>
          <w:b/>
          <w:bCs/>
        </w:rPr>
        <w:t xml:space="preserve">Działanie FERS.04.14 </w:t>
      </w:r>
      <w:proofErr w:type="spellStart"/>
      <w:r w:rsidRPr="001B42CD">
        <w:rPr>
          <w:b/>
          <w:bCs/>
        </w:rPr>
        <w:t>Deinstytucjonalizacja</w:t>
      </w:r>
      <w:proofErr w:type="spellEnd"/>
      <w:r w:rsidRPr="001B42CD">
        <w:rPr>
          <w:b/>
          <w:bCs/>
        </w:rPr>
        <w:t xml:space="preserve"> długoterminowej opieki medycznej</w:t>
      </w:r>
      <w:r>
        <w:rPr>
          <w:b/>
          <w:bCs/>
        </w:rPr>
        <w:t xml:space="preserve">. </w:t>
      </w:r>
      <w:r w:rsidRPr="001B42CD">
        <w:t>Beneficjentami wsparcia mogą być:</w:t>
      </w:r>
      <w:r>
        <w:t xml:space="preserve"> </w:t>
      </w:r>
      <w:r w:rsidRPr="001B42CD">
        <w:t>administracja rządowa, jednostki samorządu terytorialnego</w:t>
      </w:r>
      <w:r>
        <w:t>. W ramach działań przewiduje się opracowanie i pilotaż nowych form opieki dziennej dla osób starszych, w tym z zaburzeniami otępiennymi i Osób z </w:t>
      </w:r>
      <w:proofErr w:type="spellStart"/>
      <w:r>
        <w:t>Niepełnosprawnościami</w:t>
      </w:r>
      <w:proofErr w:type="spellEnd"/>
      <w:r>
        <w:t xml:space="preserve"> (</w:t>
      </w:r>
      <w:proofErr w:type="spellStart"/>
      <w:r>
        <w:t>OzN</w:t>
      </w:r>
      <w:proofErr w:type="spellEnd"/>
      <w:r>
        <w:t xml:space="preserve">) w każdym wieku oraz działania na rzecz poprawy dostępności domowej opieki zdrowotnej dla osób starszych i </w:t>
      </w:r>
      <w:proofErr w:type="spellStart"/>
      <w:r>
        <w:t>OzN</w:t>
      </w:r>
      <w:proofErr w:type="spellEnd"/>
      <w:r>
        <w:t>.</w:t>
      </w:r>
    </w:p>
    <w:p w:rsidR="003F2B0C" w:rsidRPr="00FC396E" w:rsidRDefault="003F2B0C" w:rsidP="003F2B0C">
      <w:pPr>
        <w:spacing w:after="160"/>
        <w:rPr>
          <w:b/>
          <w:bCs/>
        </w:rPr>
      </w:pPr>
      <w:r w:rsidRPr="005B3003">
        <w:rPr>
          <w:b/>
          <w:bCs/>
          <w:color w:val="FFC000"/>
        </w:rPr>
        <w:t>Program Fundusze Europejskie na Rozwój Cyfrowy (FERC).</w:t>
      </w:r>
      <w:r w:rsidRPr="005B3003">
        <w:rPr>
          <w:color w:val="FFC000"/>
        </w:rPr>
        <w:t xml:space="preserve"> </w:t>
      </w:r>
      <w:r>
        <w:t xml:space="preserve">Celem programu jest </w:t>
      </w:r>
      <w:r w:rsidRPr="00FC396E">
        <w:t xml:space="preserve">zwiększenie dostępu do ultra-szybkiego </w:t>
      </w:r>
      <w:proofErr w:type="spellStart"/>
      <w:r w:rsidRPr="00FC396E">
        <w:t>internetu</w:t>
      </w:r>
      <w:proofErr w:type="spellEnd"/>
      <w:r w:rsidRPr="00FC396E">
        <w:t xml:space="preserve"> szerokopasmowego</w:t>
      </w:r>
      <w:r>
        <w:t xml:space="preserve">, </w:t>
      </w:r>
      <w:r w:rsidRPr="00FC396E">
        <w:t xml:space="preserve">zwiększenie ilości </w:t>
      </w:r>
      <w:r>
        <w:t xml:space="preserve">otwartych </w:t>
      </w:r>
      <w:r w:rsidRPr="00FC396E">
        <w:t xml:space="preserve">danych wysokiej jakości </w:t>
      </w:r>
      <w:r>
        <w:t>w rozwoju gospodarki i administracji, rozwój</w:t>
      </w:r>
      <w:r w:rsidRPr="00FC396E">
        <w:t xml:space="preserve"> zaawansowanych e-usług</w:t>
      </w:r>
      <w:r>
        <w:t xml:space="preserve">. </w:t>
      </w:r>
    </w:p>
    <w:p w:rsidR="003F2B0C" w:rsidRPr="00FC396E" w:rsidRDefault="003F2B0C" w:rsidP="003F2B0C">
      <w:pPr>
        <w:pStyle w:val="Akapitzlist"/>
        <w:numPr>
          <w:ilvl w:val="0"/>
          <w:numId w:val="33"/>
        </w:numPr>
        <w:spacing w:after="160"/>
        <w:rPr>
          <w:b/>
          <w:bCs/>
        </w:rPr>
      </w:pPr>
      <w:r w:rsidRPr="00FC396E">
        <w:rPr>
          <w:b/>
          <w:bCs/>
        </w:rPr>
        <w:t>Działanie FERC.02.01 Wysoka jakość i dostępność e-usług publicznych</w:t>
      </w:r>
      <w:r>
        <w:rPr>
          <w:b/>
          <w:bCs/>
        </w:rPr>
        <w:t xml:space="preserve">. </w:t>
      </w:r>
      <w:r w:rsidRPr="00FC396E">
        <w:t xml:space="preserve">Zakres interwencji przewiduje inwestycje w rozwój narzędzi teleinformatycznych, e-usług, aplikacji dla </w:t>
      </w:r>
      <w:r w:rsidRPr="00FC396E">
        <w:lastRenderedPageBreak/>
        <w:t>administracji</w:t>
      </w:r>
      <w:r>
        <w:t xml:space="preserve">, systemy back-office, a grupą docelową objętą wsparciem są: </w:t>
      </w:r>
      <w:r w:rsidRPr="00FC396E">
        <w:t>administracja publiczna (w tym rządowa) oraz podległe jej organy i jednostki organizacyjne, archiwa państwowe, instytucje kultury, obywatele, organizacje pozarządowe, podmioty lecznicze, przedsiębiorcy, samorządy zawodowe, uczelnie i inne podmioty systemu szkolnictwa wyższego i nauki</w:t>
      </w:r>
    </w:p>
    <w:p w:rsidR="003F2B0C" w:rsidRPr="009836C5" w:rsidRDefault="003F2B0C" w:rsidP="003F2B0C">
      <w:pPr>
        <w:pStyle w:val="Akapitzlist"/>
        <w:numPr>
          <w:ilvl w:val="0"/>
          <w:numId w:val="33"/>
        </w:numPr>
        <w:rPr>
          <w:b/>
        </w:rPr>
      </w:pPr>
      <w:bookmarkStart w:id="65" w:name="_Toc166578010"/>
      <w:r w:rsidRPr="009836C5">
        <w:rPr>
          <w:b/>
          <w:bCs/>
        </w:rPr>
        <w:t>Działanie FERC.02.04 Współpraca międzysektorowa na rzecz cyfrowych rozwiązań problemów społeczno-gospodarczych</w:t>
      </w:r>
      <w:bookmarkEnd w:id="65"/>
      <w:r w:rsidRPr="009836C5">
        <w:rPr>
          <w:b/>
          <w:bCs/>
        </w:rPr>
        <w:t xml:space="preserve">. </w:t>
      </w:r>
      <w:r w:rsidRPr="009836C5">
        <w:t>Zakłada się, że w wyniku wsparcia powstaną cyfrowe rozwiązania</w:t>
      </w:r>
      <w:r>
        <w:t xml:space="preserve"> takie jak </w:t>
      </w:r>
      <w:r w:rsidRPr="009836C5">
        <w:t>aplikacj</w:t>
      </w:r>
      <w:r>
        <w:t>e</w:t>
      </w:r>
      <w:r w:rsidRPr="009836C5">
        <w:t>, narzędzi</w:t>
      </w:r>
      <w:r>
        <w:t>a</w:t>
      </w:r>
      <w:r w:rsidRPr="009836C5">
        <w:t>, usług</w:t>
      </w:r>
      <w:r>
        <w:t>i</w:t>
      </w:r>
      <w:r w:rsidRPr="009836C5">
        <w:t xml:space="preserve"> wspomagając</w:t>
      </w:r>
      <w:r>
        <w:t>e</w:t>
      </w:r>
      <w:r w:rsidRPr="009836C5">
        <w:t xml:space="preserve"> transformację cyfrową jednostek samorządu terytorialnego</w:t>
      </w:r>
      <w:r>
        <w:t>, które mogą zostać wykorzystane</w:t>
      </w:r>
      <w:r w:rsidRPr="009836C5">
        <w:t xml:space="preserve"> w</w:t>
      </w:r>
      <w:r>
        <w:t> </w:t>
      </w:r>
      <w:r w:rsidRPr="009836C5">
        <w:t xml:space="preserve">lokalnych projektach smart city/ smart </w:t>
      </w:r>
      <w:proofErr w:type="spellStart"/>
      <w:r w:rsidRPr="009836C5">
        <w:t>village</w:t>
      </w:r>
      <w:proofErr w:type="spellEnd"/>
      <w:r w:rsidRPr="009836C5">
        <w:t xml:space="preserve">, wykorzystujących sztuczną inteligencję (AI), </w:t>
      </w:r>
      <w:proofErr w:type="spellStart"/>
      <w:r w:rsidRPr="009836C5">
        <w:t>internet</w:t>
      </w:r>
      <w:proofErr w:type="spellEnd"/>
      <w:r w:rsidRPr="009836C5">
        <w:t xml:space="preserve"> rzeczy (</w:t>
      </w:r>
      <w:proofErr w:type="spellStart"/>
      <w:r w:rsidRPr="009836C5">
        <w:t>IoT</w:t>
      </w:r>
      <w:proofErr w:type="spellEnd"/>
      <w:r w:rsidRPr="009836C5">
        <w:t>), wielkie zbiory danych (big data</w:t>
      </w:r>
      <w:r>
        <w:t>). Wsparciem mogą być również objęte</w:t>
      </w:r>
      <w:r w:rsidRPr="009836C5">
        <w:t xml:space="preserve"> technologie </w:t>
      </w:r>
      <w:r>
        <w:t>wykorzystywane do</w:t>
      </w:r>
      <w:r w:rsidRPr="009836C5">
        <w:t xml:space="preserve"> rozwiązywania lokalnych i regionalnych problemów społecznych i gospodarczych, np. w</w:t>
      </w:r>
      <w:r>
        <w:t> </w:t>
      </w:r>
      <w:r w:rsidRPr="009836C5">
        <w:t>zarządzaniu inteligentnymi miastami</w:t>
      </w:r>
      <w:r>
        <w:t xml:space="preserve"> i gminami. Beneficjentami wsparcia mogą być administracja rządowa, jednostki samorządu terytorialnego.</w:t>
      </w:r>
    </w:p>
    <w:p w:rsidR="003F2B0C" w:rsidRPr="003C241B" w:rsidRDefault="003F2B0C" w:rsidP="003F2B0C">
      <w:r w:rsidRPr="005B3003">
        <w:rPr>
          <w:b/>
          <w:bCs/>
          <w:color w:val="FFC000"/>
        </w:rPr>
        <w:t xml:space="preserve">Program Czyste Powietrze realizowany przez Narodowy Fundusz Ochrony Środowiska i Gospodarki Wodnej </w:t>
      </w:r>
      <w:r>
        <w:t>przewidziany jest na lata</w:t>
      </w:r>
      <w:r w:rsidRPr="003C241B">
        <w:t xml:space="preserve"> 2018-2029, a jego głównym celem jest poprawa jakości powietrza oraz zmniejszenie emisji gazów cieplarnianych poprzez wymianę nieefektywnych źródeł ciepła, termomodernizację budynku lub lokalu mieszkalnego. Formami dofinansowania są: dotacje, pożyczki dla gmin, jako uzupełniające finansowanie dla beneficjentów, dotacje na częściową spłatę kapitału kredytu bankowego, dotacja z</w:t>
      </w:r>
      <w:r>
        <w:t> </w:t>
      </w:r>
      <w:proofErr w:type="spellStart"/>
      <w:r w:rsidRPr="003C241B">
        <w:t>prefinansowaniem</w:t>
      </w:r>
      <w:proofErr w:type="spellEnd"/>
      <w:r w:rsidRPr="003C241B">
        <w:t xml:space="preserve">. Bank Światowy udzielił Polsce pożyczki w ramach programu ,,Czyste Powietrze: ekologiczne źródła ogrzewania w sektorze mieszkaniowym”. Program jest również wspierany przez środki z Unii Europejskiej, w tym z Krajowego Planu Odbudowy (KPO) oraz Funduszy Europejskich na Infrastrukturę Klimat Środowisko </w:t>
      </w:r>
      <w:proofErr w:type="spellStart"/>
      <w:r w:rsidRPr="003C241B">
        <w:t>(FEnIK</w:t>
      </w:r>
      <w:proofErr w:type="spellEnd"/>
      <w:r w:rsidRPr="003C241B">
        <w:t>S).</w:t>
      </w:r>
      <w:r>
        <w:rPr>
          <w:b/>
          <w:bCs/>
        </w:rPr>
        <w:t xml:space="preserve"> </w:t>
      </w:r>
      <w:r w:rsidRPr="003C241B">
        <w:t xml:space="preserve">W ramach programu gminy mogą otrzymać wsparcie finansowe na prowadzenie punktu </w:t>
      </w:r>
      <w:proofErr w:type="spellStart"/>
      <w:r w:rsidRPr="003C241B">
        <w:t>konsultacyjno</w:t>
      </w:r>
      <w:r w:rsidRPr="003C241B">
        <w:rPr>
          <w:rFonts w:ascii="Cambria Math" w:hAnsi="Cambria Math" w:cs="Cambria Math"/>
        </w:rPr>
        <w:t>‐</w:t>
      </w:r>
      <w:r w:rsidRPr="003C241B">
        <w:t>informacyjnego</w:t>
      </w:r>
      <w:proofErr w:type="spellEnd"/>
      <w:r w:rsidRPr="003C241B">
        <w:t xml:space="preserve"> (PKI), oraz premie za liczbę złożonych wniosków przez beneficjentów.</w:t>
      </w:r>
      <w:r w:rsidRPr="003C241B">
        <w:rPr>
          <w:b/>
          <w:bCs/>
        </w:rPr>
        <w:t xml:space="preserve"> </w:t>
      </w:r>
    </w:p>
    <w:p w:rsidR="003F2B0C" w:rsidRPr="00A80B8F" w:rsidRDefault="003F2B0C" w:rsidP="003F2B0C">
      <w:pPr>
        <w:spacing w:after="160"/>
        <w:rPr>
          <w:b/>
          <w:bCs/>
        </w:rPr>
      </w:pPr>
      <w:r w:rsidRPr="005B3003">
        <w:rPr>
          <w:b/>
          <w:bCs/>
          <w:color w:val="FFC000"/>
        </w:rPr>
        <w:t>Narodowy Fundusz Ochrony Środowiska i Gospodarki Wodnej (</w:t>
      </w:r>
      <w:proofErr w:type="spellStart"/>
      <w:r w:rsidRPr="00A80B8F">
        <w:rPr>
          <w:b/>
          <w:bCs/>
          <w:color w:val="FFC000"/>
        </w:rPr>
        <w:t>NFOŚiGW</w:t>
      </w:r>
      <w:proofErr w:type="spellEnd"/>
      <w:r w:rsidRPr="005B3003">
        <w:rPr>
          <w:b/>
          <w:bCs/>
          <w:color w:val="FFC000"/>
        </w:rPr>
        <w:t xml:space="preserve">) </w:t>
      </w:r>
      <w:r w:rsidRPr="006F4FD2">
        <w:t xml:space="preserve">prowadzi </w:t>
      </w:r>
      <w:r>
        <w:t xml:space="preserve">nabory na projekty w ramach środków </w:t>
      </w:r>
      <w:proofErr w:type="spellStart"/>
      <w:r>
        <w:t>FEnIKS</w:t>
      </w:r>
      <w:proofErr w:type="spellEnd"/>
      <w:r>
        <w:t xml:space="preserve"> na takie programy </w:t>
      </w:r>
      <w:r w:rsidRPr="006F4FD2">
        <w:t>jak:</w:t>
      </w:r>
    </w:p>
    <w:p w:rsidR="003F2B0C" w:rsidRDefault="003F2B0C" w:rsidP="003F2B0C">
      <w:pPr>
        <w:pStyle w:val="Akapitzlist"/>
        <w:numPr>
          <w:ilvl w:val="0"/>
          <w:numId w:val="28"/>
        </w:numPr>
        <w:spacing w:after="160"/>
      </w:pPr>
      <w:r>
        <w:rPr>
          <w:b/>
          <w:bCs/>
        </w:rPr>
        <w:t xml:space="preserve">Program </w:t>
      </w:r>
      <w:r w:rsidRPr="006F4FD2">
        <w:rPr>
          <w:b/>
          <w:bCs/>
        </w:rPr>
        <w:t xml:space="preserve">Adaptacja do zmian klimatu: </w:t>
      </w:r>
      <w:r w:rsidRPr="006F4FD2">
        <w:t>możliwymi formami dofinansowania są po</w:t>
      </w:r>
      <w:r>
        <w:t>ż</w:t>
      </w:r>
      <w:r w:rsidRPr="006F4FD2">
        <w:t xml:space="preserve">yczki, dotacje </w:t>
      </w:r>
      <w:r>
        <w:t xml:space="preserve">i przekazanie środków dla państwowych jednostek budżetowych do 50% kosztów </w:t>
      </w:r>
      <w:proofErr w:type="spellStart"/>
      <w:r>
        <w:t>kwalifikowalnych</w:t>
      </w:r>
      <w:proofErr w:type="spellEnd"/>
      <w:r>
        <w:t xml:space="preserve">. Program ma </w:t>
      </w:r>
      <w:r w:rsidRPr="00605EF8">
        <w:t>podnie</w:t>
      </w:r>
      <w:r>
        <w:t>ść</w:t>
      </w:r>
      <w:r w:rsidRPr="00605EF8">
        <w:t xml:space="preserve"> poziom ochrony przed skutkami zmian klimatu oraz zagroże</w:t>
      </w:r>
      <w:r>
        <w:t>niami</w:t>
      </w:r>
      <w:r w:rsidRPr="00605EF8">
        <w:t xml:space="preserve"> naturalny</w:t>
      </w:r>
      <w:r>
        <w:t xml:space="preserve">mi oraz upowszechnić rozwiązania służące poprawie jakości życia mieszkańców poprzez działania zwiększające przystosowanie do zmian klimatu. Sfinansowane będą przedsięwzięcia takie jak: budowa i modernizacja ujęć wód i stacji uzdatniania wody, rozwój ,,zielono-niebieskiej: infrastruktury, zakup specjalistycznego sprzętu do prowadzenia </w:t>
      </w:r>
      <w:r>
        <w:lastRenderedPageBreak/>
        <w:t xml:space="preserve">akcji ratowniczych. Beneficjentami programu są jednostki samorządu terytorialnego i ich związki, podmioty świadczące usługi publiczne w ramach realizacji zadań własnych jednostek, służby ratownicze, państwowe jednostki budżetowe do których zadań należy ochrona środowiska, spółdzielnie mieszkaniowe. </w:t>
      </w:r>
    </w:p>
    <w:p w:rsidR="003F2B0C" w:rsidRDefault="003F2B0C" w:rsidP="003F2B0C">
      <w:pPr>
        <w:pStyle w:val="Akapitzlist"/>
        <w:numPr>
          <w:ilvl w:val="0"/>
          <w:numId w:val="28"/>
        </w:numPr>
        <w:spacing w:after="160"/>
      </w:pPr>
      <w:r>
        <w:rPr>
          <w:b/>
          <w:bCs/>
        </w:rPr>
        <w:t xml:space="preserve">Program </w:t>
      </w:r>
      <w:r w:rsidRPr="00605EF8">
        <w:rPr>
          <w:b/>
          <w:bCs/>
        </w:rPr>
        <w:t>Gospodarka wodno-ściekowa w aglomeracjach</w:t>
      </w:r>
      <w:r>
        <w:rPr>
          <w:b/>
          <w:bCs/>
        </w:rPr>
        <w:t xml:space="preserve">: </w:t>
      </w:r>
      <w:r w:rsidRPr="00140355">
        <w:t>celem projektu jest poprawa stanu wód powierzchniowych i po</w:t>
      </w:r>
      <w:r>
        <w:t>d</w:t>
      </w:r>
      <w:r w:rsidRPr="00140355">
        <w:t>ziemnych poprzez oczyszczanie ścieków.</w:t>
      </w:r>
      <w:r>
        <w:t xml:space="preserve"> Program przewidziany jest do 2029 roku, a umowy w ramach finansowania mają być podpisywane do roku 2027. Formą dofinansowania są pożyczki i będzie ono możliwe w ramach inwestycji w: dostawy lub zakup urządzeń i inwentarzowego wyposażenia technologicznego i sprzętu, będących środkami trwałymi, dostawy instalacji, linii technologicznych, przygotowanie terenu i zaplecza budowy oraz jego likwidacji, robót demontażowych i rozbiórkowych, robót ziemnych i budowlano-montażowych związanych z budową, rozbudową lub modernizacją: oczyszczalni ścieków, sieci kanalizacji sanitarnej i deszczowej oraz obiektów i sieci wchodzących w skład systemów zaopatrzenia ludności w wodę, montażu urządzeń i instalacji w obiektach technologicznych, rozruchu urządzeń i instalacji, przyłączy doprowadzających media do obiektów technologicznych, elementów ogrodzeń i zieleni chroniących obiekty technologiczne, dróg i placów technologicznych, przełożenie sieci i obiektów sieciowych, przyłączy budynków do zbiorczego systemu kanalizacyjnego.</w:t>
      </w:r>
      <w:r w:rsidRPr="008E3EF2">
        <w:t xml:space="preserve"> </w:t>
      </w:r>
      <w:r>
        <w:t xml:space="preserve">Beneficjentami programu są jednostki samorządu terytorialnego i ich związki oraz podmioty świadczące usługi publiczne w ramach realizacji zadań własnych jednostek samorządu terytorialnego. </w:t>
      </w:r>
    </w:p>
    <w:p w:rsidR="003F2B0C" w:rsidRDefault="003F2B0C" w:rsidP="003F2B0C">
      <w:pPr>
        <w:pStyle w:val="Akapitzlist"/>
        <w:numPr>
          <w:ilvl w:val="0"/>
          <w:numId w:val="28"/>
        </w:numPr>
        <w:spacing w:after="160"/>
      </w:pPr>
      <w:r w:rsidRPr="00450203">
        <w:rPr>
          <w:b/>
          <w:bCs/>
        </w:rPr>
        <w:t>Program Przestrzeń dla przyrody</w:t>
      </w:r>
      <w:r>
        <w:rPr>
          <w:b/>
          <w:bCs/>
        </w:rPr>
        <w:t xml:space="preserve">, </w:t>
      </w:r>
      <w:r w:rsidRPr="00450203">
        <w:t xml:space="preserve">który jest współfinansowany w ramach Programu Fundusze Europejskie na Infrastrukturę, Klimat, Środowisko 2021-2027 </w:t>
      </w:r>
      <w:proofErr w:type="spellStart"/>
      <w:r w:rsidRPr="00450203">
        <w:t>(FEnIK</w:t>
      </w:r>
      <w:proofErr w:type="spellEnd"/>
      <w:r w:rsidRPr="00450203">
        <w:t>S)</w:t>
      </w:r>
      <w:r>
        <w:t xml:space="preserve">, i będzie realizowany w latach 2025-2030, formą wsparcia będą dotacje. </w:t>
      </w:r>
    </w:p>
    <w:p w:rsidR="003F2B0C" w:rsidRDefault="003F2B0C" w:rsidP="003F2B0C">
      <w:pPr>
        <w:pStyle w:val="Akapitzlist"/>
        <w:numPr>
          <w:ilvl w:val="0"/>
          <w:numId w:val="28"/>
        </w:numPr>
        <w:spacing w:after="160"/>
      </w:pPr>
      <w:r>
        <w:rPr>
          <w:b/>
          <w:bCs/>
        </w:rPr>
        <w:t xml:space="preserve">Program </w:t>
      </w:r>
      <w:r w:rsidRPr="0075051F">
        <w:rPr>
          <w:b/>
          <w:bCs/>
        </w:rPr>
        <w:t>Gospodarka wodno-ściekowa w zakładach przemysłowych</w:t>
      </w:r>
      <w:r>
        <w:rPr>
          <w:b/>
          <w:bCs/>
        </w:rPr>
        <w:t xml:space="preserve">: </w:t>
      </w:r>
      <w:r>
        <w:t>p</w:t>
      </w:r>
      <w:r w:rsidRPr="0075051F">
        <w:t>rogram jest skierowany do przedsiębiorców oraz jednostek samorządu terytorialnego i ich związków lub podmiotów świadczące usługi publiczne w ramach realizacji zadań własnych jednostek samorządu terytorialnego.</w:t>
      </w:r>
      <w:r>
        <w:t xml:space="preserve"> W jego ramach mogą być dofinansowane takie działania jak: budowa i rozbudowa nowych i istniejących oczyszczalni oraz </w:t>
      </w:r>
      <w:proofErr w:type="spellStart"/>
      <w:r w:rsidRPr="0075051F">
        <w:t>podczyszczalni</w:t>
      </w:r>
      <w:proofErr w:type="spellEnd"/>
      <w:r w:rsidRPr="0075051F">
        <w:t xml:space="preserve"> ścieków przemysłowych</w:t>
      </w:r>
      <w:r>
        <w:t xml:space="preserve"> dla zakładów prowadzących produkcję w sektorach przemysłu spożywczego. Finansowanie udzielane jest w formie pożyczek na warunkach preferencyjnych</w:t>
      </w:r>
    </w:p>
    <w:p w:rsidR="003F2B0C" w:rsidRDefault="003F2B0C" w:rsidP="003F2B0C">
      <w:pPr>
        <w:pStyle w:val="Akapitzlist"/>
        <w:numPr>
          <w:ilvl w:val="0"/>
          <w:numId w:val="28"/>
        </w:numPr>
        <w:spacing w:after="160"/>
      </w:pPr>
      <w:r w:rsidRPr="0068090E">
        <w:rPr>
          <w:b/>
          <w:bCs/>
        </w:rPr>
        <w:t>Program Ochrona i przywracanie różnorodności biologicznej i krajobrazowej:</w:t>
      </w:r>
      <w:r w:rsidRPr="0068090E">
        <w:t xml:space="preserve"> jego celem jest utrzymanie i odtworzenie zasobów przyrodniczych oraz poprawa jakości środowiska na obszarze parków narodowych poprzez zwiększenie efektywności energetycznej oraz  ograniczenie emisji substancji szkodliwych i zanieczyszczeń, a także właściwą gospodarkę </w:t>
      </w:r>
      <w:r w:rsidRPr="0068090E">
        <w:lastRenderedPageBreak/>
        <w:t xml:space="preserve">wodno – ściekową. Finansowanie będzie możliwe w ramach dotacji; przekazania środków oraz pożyczek. Beneficjentami programy mogą być między innymi parki narodowe, jednostki samorządu terytorialnego i ich związki, stowarzyszenia jednostek samorządu terytorialnego, parki krajobrazowe i ich zespoły, uczelnie wyższe oraz organizacje pozarządowe czy podmioty będące właścicielem, użytkownikiem wieczystym lub zarządcą: zabytkowych parków </w:t>
      </w:r>
      <w:r w:rsidRPr="00437ED9">
        <w:t>i</w:t>
      </w:r>
      <w:r>
        <w:t> </w:t>
      </w:r>
      <w:r w:rsidRPr="00437ED9">
        <w:t>ogrodów</w:t>
      </w:r>
      <w:r w:rsidRPr="0068090E">
        <w:t>, ośrodków rehabilitacji zwierząt i azyli dla zwierząt oraz ogrodów specjalistycznych. W ramach programu przewidziano wsparcie dla takich działań jak: wspomaganie systemów gromadzenia i przetwarzania informacji z zakresu środowiska, inwestycje związane z ochrona i przywracaniem gatunków chronionych, zwiększania lesistości obszaru, przeciwdziałania klęskom żywiołowym, utrzymanie, obsługa i</w:t>
      </w:r>
      <w:r>
        <w:t> </w:t>
      </w:r>
      <w:r w:rsidRPr="0068090E">
        <w:t>zabezpieczenie infrastruktury i specjalistycznego sprzętu. W zakresie poprawy efektywności energetycznej i gospodarki wodno-ściekowej, przewidziano dotacje i</w:t>
      </w:r>
      <w:r>
        <w:t> </w:t>
      </w:r>
      <w:r w:rsidRPr="0068090E">
        <w:t xml:space="preserve">pożyczki, a przedsięwzięciami, które mogą być realizowane </w:t>
      </w:r>
      <w:r w:rsidRPr="00C806E9">
        <w:t>w</w:t>
      </w:r>
      <w:r>
        <w:t> </w:t>
      </w:r>
      <w:r w:rsidRPr="00C806E9">
        <w:t>ramach</w:t>
      </w:r>
      <w:r w:rsidRPr="0068090E">
        <w:t xml:space="preserve"> programu są między innymi: termomodernizacja już istniejących obiektów z</w:t>
      </w:r>
      <w:r>
        <w:t> </w:t>
      </w:r>
      <w:r w:rsidRPr="0068090E">
        <w:t>wykorzystaniem odnawialnych źródeł energii poprzez np. wymianę stolarki okiennej i</w:t>
      </w:r>
      <w:r>
        <w:t> </w:t>
      </w:r>
      <w:r w:rsidRPr="0068090E">
        <w:t>drzwi, ocieplenie obiektu, likwidację zawilgocenia, wymianę oświetlenia zewnętrznego. W zakresie termomodernizacji mogą być dofinansowane obiekty, dla których park narodowy jest właścicielem, użytkownikiem wieczystym lub najemcą długoterminowym na okres nie krótszy niż 20 lat.</w:t>
      </w:r>
    </w:p>
    <w:p w:rsidR="003F2B0C" w:rsidRPr="00450203" w:rsidRDefault="003F2B0C" w:rsidP="003F2B0C">
      <w:pPr>
        <w:spacing w:after="160"/>
      </w:pPr>
      <w:r w:rsidRPr="00C806E9">
        <w:t>Osobnym instrumentem finansowym jest</w:t>
      </w:r>
      <w:r w:rsidRPr="00C806E9">
        <w:rPr>
          <w:b/>
          <w:bCs/>
          <w:color w:val="000000" w:themeColor="text1"/>
        </w:rPr>
        <w:t xml:space="preserve"> Program</w:t>
      </w:r>
      <w:r w:rsidRPr="00C806E9">
        <w:rPr>
          <w:b/>
          <w:bCs/>
          <w:color w:val="FFC000"/>
        </w:rPr>
        <w:t xml:space="preserve"> </w:t>
      </w:r>
      <w:r w:rsidRPr="00C806E9">
        <w:rPr>
          <w:b/>
          <w:bCs/>
          <w:color w:val="000000" w:themeColor="text1"/>
        </w:rPr>
        <w:t>LIFE</w:t>
      </w:r>
      <w:r>
        <w:rPr>
          <w:b/>
          <w:bCs/>
          <w:color w:val="000000" w:themeColor="text1"/>
        </w:rPr>
        <w:t xml:space="preserve">, </w:t>
      </w:r>
      <w:r w:rsidRPr="00C806E9">
        <w:rPr>
          <w:color w:val="000000" w:themeColor="text1"/>
        </w:rPr>
        <w:t xml:space="preserve">który </w:t>
      </w:r>
      <w:r w:rsidRPr="00C806E9">
        <w:t>w perspektywie</w:t>
      </w:r>
      <w:r w:rsidRPr="008037EF">
        <w:t xml:space="preserve"> finansowej na lata 2021-2027 podzielono dwa obszary: środowisko</w:t>
      </w:r>
      <w:r>
        <w:t>, w ramach którego wspierane będą projekty z zakresu przyrody i różnorodności biologicznej oraz gospodarki o obiegu zamkniętym i jakości życia</w:t>
      </w:r>
      <w:r w:rsidRPr="008037EF">
        <w:t xml:space="preserve"> oraz </w:t>
      </w:r>
      <w:r>
        <w:t xml:space="preserve">obszar </w:t>
      </w:r>
      <w:r w:rsidRPr="008037EF">
        <w:t>działania na rzecz klimatu</w:t>
      </w:r>
      <w:r>
        <w:t>, w ramach którego przewiduje się działania z zakresu łagodzenia zmian klimatu i przystosowania do nich oraz z zakresu przejścia na czysta energie. Beneficjentami są: osoby prawne, jednostki organizacyjne nie będące osobami prawnymi, którym odrębne przepisy przyznają zdolność prawną, państwowe lub samorządowe jednostki organizacyjne nieposiadające osobowości prawnej, osoby fizyczne prowadzące działalność gospodarczą;</w:t>
      </w:r>
    </w:p>
    <w:p w:rsidR="003F2B0C" w:rsidRPr="00EB66A7" w:rsidRDefault="003F2B0C" w:rsidP="003F2B0C">
      <w:pPr>
        <w:spacing w:after="160"/>
      </w:pPr>
      <w:r w:rsidRPr="005B3003">
        <w:rPr>
          <w:color w:val="000000" w:themeColor="text1"/>
        </w:rPr>
        <w:t>Kolejn</w:t>
      </w:r>
      <w:r>
        <w:rPr>
          <w:color w:val="000000" w:themeColor="text1"/>
        </w:rPr>
        <w:t>ą</w:t>
      </w:r>
      <w:r w:rsidRPr="005B3003">
        <w:rPr>
          <w:color w:val="000000" w:themeColor="text1"/>
        </w:rPr>
        <w:t xml:space="preserve"> form</w:t>
      </w:r>
      <w:r>
        <w:rPr>
          <w:color w:val="000000" w:themeColor="text1"/>
        </w:rPr>
        <w:t>ą</w:t>
      </w:r>
      <w:r w:rsidRPr="005B3003">
        <w:rPr>
          <w:color w:val="000000" w:themeColor="text1"/>
        </w:rPr>
        <w:t xml:space="preserve"> wsparci</w:t>
      </w:r>
      <w:r>
        <w:rPr>
          <w:color w:val="000000" w:themeColor="text1"/>
        </w:rPr>
        <w:t>a</w:t>
      </w:r>
      <w:r w:rsidRPr="005B3003">
        <w:rPr>
          <w:color w:val="000000" w:themeColor="text1"/>
        </w:rPr>
        <w:t xml:space="preserve"> finansowego, o które mogą się ubiegać gminy są</w:t>
      </w:r>
      <w:r w:rsidRPr="005B3003">
        <w:rPr>
          <w:b/>
          <w:bCs/>
          <w:color w:val="000000" w:themeColor="text1"/>
        </w:rPr>
        <w:t xml:space="preserve"> </w:t>
      </w:r>
      <w:r w:rsidRPr="005B3003">
        <w:rPr>
          <w:b/>
          <w:bCs/>
          <w:color w:val="FFC000"/>
        </w:rPr>
        <w:t>Fundusze Norweskie</w:t>
      </w:r>
      <w:r w:rsidRPr="00A61D18">
        <w:rPr>
          <w:color w:val="000000" w:themeColor="text1"/>
        </w:rPr>
        <w:t xml:space="preserve">, które są formą </w:t>
      </w:r>
      <w:r w:rsidRPr="00234EB0">
        <w:t>bezzwrotnej pomocy zagranicznej przyznanej przez Islandię, Liechtenstein i</w:t>
      </w:r>
      <w:r>
        <w:t> </w:t>
      </w:r>
      <w:r w:rsidRPr="00234EB0">
        <w:t>Norwegię kilkunastu państwom Europy Środkowej i Południowej oraz krajom bałtyckim, a</w:t>
      </w:r>
      <w:r>
        <w:t> </w:t>
      </w:r>
      <w:r w:rsidRPr="00234EB0">
        <w:t>Europejski Obszar Gospodarczy</w:t>
      </w:r>
      <w:r>
        <w:t xml:space="preserve"> (EOG)</w:t>
      </w:r>
      <w:r w:rsidRPr="00234EB0">
        <w:t xml:space="preserve"> tworzą państwa UE oraz 3 kraje Europejskiego Stowarzyszenia Wolnego Handlu (EFTA): Islandia, Liechtenstein i Norwegia. Głównym celem programów w ramach Funduszy Norweskich jest zmniejszenie różnic społecznych i</w:t>
      </w:r>
      <w:r>
        <w:t> </w:t>
      </w:r>
      <w:r w:rsidRPr="00234EB0">
        <w:t>ekonomicznych między krajami EOG. Obecnie trwają negocjacje miedzy Polską, a</w:t>
      </w:r>
      <w:r>
        <w:t> </w:t>
      </w:r>
      <w:r w:rsidRPr="00234EB0">
        <w:t xml:space="preserve">Islandią, Liechtensteinem i Norwegią, w sprawie zakresu i wielkości wsparcia. Zakończyła się trzecia edycja programów wsparcia na lata 2014-2021 i obecnie </w:t>
      </w:r>
      <w:r w:rsidRPr="00234EB0">
        <w:lastRenderedPageBreak/>
        <w:t xml:space="preserve">trwają ustalenia na perspektywę 2021-2028. </w:t>
      </w:r>
      <w:r>
        <w:t xml:space="preserve">Trzema głównymi obszarami wsparcia, na które zostaną przeznaczone środki są zielona transformacja Europy, demokracja oraz państwo prawa i prawa człowieka, włączenie społeczne i odporność. Część środków ma zostać przeznaczona na Fundusz Społeczeństwa Obywatelskiego, którego celem będzie: wspieranie </w:t>
      </w:r>
      <w:r w:rsidRPr="00EB66A7">
        <w:t>wartości demokratyczn</w:t>
      </w:r>
      <w:r>
        <w:t>ych</w:t>
      </w:r>
      <w:r w:rsidRPr="00EB66A7">
        <w:t>, zaangażowani</w:t>
      </w:r>
      <w:r>
        <w:t>a</w:t>
      </w:r>
      <w:r w:rsidRPr="00EB66A7">
        <w:t xml:space="preserve"> obywatelskie</w:t>
      </w:r>
      <w:r>
        <w:t>go</w:t>
      </w:r>
      <w:r w:rsidRPr="00EB66A7">
        <w:t xml:space="preserve">, </w:t>
      </w:r>
      <w:r>
        <w:t xml:space="preserve">zwiększanie </w:t>
      </w:r>
      <w:r w:rsidRPr="00EB66A7">
        <w:t>umiejętnoś</w:t>
      </w:r>
      <w:r>
        <w:t>ci</w:t>
      </w:r>
      <w:r w:rsidRPr="00EB66A7">
        <w:t xml:space="preserve"> korzystania z mediów,</w:t>
      </w:r>
      <w:r>
        <w:t xml:space="preserve"> zwiększanie </w:t>
      </w:r>
      <w:r w:rsidRPr="00EB66A7">
        <w:t>udział</w:t>
      </w:r>
      <w:r>
        <w:t>u</w:t>
      </w:r>
      <w:r w:rsidRPr="00EB66A7">
        <w:t xml:space="preserve"> społeczeństwa obywatelskiego w procesach demokratycznych</w:t>
      </w:r>
      <w:r>
        <w:t xml:space="preserve">, </w:t>
      </w:r>
      <w:r w:rsidRPr="00EB66A7">
        <w:t>przeciwdziałanie dyskryminacji i</w:t>
      </w:r>
      <w:r>
        <w:t xml:space="preserve"> zwiększenie </w:t>
      </w:r>
      <w:r w:rsidRPr="00EB66A7">
        <w:t>sprawiedliwoś</w:t>
      </w:r>
      <w:r>
        <w:t>ci</w:t>
      </w:r>
      <w:r w:rsidRPr="00EB66A7">
        <w:t xml:space="preserve"> społeczn</w:t>
      </w:r>
      <w:r>
        <w:t xml:space="preserve">ej, wsparcie </w:t>
      </w:r>
      <w:r w:rsidRPr="00EB66A7">
        <w:t>równość płci, w tym zdrowi</w:t>
      </w:r>
      <w:r>
        <w:t>a</w:t>
      </w:r>
      <w:r w:rsidRPr="00EB66A7">
        <w:t xml:space="preserve"> seksualne</w:t>
      </w:r>
      <w:r>
        <w:t>go</w:t>
      </w:r>
      <w:r w:rsidRPr="00EB66A7">
        <w:t xml:space="preserve"> i</w:t>
      </w:r>
      <w:r>
        <w:t> </w:t>
      </w:r>
      <w:r w:rsidRPr="00EB66A7">
        <w:t>reprodukcyjne</w:t>
      </w:r>
      <w:r>
        <w:t>go</w:t>
      </w:r>
      <w:r w:rsidRPr="00EB66A7">
        <w:t xml:space="preserve"> oraz praw osób LGBTIQ+,</w:t>
      </w:r>
      <w:r>
        <w:t xml:space="preserve"> wsparcia </w:t>
      </w:r>
      <w:r w:rsidRPr="00EB66A7">
        <w:t>działa</w:t>
      </w:r>
      <w:r>
        <w:t>ń</w:t>
      </w:r>
      <w:r w:rsidRPr="00EB66A7">
        <w:t xml:space="preserve"> na rzecz klimatu, ochron</w:t>
      </w:r>
      <w:r>
        <w:t>y</w:t>
      </w:r>
      <w:r w:rsidRPr="00EB66A7">
        <w:t xml:space="preserve"> środowiska i sprawiedliw</w:t>
      </w:r>
      <w:r>
        <w:t>ej</w:t>
      </w:r>
      <w:r w:rsidRPr="00EB66A7">
        <w:t xml:space="preserve"> zielon</w:t>
      </w:r>
      <w:r>
        <w:t>ej</w:t>
      </w:r>
      <w:r w:rsidRPr="00EB66A7">
        <w:t xml:space="preserve"> transformacj</w:t>
      </w:r>
      <w:r>
        <w:t xml:space="preserve">i oraz </w:t>
      </w:r>
      <w:r w:rsidRPr="00EB66A7">
        <w:t>rozwój organizacyjny i środowisko sprzyjając</w:t>
      </w:r>
      <w:r>
        <w:t>y</w:t>
      </w:r>
      <w:r w:rsidRPr="00EB66A7">
        <w:t xml:space="preserve"> społeczeństwu obywatelskiemu</w:t>
      </w:r>
      <w:r>
        <w:rPr>
          <w:rStyle w:val="Odwoanieprzypisudolnego"/>
        </w:rPr>
        <w:footnoteReference w:id="15"/>
      </w:r>
      <w:r>
        <w:t>.</w:t>
      </w:r>
    </w:p>
    <w:p w:rsidR="003F2B0C" w:rsidRPr="00436FED" w:rsidRDefault="003F2B0C" w:rsidP="003F2B0C">
      <w:pPr>
        <w:spacing w:after="160"/>
      </w:pPr>
      <w:r w:rsidRPr="00436FED">
        <w:t xml:space="preserve">Ministerstwo Rozwoju i Technologii w ramach Programu współpracy z organizacjami pozarządowymi i innymi </w:t>
      </w:r>
      <w:proofErr w:type="spellStart"/>
      <w:r w:rsidRPr="00436FED">
        <w:t>interesariuszami</w:t>
      </w:r>
      <w:proofErr w:type="spellEnd"/>
      <w:r w:rsidRPr="00436FED">
        <w:t xml:space="preserve"> na lata 2025 – 2026</w:t>
      </w:r>
      <w:r>
        <w:rPr>
          <w:rStyle w:val="Odwoanieprzypisudolnego"/>
        </w:rPr>
        <w:footnoteReference w:id="16"/>
      </w:r>
      <w:r>
        <w:t xml:space="preserve"> prowadzi:</w:t>
      </w:r>
    </w:p>
    <w:p w:rsidR="003F2B0C" w:rsidRDefault="003F2B0C" w:rsidP="003F2B0C">
      <w:pPr>
        <w:pStyle w:val="Akapitzlist"/>
        <w:numPr>
          <w:ilvl w:val="0"/>
          <w:numId w:val="21"/>
        </w:numPr>
        <w:spacing w:after="160"/>
      </w:pPr>
      <w:r w:rsidRPr="00F65374">
        <w:rPr>
          <w:b/>
          <w:bCs/>
        </w:rPr>
        <w:t>Program Oczyszczania Kraju z Azbestu na lata 2009 – 2032</w:t>
      </w:r>
      <w:r>
        <w:t xml:space="preserve">, którego głównym celem jest </w:t>
      </w:r>
      <w:r w:rsidRPr="00436FED">
        <w:t>usunięcie i unieszkodliwienie wyrobów zawierających azbest</w:t>
      </w:r>
      <w:r>
        <w:t xml:space="preserve">, </w:t>
      </w:r>
      <w:r w:rsidRPr="00436FED">
        <w:t>minimaliz</w:t>
      </w:r>
      <w:r>
        <w:t xml:space="preserve">owanie </w:t>
      </w:r>
      <w:r w:rsidRPr="00436FED">
        <w:t xml:space="preserve">negatywnych skutków zdrowotnych spowodowanych </w:t>
      </w:r>
      <w:r>
        <w:t xml:space="preserve">jego obecnością, </w:t>
      </w:r>
      <w:r w:rsidRPr="00436FED">
        <w:t>utrzymanie i</w:t>
      </w:r>
      <w:r>
        <w:t> </w:t>
      </w:r>
      <w:r w:rsidRPr="00436FED">
        <w:t>rozwój technologiczny systemu Baza Azbestowa</w:t>
      </w:r>
      <w:r>
        <w:t xml:space="preserve">, </w:t>
      </w:r>
      <w:r w:rsidRPr="00436FED">
        <w:t xml:space="preserve">wsparcie finansowe dla jednostek samorządu terytorialnego w procesie inwentaryzacji wyrobów </w:t>
      </w:r>
      <w:r>
        <w:t>azbestowych.</w:t>
      </w:r>
    </w:p>
    <w:p w:rsidR="003F2B0C" w:rsidRDefault="003F2B0C" w:rsidP="003F2B0C">
      <w:pPr>
        <w:pStyle w:val="Akapitzlist"/>
        <w:numPr>
          <w:ilvl w:val="0"/>
          <w:numId w:val="21"/>
        </w:numPr>
        <w:spacing w:after="160"/>
      </w:pPr>
      <w:r w:rsidRPr="006A30AC">
        <w:rPr>
          <w:b/>
          <w:bCs/>
        </w:rPr>
        <w:t>Rządowy Program „Polski Inkubator Rzemiosła”,</w:t>
      </w:r>
      <w:r>
        <w:t xml:space="preserve"> którego horyzont czasowy wynosi okres od 2021 do 2030 roku. Głównym celem programu jest wzmocnienie organizacji samorządu gospodarczego rzemiosła w zakresie kapitału ludzkiego i społecznego oraz potencjału instytucjonalnego, w tym rozwoju przedsiębiorczości i kształcenia dualnego, </w:t>
      </w:r>
      <w:r w:rsidRPr="006A30AC">
        <w:t>wzmocnienie współpracy organizacji rzemieślniczych z podmiotami z sektora publicznego</w:t>
      </w:r>
      <w:r>
        <w:t xml:space="preserve"> organizacjami pozarządowymi i </w:t>
      </w:r>
      <w:r w:rsidRPr="006A30AC">
        <w:t>p</w:t>
      </w:r>
      <w:r>
        <w:t xml:space="preserve">rzedsiębiorstwami. </w:t>
      </w:r>
    </w:p>
    <w:p w:rsidR="003F2B0C" w:rsidRPr="00130E5A" w:rsidRDefault="003F2B0C" w:rsidP="003F2B0C">
      <w:pPr>
        <w:pStyle w:val="Akapitzlist"/>
        <w:numPr>
          <w:ilvl w:val="0"/>
          <w:numId w:val="21"/>
        </w:numPr>
        <w:spacing w:after="160"/>
      </w:pPr>
      <w:r w:rsidRPr="003E09CF">
        <w:rPr>
          <w:b/>
          <w:bCs/>
        </w:rPr>
        <w:t>Program bezzwrotnego finansowego wsparcia budownictwa socjalnego i</w:t>
      </w:r>
      <w:r>
        <w:rPr>
          <w:b/>
          <w:bCs/>
        </w:rPr>
        <w:t> </w:t>
      </w:r>
      <w:r w:rsidRPr="003E09CF">
        <w:rPr>
          <w:b/>
          <w:bCs/>
        </w:rPr>
        <w:t>komunalnego</w:t>
      </w:r>
      <w:r>
        <w:rPr>
          <w:b/>
          <w:bCs/>
        </w:rPr>
        <w:t xml:space="preserve">, </w:t>
      </w:r>
      <w:r w:rsidRPr="003E09CF">
        <w:t>skierowany jest do gmin, jednoosobowych spółek gminnych, związków międzygminnych, powiatów i organizacji pozarządowych</w:t>
      </w:r>
      <w:r>
        <w:t>, a operatorem programu jest Bank Gospodarstwa Krajowego. Obecnie program posiada finansowanie do końca 2025 roku, ale nie wyklucza się dalszego finansowania. Głównym celem projektu jest udzielanie finansowego wsparcia na tworzenie lokali mieszkalnych, mieszkań chronionych, noclegowni, schronisk dla osób bezdomnych, ogrzewalni i tymczasowych pomieszczeń.</w:t>
      </w:r>
    </w:p>
    <w:p w:rsidR="003F2B0C" w:rsidRDefault="003F2B0C" w:rsidP="003F2B0C">
      <w:pPr>
        <w:pStyle w:val="Akapitzlist"/>
        <w:numPr>
          <w:ilvl w:val="0"/>
          <w:numId w:val="21"/>
        </w:numPr>
        <w:spacing w:after="160"/>
      </w:pPr>
      <w:r w:rsidRPr="00496C33">
        <w:rPr>
          <w:b/>
          <w:bCs/>
        </w:rPr>
        <w:lastRenderedPageBreak/>
        <w:t>„Program rządowy - Udział Polski w części COSME Programu na rzecz rynku wewnętrznego, konkurencyjności przedsiębiorstw, w tym małych i średnich przedsiębiorstw, dziedziny roślin, zwierząt, żywności i paszy, oraz statystyk europejskich (Programu na rzecz jednolitego rynku) w latach 2022–2028”</w:t>
      </w:r>
      <w:r>
        <w:rPr>
          <w:b/>
          <w:bCs/>
        </w:rPr>
        <w:t xml:space="preserve">, </w:t>
      </w:r>
      <w:r w:rsidRPr="00496C33">
        <w:t xml:space="preserve">program dedykowany </w:t>
      </w:r>
      <w:r>
        <w:t xml:space="preserve">jest głównie </w:t>
      </w:r>
      <w:r w:rsidRPr="00496C33">
        <w:t>Małym i Średnim Przedsiębiorstwom</w:t>
      </w:r>
      <w:r>
        <w:t xml:space="preserve"> (MŚP), za jego realizację odpowiada Państwowa Agencja Rozwoju Przedsiębiorczości, a jego celem jest przede wszystkim </w:t>
      </w:r>
      <w:r w:rsidRPr="00BF4E3D">
        <w:t>zapewnienie przedsiębiorcom dostępu do zintegrowanych usług oferowanych przez</w:t>
      </w:r>
      <w:r>
        <w:t xml:space="preserve"> </w:t>
      </w:r>
      <w:proofErr w:type="spellStart"/>
      <w:r w:rsidRPr="00BF4E3D">
        <w:t>Enterprise</w:t>
      </w:r>
      <w:proofErr w:type="spellEnd"/>
      <w:r w:rsidRPr="00BF4E3D">
        <w:t xml:space="preserve"> Europe Network</w:t>
      </w:r>
      <w:r>
        <w:t xml:space="preserve"> (</w:t>
      </w:r>
      <w:r w:rsidRPr="00BF4E3D">
        <w:t>EEN</w:t>
      </w:r>
      <w:r>
        <w:t xml:space="preserve">) </w:t>
      </w:r>
      <w:r w:rsidRPr="00BF4E3D">
        <w:t>z zakresu innowacyjności, internacjonalizacji, cyfryzacji i zielonej gospodarki</w:t>
      </w:r>
      <w:r>
        <w:t xml:space="preserve"> oraz </w:t>
      </w:r>
      <w:r w:rsidRPr="00BF4E3D">
        <w:t>poprawa dostępu MŚP do finansowania zewnętrznego oraz zwiększenie wykorzystywania unijnych instrumentów finansowych przez polskie instytucje finansowe i przedsiębiorców.</w:t>
      </w:r>
      <w:r>
        <w:t xml:space="preserve"> Warto mieć tego typu programy na uwadze przy projektowaniu rozwoju gospodarczego obszaru i informować lokalne podmioty o różnych źródłach wsparcia finansowego.</w:t>
      </w:r>
    </w:p>
    <w:p w:rsidR="003F2B0C" w:rsidRPr="00DC6238" w:rsidRDefault="003F2B0C" w:rsidP="003F2B0C">
      <w:pPr>
        <w:spacing w:after="160"/>
        <w:ind w:left="360"/>
      </w:pPr>
      <w:r>
        <w:t>Ponadto w ramach Rozporządzenia Ministra Rozwoju</w:t>
      </w:r>
      <w:r>
        <w:rPr>
          <w:rStyle w:val="Odwoanieprzypisudolnego"/>
        </w:rPr>
        <w:footnoteReference w:id="17"/>
      </w:r>
      <w:r>
        <w:t xml:space="preserve"> i technologii z dn. 12 sierpnia 2024 roku zmieniającego rozporządzenie w sprawie udzielania pomocy publicznej na realizację projektów inwestycyjnych o znaczeniu strategicznym dla przejścia na gospodarkę o zerowej emisji netto przewidziano wsparcie dla przedsiębiorców z zakresu inwestycji w projekty niskoemisyjne w szczególności w zakresie: utworzenia wyspecjalizowanych miejsc pracy, współpracy ze szkołami ponadpodstawowymi lub podmiotami tworzącymi system szkolnictwa wyższego i nauki (zlecenie wykonywania badań naukowych i prac rozwojowych, finansowaniu udziału uczniów i studentów w procesie kształcenia na profilu praktycznym, zakupie patentów i licencji), robotyzacji i automatyzacji procesów, inwestycji w OZE, wsparcia pracowników w podnoszeniu kwalifikacji i pogłębienie współpracy z placówkami szkolnictwa branżowego i zawodowego. </w:t>
      </w:r>
    </w:p>
    <w:p w:rsidR="003F2B0C" w:rsidRPr="00A61D18" w:rsidRDefault="003F2B0C" w:rsidP="003F2B0C">
      <w:pPr>
        <w:spacing w:after="160"/>
      </w:pPr>
      <w:r w:rsidRPr="00A61D18">
        <w:t>Oprócz powyższych gminy mogą również korzystać z:</w:t>
      </w:r>
    </w:p>
    <w:p w:rsidR="003F2B0C" w:rsidRPr="00A61D18" w:rsidRDefault="003F2B0C" w:rsidP="003F2B0C">
      <w:pPr>
        <w:pStyle w:val="Akapitzlist"/>
        <w:numPr>
          <w:ilvl w:val="0"/>
          <w:numId w:val="34"/>
        </w:numPr>
        <w:spacing w:after="160"/>
        <w:rPr>
          <w:b/>
          <w:bCs/>
        </w:rPr>
      </w:pPr>
      <w:r w:rsidRPr="00A61D18">
        <w:rPr>
          <w:b/>
          <w:bCs/>
        </w:rPr>
        <w:t>Fundusz</w:t>
      </w:r>
      <w:r>
        <w:rPr>
          <w:b/>
          <w:bCs/>
        </w:rPr>
        <w:t>u</w:t>
      </w:r>
      <w:r w:rsidRPr="00A61D18">
        <w:rPr>
          <w:b/>
          <w:bCs/>
        </w:rPr>
        <w:t xml:space="preserve"> rozwoju przewozów autobusowych na 2025 r. </w:t>
      </w:r>
      <w:r w:rsidRPr="003A3E24">
        <w:t xml:space="preserve">jest państwowym funduszem, który ma </w:t>
      </w:r>
      <w:r>
        <w:t>z</w:t>
      </w:r>
      <w:r w:rsidRPr="003A3E24">
        <w:t>niwelowa</w:t>
      </w:r>
      <w:r>
        <w:t>ć</w:t>
      </w:r>
      <w:r w:rsidRPr="003A3E24">
        <w:t xml:space="preserve"> wykluczeni</w:t>
      </w:r>
      <w:r>
        <w:t>e</w:t>
      </w:r>
      <w:r w:rsidRPr="003A3E24">
        <w:t xml:space="preserve"> komunikacyjn</w:t>
      </w:r>
      <w:r>
        <w:t>e</w:t>
      </w:r>
      <w:r w:rsidRPr="003A3E24">
        <w:t xml:space="preserve"> i </w:t>
      </w:r>
      <w:r>
        <w:t xml:space="preserve">który </w:t>
      </w:r>
      <w:r w:rsidRPr="003A3E24">
        <w:t>oferuje wsparcie finansowe samorządom</w:t>
      </w:r>
      <w:r>
        <w:t xml:space="preserve"> </w:t>
      </w:r>
      <w:r w:rsidRPr="003A3E24">
        <w:t>organizują</w:t>
      </w:r>
      <w:r>
        <w:t>cym</w:t>
      </w:r>
      <w:r w:rsidRPr="003A3E24">
        <w:t xml:space="preserve"> publiczny transport zbiorowy.</w:t>
      </w:r>
      <w:r w:rsidRPr="00A61D18">
        <w:rPr>
          <w:b/>
          <w:bCs/>
        </w:rPr>
        <w:t xml:space="preserve"> </w:t>
      </w:r>
    </w:p>
    <w:p w:rsidR="003F2B0C" w:rsidRDefault="003F2B0C" w:rsidP="003F2B0C">
      <w:pPr>
        <w:pStyle w:val="Akapitzlist"/>
        <w:numPr>
          <w:ilvl w:val="0"/>
          <w:numId w:val="34"/>
        </w:numPr>
        <w:spacing w:after="160"/>
      </w:pPr>
      <w:r w:rsidRPr="00A61D18">
        <w:rPr>
          <w:b/>
          <w:bCs/>
        </w:rPr>
        <w:t>Program</w:t>
      </w:r>
      <w:r>
        <w:rPr>
          <w:b/>
          <w:bCs/>
        </w:rPr>
        <w:t>u</w:t>
      </w:r>
      <w:r w:rsidRPr="00A61D18">
        <w:rPr>
          <w:b/>
          <w:bCs/>
        </w:rPr>
        <w:t xml:space="preserve"> „Korpus Wsparcia Seniorów” na rok 2025</w:t>
      </w:r>
      <w:r w:rsidRPr="003A3E24">
        <w:t xml:space="preserve"> adresatami programu są wszystkie gminy w</w:t>
      </w:r>
      <w:r>
        <w:t> </w:t>
      </w:r>
      <w:r w:rsidRPr="003A3E24">
        <w:t>Polsce, a pośrednimi adresatami programu są osoby w wieku 60 lat i więcej, mające problemy z samodzielnym funkcjonowaniem ze względu na stan zdrowia, prowadzący samodzielne gospodarstwa domowe lub mieszkające z osobami bliskimi, które nie są w stanie zapewnić im wystarczającego wsparcia.</w:t>
      </w:r>
      <w:r>
        <w:t xml:space="preserve"> Program jest cykliczny i oferuje dofinansowanie rozwoju usług sąsiedzkich, powierzanych organizacjom pozarządowym, działania zmierzające </w:t>
      </w:r>
      <w:r>
        <w:lastRenderedPageBreak/>
        <w:t>do poprawy bezpieczeństwa oraz możliwości samodzielnego funkcjonowania w miejscu zamieszkania osób starszych przez zwiększania dostępu do tzw. „opieki na odległość”, a także wsparcie gmin w realizacji świadczenia usług opiekuńczych.</w:t>
      </w:r>
    </w:p>
    <w:p w:rsidR="003F2B0C" w:rsidRDefault="003F2B0C" w:rsidP="003F2B0C">
      <w:pPr>
        <w:pStyle w:val="Akapitzlist"/>
        <w:numPr>
          <w:ilvl w:val="0"/>
          <w:numId w:val="34"/>
        </w:numPr>
        <w:spacing w:after="160"/>
      </w:pPr>
      <w:r w:rsidRPr="00A61D18">
        <w:rPr>
          <w:b/>
          <w:bCs/>
        </w:rPr>
        <w:t>Program</w:t>
      </w:r>
      <w:r>
        <w:rPr>
          <w:b/>
          <w:bCs/>
        </w:rPr>
        <w:t>u</w:t>
      </w:r>
      <w:r w:rsidRPr="00A61D18">
        <w:rPr>
          <w:b/>
          <w:bCs/>
        </w:rPr>
        <w:t xml:space="preserve"> "SENIOR+" na lata 2021 - 2025 - edycja 2025, </w:t>
      </w:r>
      <w:r w:rsidRPr="00041B1E">
        <w:t>cykliczny program wspierający funkcjonowanie istniejących lub nowo powstałych ośrodków wsparcia. Konkurs adresowany jest do jednostek samorządu terytorialnego szczebla gminnego, powiatowego oraz wojewódzkiego, których strategie rozwoju pomocy społecznej uwzględniają rozwój infrastruktury dla osób starszych lub w których brak jest innej infrastruktury pomocy społecznej tego typu.</w:t>
      </w:r>
    </w:p>
    <w:p w:rsidR="003F2B0C" w:rsidRPr="004F1430" w:rsidRDefault="003F2B0C" w:rsidP="003F2B0C">
      <w:pPr>
        <w:pStyle w:val="Akapitzlist"/>
        <w:numPr>
          <w:ilvl w:val="0"/>
          <w:numId w:val="34"/>
        </w:numPr>
        <w:spacing w:after="160"/>
        <w:rPr>
          <w:b/>
          <w:bCs/>
        </w:rPr>
      </w:pPr>
      <w:r w:rsidRPr="00A61D18">
        <w:rPr>
          <w:b/>
          <w:bCs/>
        </w:rPr>
        <w:t>Wieloletni</w:t>
      </w:r>
      <w:r>
        <w:rPr>
          <w:b/>
          <w:bCs/>
        </w:rPr>
        <w:t>ego</w:t>
      </w:r>
      <w:r w:rsidRPr="00A61D18">
        <w:rPr>
          <w:b/>
          <w:bCs/>
        </w:rPr>
        <w:t xml:space="preserve"> Rządow</w:t>
      </w:r>
      <w:r>
        <w:rPr>
          <w:b/>
          <w:bCs/>
        </w:rPr>
        <w:t>ego</w:t>
      </w:r>
      <w:r w:rsidRPr="00A61D18">
        <w:rPr>
          <w:b/>
          <w:bCs/>
        </w:rPr>
        <w:t xml:space="preserve"> Program</w:t>
      </w:r>
      <w:r>
        <w:rPr>
          <w:b/>
          <w:bCs/>
        </w:rPr>
        <w:t>u</w:t>
      </w:r>
      <w:r w:rsidRPr="00A61D18">
        <w:rPr>
          <w:b/>
          <w:bCs/>
        </w:rPr>
        <w:t xml:space="preserve"> „Posiłek w szkole i w domu” na lata 2024–2028. </w:t>
      </w:r>
      <w:r w:rsidRPr="00041B1E">
        <w:t>Program zapewnia pomoc zarówno dzieciom, które wychowują się w rodzinach znajdujących się w trudnej sytuacji, jak i osobom starszym, niepełnosprawnym, o niskich dochodach</w:t>
      </w:r>
      <w:r>
        <w:t>.</w:t>
      </w:r>
    </w:p>
    <w:p w:rsidR="003F2B0C" w:rsidRDefault="003F2B0C" w:rsidP="003F2B0C">
      <w:pPr>
        <w:pStyle w:val="Akapitzlist"/>
        <w:numPr>
          <w:ilvl w:val="0"/>
          <w:numId w:val="34"/>
        </w:numPr>
        <w:spacing w:after="160"/>
        <w:rPr>
          <w:b/>
          <w:bCs/>
        </w:rPr>
      </w:pPr>
      <w:r w:rsidRPr="004F1430">
        <w:rPr>
          <w:b/>
          <w:bCs/>
        </w:rPr>
        <w:t xml:space="preserve">Program Opieka </w:t>
      </w:r>
      <w:proofErr w:type="spellStart"/>
      <w:r w:rsidRPr="004F1430">
        <w:rPr>
          <w:b/>
          <w:bCs/>
        </w:rPr>
        <w:t>Wytchnieniowa</w:t>
      </w:r>
      <w:proofErr w:type="spellEnd"/>
      <w:r>
        <w:rPr>
          <w:b/>
          <w:bCs/>
        </w:rPr>
        <w:t xml:space="preserve">. </w:t>
      </w:r>
    </w:p>
    <w:p w:rsidR="003F2B0C" w:rsidRDefault="003F2B0C" w:rsidP="003F2B0C">
      <w:pPr>
        <w:pStyle w:val="Akapitzlist"/>
        <w:spacing w:after="160"/>
      </w:pPr>
      <w:r w:rsidRPr="004F1430">
        <w:t>Głównym celem Programu jest wsparcie członków rodzin lub opiekunów sprawujących bezpośrednią opiekę nad:</w:t>
      </w:r>
    </w:p>
    <w:p w:rsidR="003F2B0C" w:rsidRDefault="003F2B0C" w:rsidP="003F2B0C">
      <w:pPr>
        <w:pStyle w:val="Akapitzlist"/>
        <w:numPr>
          <w:ilvl w:val="1"/>
          <w:numId w:val="41"/>
        </w:numPr>
        <w:spacing w:after="160"/>
      </w:pPr>
      <w:r w:rsidRPr="004F1430">
        <w:t>dziećmi od ukończenia 2. roku życia do ukończenia 16. roku życia posiadającymi orzeczenie o niepełnosprawności lub</w:t>
      </w:r>
    </w:p>
    <w:p w:rsidR="003F2B0C" w:rsidRPr="004F1430" w:rsidRDefault="003F2B0C" w:rsidP="003F2B0C">
      <w:pPr>
        <w:pStyle w:val="Akapitzlist"/>
        <w:numPr>
          <w:ilvl w:val="1"/>
          <w:numId w:val="41"/>
        </w:numPr>
        <w:spacing w:after="160"/>
        <w:rPr>
          <w:b/>
          <w:bCs/>
        </w:rPr>
      </w:pPr>
      <w:r w:rsidRPr="004F1430">
        <w:t>osobami niepełnosprawnymi</w:t>
      </w:r>
    </w:p>
    <w:p w:rsidR="003F2B0C" w:rsidRDefault="003F2B0C" w:rsidP="003F2B0C">
      <w:pPr>
        <w:pStyle w:val="Akapitzlist"/>
        <w:numPr>
          <w:ilvl w:val="0"/>
          <w:numId w:val="34"/>
        </w:numPr>
        <w:spacing w:after="160"/>
        <w:rPr>
          <w:b/>
          <w:bCs/>
        </w:rPr>
      </w:pPr>
      <w:r w:rsidRPr="004F1430">
        <w:rPr>
          <w:b/>
          <w:bCs/>
        </w:rPr>
        <w:t>Program Asystent osobisty osoby z niepełnosprawnością</w:t>
      </w:r>
      <w:r>
        <w:rPr>
          <w:b/>
          <w:bCs/>
        </w:rPr>
        <w:t>.</w:t>
      </w:r>
    </w:p>
    <w:p w:rsidR="003F2B0C" w:rsidRPr="004F1430" w:rsidRDefault="003F2B0C" w:rsidP="003F2B0C">
      <w:pPr>
        <w:pStyle w:val="Akapitzlist"/>
        <w:spacing w:after="160"/>
      </w:pPr>
      <w:r w:rsidRPr="004F1430">
        <w:t>Głównym celem Programu jest wprowadzenie usług asystencji osobistej jako formy ogólnodostępnego wsparcia w wykonywaniu codziennych czynności oraz funkcjonowaniu w życiu społecznym</w:t>
      </w:r>
      <w:r>
        <w:t xml:space="preserve"> osób z </w:t>
      </w:r>
      <w:proofErr w:type="spellStart"/>
      <w:r>
        <w:t>niepełnosprawnościami</w:t>
      </w:r>
      <w:proofErr w:type="spellEnd"/>
      <w:r>
        <w:t>.</w:t>
      </w:r>
    </w:p>
    <w:p w:rsidR="003F2B0C" w:rsidRDefault="003F2B0C" w:rsidP="003F2B0C">
      <w:pPr>
        <w:pStyle w:val="Akapitzlist"/>
        <w:numPr>
          <w:ilvl w:val="0"/>
          <w:numId w:val="34"/>
        </w:numPr>
        <w:spacing w:after="160"/>
        <w:rPr>
          <w:b/>
          <w:bCs/>
        </w:rPr>
      </w:pPr>
      <w:r w:rsidRPr="004F1430">
        <w:rPr>
          <w:b/>
          <w:bCs/>
        </w:rPr>
        <w:t>Program zatrudnienia socjalnego</w:t>
      </w:r>
      <w:r>
        <w:rPr>
          <w:b/>
          <w:bCs/>
        </w:rPr>
        <w:t>.</w:t>
      </w:r>
    </w:p>
    <w:p w:rsidR="003F2B0C" w:rsidRDefault="003F2B0C" w:rsidP="003F2B0C">
      <w:pPr>
        <w:pStyle w:val="Akapitzlist"/>
        <w:spacing w:after="160"/>
        <w:rPr>
          <w:b/>
          <w:bCs/>
        </w:rPr>
      </w:pPr>
      <w:r w:rsidRPr="004F1430">
        <w:t>Głównym celem Programu jest wzmacnianie uczestnictwa w życiu społecznym i</w:t>
      </w:r>
      <w:r>
        <w:t> </w:t>
      </w:r>
      <w:r w:rsidRPr="004F1430">
        <w:t>zawodowym osób wykluczonych społecznie poprzez rozwijanie oferty podmiotów zatrudnienia socjalnego.</w:t>
      </w:r>
    </w:p>
    <w:p w:rsidR="003F2B0C" w:rsidRDefault="003F2B0C" w:rsidP="003F2B0C">
      <w:pPr>
        <w:pStyle w:val="Akapitzlist"/>
        <w:numPr>
          <w:ilvl w:val="0"/>
          <w:numId w:val="34"/>
        </w:numPr>
        <w:spacing w:after="160"/>
        <w:rPr>
          <w:b/>
          <w:bCs/>
        </w:rPr>
      </w:pPr>
      <w:r w:rsidRPr="004F1430">
        <w:rPr>
          <w:b/>
          <w:bCs/>
        </w:rPr>
        <w:t>Program "Od zależności do samodzielności"</w:t>
      </w:r>
      <w:r>
        <w:rPr>
          <w:b/>
          <w:bCs/>
        </w:rPr>
        <w:t>.</w:t>
      </w:r>
    </w:p>
    <w:p w:rsidR="003F2B0C" w:rsidRDefault="003F2B0C" w:rsidP="003F2B0C">
      <w:pPr>
        <w:pStyle w:val="Akapitzlist"/>
        <w:spacing w:after="160"/>
        <w:rPr>
          <w:b/>
          <w:bCs/>
        </w:rPr>
      </w:pPr>
      <w:r w:rsidRPr="004F1430">
        <w:t>Celem programu jest wsparcie osób z zaburzeniami psychicznymi w przezwyciężeniu ich trudnej sytuacji życiowej.</w:t>
      </w:r>
      <w:r>
        <w:t xml:space="preserve"> Wsparcie kierowane jest do osób z zaburzeniami psychicznymi jak i samych osób zmagającymi się z problemami psychicznymi. </w:t>
      </w:r>
    </w:p>
    <w:p w:rsidR="003F2B0C" w:rsidRPr="00CE68EB" w:rsidRDefault="003F2B0C" w:rsidP="003F2B0C">
      <w:pPr>
        <w:spacing w:after="160"/>
      </w:pPr>
      <w:r w:rsidRPr="00CE68EB">
        <w:t>Gminy mogą się również ubiegać o środki w ramach</w:t>
      </w:r>
      <w:r>
        <w:rPr>
          <w:b/>
          <w:bCs/>
        </w:rPr>
        <w:t xml:space="preserve"> </w:t>
      </w:r>
      <w:r w:rsidRPr="00773DF3">
        <w:rPr>
          <w:b/>
          <w:bCs/>
        </w:rPr>
        <w:t>Państwow</w:t>
      </w:r>
      <w:r>
        <w:rPr>
          <w:b/>
          <w:bCs/>
        </w:rPr>
        <w:t>ego</w:t>
      </w:r>
      <w:r w:rsidRPr="00773DF3">
        <w:rPr>
          <w:b/>
          <w:bCs/>
        </w:rPr>
        <w:t xml:space="preserve"> Fundusz</w:t>
      </w:r>
      <w:r>
        <w:rPr>
          <w:b/>
          <w:bCs/>
        </w:rPr>
        <w:t>u</w:t>
      </w:r>
      <w:r w:rsidRPr="00773DF3">
        <w:rPr>
          <w:b/>
          <w:bCs/>
        </w:rPr>
        <w:t xml:space="preserve"> Rehabilitacji Osób Niepełnosprawnych PFRON</w:t>
      </w:r>
      <w:r>
        <w:rPr>
          <w:b/>
          <w:bCs/>
        </w:rPr>
        <w:t xml:space="preserve">, </w:t>
      </w:r>
      <w:r w:rsidRPr="00CE68EB">
        <w:t>któr</w:t>
      </w:r>
      <w:r>
        <w:t>y</w:t>
      </w:r>
      <w:r w:rsidRPr="00CE68EB">
        <w:t xml:space="preserve"> realizuje takie programy jak:</w:t>
      </w:r>
    </w:p>
    <w:p w:rsidR="003F2B0C" w:rsidRPr="00CE68EB" w:rsidRDefault="003F2B0C" w:rsidP="003F2B0C">
      <w:pPr>
        <w:pStyle w:val="Akapitzlist"/>
        <w:numPr>
          <w:ilvl w:val="1"/>
          <w:numId w:val="41"/>
        </w:numPr>
        <w:spacing w:after="160"/>
      </w:pPr>
      <w:r w:rsidRPr="00CE68EB">
        <w:t>Finansowanie funkcjonowania Wspomaganych Społeczności Mieszkaniowych</w:t>
      </w:r>
    </w:p>
    <w:p w:rsidR="003F2B0C" w:rsidRPr="00CE68EB" w:rsidRDefault="003F2B0C" w:rsidP="003F2B0C">
      <w:pPr>
        <w:pStyle w:val="Akapitzlist"/>
        <w:numPr>
          <w:ilvl w:val="1"/>
          <w:numId w:val="41"/>
        </w:numPr>
        <w:spacing w:after="160"/>
      </w:pPr>
      <w:r w:rsidRPr="00CE68EB">
        <w:t>Dostępna przestrzeń publiczna</w:t>
      </w:r>
    </w:p>
    <w:p w:rsidR="003F2B0C" w:rsidRPr="00CE68EB" w:rsidRDefault="003F2B0C" w:rsidP="003F2B0C">
      <w:pPr>
        <w:pStyle w:val="Akapitzlist"/>
        <w:numPr>
          <w:ilvl w:val="1"/>
          <w:numId w:val="41"/>
        </w:numPr>
        <w:spacing w:after="160"/>
      </w:pPr>
      <w:r w:rsidRPr="00CE68EB">
        <w:lastRenderedPageBreak/>
        <w:t>Wypożyczalnia technologii wspomagających dla osób z niepełnosprawnością</w:t>
      </w:r>
    </w:p>
    <w:p w:rsidR="003F2B0C" w:rsidRPr="00CE68EB" w:rsidRDefault="003F2B0C" w:rsidP="003F2B0C">
      <w:pPr>
        <w:pStyle w:val="Akapitzlist"/>
        <w:numPr>
          <w:ilvl w:val="1"/>
          <w:numId w:val="41"/>
        </w:numPr>
        <w:spacing w:after="160"/>
      </w:pPr>
      <w:r w:rsidRPr="00CE68EB">
        <w:t>„Samodzielność – Aktywność – Mobilność!” Mobilność osób z</w:t>
      </w:r>
      <w:r>
        <w:t> </w:t>
      </w:r>
      <w:r w:rsidRPr="00CE68EB">
        <w:t>niepełnosprawnością</w:t>
      </w:r>
    </w:p>
    <w:p w:rsidR="003F2B0C" w:rsidRPr="00CE68EB" w:rsidRDefault="003F2B0C" w:rsidP="003F2B0C">
      <w:pPr>
        <w:pStyle w:val="Akapitzlist"/>
        <w:numPr>
          <w:ilvl w:val="1"/>
          <w:numId w:val="41"/>
        </w:numPr>
        <w:spacing w:after="160"/>
      </w:pPr>
      <w:r w:rsidRPr="00CE68EB">
        <w:t>Dostępne mieszkanie</w:t>
      </w:r>
    </w:p>
    <w:p w:rsidR="003F2B0C" w:rsidRPr="00CE68EB" w:rsidRDefault="003F2B0C" w:rsidP="003F2B0C">
      <w:pPr>
        <w:pStyle w:val="Akapitzlist"/>
        <w:numPr>
          <w:ilvl w:val="1"/>
          <w:numId w:val="41"/>
        </w:numPr>
        <w:spacing w:after="160"/>
      </w:pPr>
      <w:r w:rsidRPr="00CE68EB">
        <w:t>Mieszkanie dla absolwenta</w:t>
      </w:r>
    </w:p>
    <w:p w:rsidR="003F2B0C" w:rsidRPr="00CE68EB" w:rsidRDefault="003F2B0C" w:rsidP="003F2B0C">
      <w:pPr>
        <w:pStyle w:val="Akapitzlist"/>
        <w:numPr>
          <w:ilvl w:val="1"/>
          <w:numId w:val="41"/>
        </w:numPr>
        <w:spacing w:after="160"/>
      </w:pPr>
      <w:r w:rsidRPr="00CE68EB">
        <w:t>„Samodzielność – Aktywność – Mobilność!” Wspomagane Społeczności Mieszkaniowe</w:t>
      </w:r>
    </w:p>
    <w:p w:rsidR="003F2B0C" w:rsidRPr="00CE68EB" w:rsidRDefault="003F2B0C" w:rsidP="003F2B0C">
      <w:pPr>
        <w:pStyle w:val="Akapitzlist"/>
        <w:numPr>
          <w:ilvl w:val="1"/>
          <w:numId w:val="41"/>
        </w:numPr>
        <w:spacing w:after="160"/>
      </w:pPr>
      <w:r w:rsidRPr="00CE68EB">
        <w:t>Pomoc obywatelom Ukrainy z niepełnosprawnością</w:t>
      </w:r>
    </w:p>
    <w:p w:rsidR="003F2B0C" w:rsidRPr="00CE68EB" w:rsidRDefault="003F2B0C" w:rsidP="003F2B0C">
      <w:pPr>
        <w:pStyle w:val="Akapitzlist"/>
        <w:numPr>
          <w:ilvl w:val="1"/>
          <w:numId w:val="41"/>
        </w:numPr>
        <w:spacing w:after="160"/>
      </w:pPr>
      <w:r w:rsidRPr="00CE68EB">
        <w:t>Dostępność ponad barierami</w:t>
      </w:r>
    </w:p>
    <w:p w:rsidR="003F2B0C" w:rsidRPr="00CE68EB" w:rsidRDefault="003F2B0C" w:rsidP="003F2B0C">
      <w:pPr>
        <w:pStyle w:val="Akapitzlist"/>
        <w:numPr>
          <w:ilvl w:val="1"/>
          <w:numId w:val="41"/>
        </w:numPr>
        <w:spacing w:after="160"/>
      </w:pPr>
      <w:r w:rsidRPr="00CE68EB">
        <w:t>Centra informacyjno-doradcze dla osób z niepełnosprawnością</w:t>
      </w:r>
    </w:p>
    <w:p w:rsidR="003F2B0C" w:rsidRPr="00CE68EB" w:rsidRDefault="003F2B0C" w:rsidP="003F2B0C">
      <w:pPr>
        <w:pStyle w:val="Akapitzlist"/>
        <w:numPr>
          <w:ilvl w:val="1"/>
          <w:numId w:val="41"/>
        </w:numPr>
        <w:spacing w:after="160"/>
      </w:pPr>
      <w:r w:rsidRPr="00CE68EB">
        <w:t>Pomoc osobom niepełnosprawnym poszkodowanym w wyniku żywiołu lub sytuacji kryzysowych wywołanych chorobami zakaźnymi</w:t>
      </w:r>
    </w:p>
    <w:p w:rsidR="003F2B0C" w:rsidRPr="00CE68EB" w:rsidRDefault="003F2B0C" w:rsidP="003F2B0C">
      <w:pPr>
        <w:pStyle w:val="Akapitzlist"/>
        <w:numPr>
          <w:ilvl w:val="1"/>
          <w:numId w:val="41"/>
        </w:numPr>
        <w:spacing w:after="160"/>
      </w:pPr>
      <w:r w:rsidRPr="00CE68EB">
        <w:t>Pilotażowy program "Rehabilitacja 25 plus"</w:t>
      </w:r>
    </w:p>
    <w:p w:rsidR="003F2B0C" w:rsidRPr="00CE68EB" w:rsidRDefault="003F2B0C" w:rsidP="003F2B0C">
      <w:pPr>
        <w:pStyle w:val="Akapitzlist"/>
        <w:numPr>
          <w:ilvl w:val="1"/>
          <w:numId w:val="41"/>
        </w:numPr>
        <w:spacing w:after="160"/>
      </w:pPr>
      <w:r w:rsidRPr="00CE68EB">
        <w:t>Program „Zajęcia klubowe w WTZ”</w:t>
      </w:r>
    </w:p>
    <w:p w:rsidR="003F2B0C" w:rsidRPr="00CE68EB" w:rsidRDefault="003F2B0C" w:rsidP="003F2B0C">
      <w:pPr>
        <w:pStyle w:val="Akapitzlist"/>
        <w:numPr>
          <w:ilvl w:val="1"/>
          <w:numId w:val="41"/>
        </w:numPr>
        <w:spacing w:after="160"/>
      </w:pPr>
      <w:r w:rsidRPr="00CE68EB">
        <w:t>Aktywny samorząd</w:t>
      </w:r>
    </w:p>
    <w:p w:rsidR="003F2B0C" w:rsidRPr="00CE68EB" w:rsidRDefault="003F2B0C" w:rsidP="003F2B0C">
      <w:pPr>
        <w:pStyle w:val="Akapitzlist"/>
        <w:numPr>
          <w:ilvl w:val="1"/>
          <w:numId w:val="41"/>
        </w:numPr>
        <w:spacing w:after="160"/>
      </w:pPr>
      <w:r w:rsidRPr="00CE68EB">
        <w:t>Program wyrównywania różnic między regionami III</w:t>
      </w:r>
    </w:p>
    <w:p w:rsidR="003F2B0C" w:rsidRPr="00CE68EB" w:rsidRDefault="003F2B0C" w:rsidP="003F2B0C">
      <w:pPr>
        <w:pStyle w:val="Akapitzlist"/>
        <w:numPr>
          <w:ilvl w:val="1"/>
          <w:numId w:val="41"/>
        </w:numPr>
        <w:spacing w:after="160"/>
      </w:pPr>
      <w:r w:rsidRPr="00CE68EB">
        <w:t>Wsparcie Inicjatyw</w:t>
      </w:r>
    </w:p>
    <w:p w:rsidR="003F2B0C" w:rsidRPr="00CE68EB" w:rsidRDefault="003F2B0C" w:rsidP="003F2B0C">
      <w:pPr>
        <w:pStyle w:val="Akapitzlist"/>
        <w:numPr>
          <w:ilvl w:val="1"/>
          <w:numId w:val="41"/>
        </w:numPr>
        <w:spacing w:after="160"/>
      </w:pPr>
      <w:r w:rsidRPr="00CE68EB">
        <w:t>Program "Stabilne Zatrudnienie"</w:t>
      </w:r>
    </w:p>
    <w:p w:rsidR="003F2B0C" w:rsidRPr="00CE68EB" w:rsidRDefault="003F2B0C" w:rsidP="003F2B0C">
      <w:pPr>
        <w:pStyle w:val="Akapitzlist"/>
        <w:numPr>
          <w:ilvl w:val="1"/>
          <w:numId w:val="41"/>
        </w:numPr>
        <w:spacing w:after="160"/>
      </w:pPr>
      <w:r w:rsidRPr="00CE68EB">
        <w:t>Absolwent I</w:t>
      </w:r>
      <w:r>
        <w:t>I</w:t>
      </w:r>
    </w:p>
    <w:p w:rsidR="003F2B0C" w:rsidRDefault="003F2B0C" w:rsidP="003F2B0C">
      <w:pPr>
        <w:pStyle w:val="Nagwek1"/>
        <w:numPr>
          <w:ilvl w:val="0"/>
          <w:numId w:val="0"/>
        </w:numPr>
        <w:ind w:left="360"/>
      </w:pPr>
      <w:bookmarkStart w:id="66" w:name="_Toc196867037"/>
      <w:bookmarkStart w:id="67" w:name="_Toc196905136"/>
      <w:r>
        <w:t xml:space="preserve">4. </w:t>
      </w:r>
      <w:r w:rsidRPr="007B0851">
        <w:t>Identyfikacj</w:t>
      </w:r>
      <w:r>
        <w:t>a</w:t>
      </w:r>
      <w:r w:rsidRPr="007B0851">
        <w:t xml:space="preserve"> przewag i wyzwań wynikających z</w:t>
      </w:r>
      <w:r>
        <w:t> </w:t>
      </w:r>
      <w:r w:rsidRPr="007B0851">
        <w:t>pozycji rozwojowej ośrodków konkurencyjnych</w:t>
      </w:r>
      <w:bookmarkEnd w:id="66"/>
      <w:bookmarkEnd w:id="67"/>
    </w:p>
    <w:p w:rsidR="003F2B0C" w:rsidRDefault="003F2B0C" w:rsidP="003F2B0C">
      <w:r>
        <w:t xml:space="preserve">Celem poniższej analizy  jest identyfikacja mocnych i słabych stron </w:t>
      </w:r>
      <w:proofErr w:type="spellStart"/>
      <w:r>
        <w:t>WrOF</w:t>
      </w:r>
      <w:proofErr w:type="spellEnd"/>
      <w:r>
        <w:t xml:space="preserve"> w kontekście konkurencyjności tego obszaru i oceny jakości życia. W rozdziale porównano uwarunkowania rozwojowe </w:t>
      </w:r>
      <w:proofErr w:type="spellStart"/>
      <w:r>
        <w:t>WrOF-u</w:t>
      </w:r>
      <w:proofErr w:type="spellEnd"/>
      <w:r>
        <w:t xml:space="preserve"> z czterema wybranych obszarami funkcjonalnymi. Kluczem do wyboru obszarów funkcjonalnych do porównania z </w:t>
      </w:r>
      <w:proofErr w:type="spellStart"/>
      <w:r>
        <w:t>WrOF</w:t>
      </w:r>
      <w:proofErr w:type="spellEnd"/>
      <w:r>
        <w:t xml:space="preserve"> były podobne uwarunkowania rozwoju, które determinują z jednej strony potencjał demograficzny i gospodarczy, jak też położenie. Zdecydowano się na wybór dwóch obszarów funkcjonalnych z Polski, tj. Krakowa i Poznania, czyli obszarów w których rdzeń jest miastem o zbliżonej wielkości w stosunku do Wrocławia. Zdecydowano się ponadto na wybór dwóch obszarów funkcjonalnych spoza kraju. Wybór padł na czeskie Brno oraz saksońskie Drezno. Oba miasta posiadają zbliżony potencjał demograficzny i położone są w regionach sąsiadujących (Saksonia) lub położonych w niedużej odległości (</w:t>
      </w:r>
      <w:r w:rsidRPr="00A37889">
        <w:t xml:space="preserve">Kraj </w:t>
      </w:r>
      <w:proofErr w:type="spellStart"/>
      <w:r w:rsidRPr="00A37889">
        <w:t>Południowomorawski</w:t>
      </w:r>
      <w:proofErr w:type="spellEnd"/>
      <w:r>
        <w:t xml:space="preserve">). Położenie tych aglomeracji w podobnym rejonie Europy daje możliwość porównania w jaki sposób poszczególne </w:t>
      </w:r>
      <w:r>
        <w:lastRenderedPageBreak/>
        <w:t>obszary funkcjonalne wykorzystują swoje potencjały rozwojowe mając na względzie mniej więcej podobne uwarunkowania zewnętrzne rozwoju.</w:t>
      </w:r>
    </w:p>
    <w:p w:rsidR="003F2B0C" w:rsidRDefault="003F2B0C" w:rsidP="003F2B0C">
      <w:r>
        <w:t>W ramach diagnozy zdecydowano się na porównanie następujących obszarów i aspektów rozwoju:</w:t>
      </w:r>
    </w:p>
    <w:p w:rsidR="003F2B0C" w:rsidRDefault="003F2B0C" w:rsidP="003F2B0C">
      <w:pPr>
        <w:pStyle w:val="Akapitzlist"/>
        <w:numPr>
          <w:ilvl w:val="0"/>
          <w:numId w:val="2"/>
        </w:numPr>
      </w:pPr>
      <w:r>
        <w:t>Relacje pomiędzy obszarem funkcjonalnym a regionem (polityka regionalna),</w:t>
      </w:r>
    </w:p>
    <w:p w:rsidR="003F2B0C" w:rsidRDefault="003F2B0C" w:rsidP="003F2B0C">
      <w:pPr>
        <w:pStyle w:val="Akapitzlist"/>
        <w:numPr>
          <w:ilvl w:val="0"/>
          <w:numId w:val="2"/>
        </w:numPr>
      </w:pPr>
      <w:r>
        <w:t>Struktura przestrzenna (osadnicza),</w:t>
      </w:r>
    </w:p>
    <w:p w:rsidR="003F2B0C" w:rsidRDefault="003F2B0C" w:rsidP="003F2B0C">
      <w:pPr>
        <w:pStyle w:val="Akapitzlist"/>
        <w:numPr>
          <w:ilvl w:val="0"/>
          <w:numId w:val="2"/>
        </w:numPr>
      </w:pPr>
      <w:r>
        <w:t>Potencjał demograficzny (ludność, migracje),</w:t>
      </w:r>
    </w:p>
    <w:p w:rsidR="003F2B0C" w:rsidRDefault="003F2B0C" w:rsidP="003F2B0C">
      <w:pPr>
        <w:pStyle w:val="Akapitzlist"/>
        <w:numPr>
          <w:ilvl w:val="0"/>
          <w:numId w:val="2"/>
        </w:numPr>
      </w:pPr>
      <w:r>
        <w:t>Transport i komunikacja (główne elementy infrastruktury transportowej),</w:t>
      </w:r>
    </w:p>
    <w:p w:rsidR="003F2B0C" w:rsidRDefault="003F2B0C" w:rsidP="003F2B0C">
      <w:pPr>
        <w:pStyle w:val="Akapitzlist"/>
        <w:numPr>
          <w:ilvl w:val="0"/>
          <w:numId w:val="2"/>
        </w:numPr>
      </w:pPr>
      <w:r>
        <w:t>Potencjał gospodarczy (wskaźniki rozwoju gospodarczego),</w:t>
      </w:r>
    </w:p>
    <w:p w:rsidR="003F2B0C" w:rsidRDefault="003F2B0C" w:rsidP="003F2B0C">
      <w:pPr>
        <w:pStyle w:val="Akapitzlist"/>
        <w:numPr>
          <w:ilvl w:val="0"/>
          <w:numId w:val="2"/>
        </w:numPr>
      </w:pPr>
      <w:r>
        <w:t>Potencjał naukowo-badawczy (wskaźniki rozwoju innowacyjnego, potencjał uczelni wyższych),</w:t>
      </w:r>
    </w:p>
    <w:p w:rsidR="003F2B0C" w:rsidRDefault="003F2B0C" w:rsidP="003F2B0C">
      <w:pPr>
        <w:pStyle w:val="Akapitzlist"/>
        <w:numPr>
          <w:ilvl w:val="0"/>
          <w:numId w:val="2"/>
        </w:numPr>
      </w:pPr>
      <w:r>
        <w:t>Środowisko i przyroda (uwarunkowania przyrodnicze),</w:t>
      </w:r>
    </w:p>
    <w:p w:rsidR="003F2B0C" w:rsidRDefault="003F2B0C" w:rsidP="003F2B0C">
      <w:pPr>
        <w:pStyle w:val="Akapitzlist"/>
        <w:numPr>
          <w:ilvl w:val="0"/>
          <w:numId w:val="2"/>
        </w:numPr>
      </w:pPr>
      <w:r>
        <w:t>Wypoczynek i rekreacja (turystyka, czas wolny),</w:t>
      </w:r>
    </w:p>
    <w:p w:rsidR="003F2B0C" w:rsidRDefault="003F2B0C" w:rsidP="003F2B0C">
      <w:pPr>
        <w:pStyle w:val="Akapitzlist"/>
        <w:numPr>
          <w:ilvl w:val="0"/>
          <w:numId w:val="2"/>
        </w:numPr>
      </w:pPr>
      <w:r>
        <w:t>Relacje władz publicznych (współpraca na poziomie obszaru funkcjonalnego),</w:t>
      </w:r>
    </w:p>
    <w:p w:rsidR="003F2B0C" w:rsidRDefault="003F2B0C" w:rsidP="003F2B0C">
      <w:pPr>
        <w:pStyle w:val="Akapitzlist"/>
        <w:numPr>
          <w:ilvl w:val="0"/>
          <w:numId w:val="2"/>
        </w:numPr>
      </w:pPr>
      <w:r>
        <w:t>Główne priorytety rozwoju obszaru funkcjonalnego (główne cele rozwoju ze strategii).</w:t>
      </w:r>
    </w:p>
    <w:p w:rsidR="003F2B0C" w:rsidRPr="009C2C6D" w:rsidRDefault="003F2B0C" w:rsidP="003F2B0C">
      <w:r>
        <w:t xml:space="preserve">Ze względu na poziom dostępności danych, zwłaszcza w Brnie i Dreźnie zastosowano zarówno analizę ilościową jak i jakościową. W przypadku krajowych obszarów funkcjonalnych zdecydowano się porównywać pozycję </w:t>
      </w:r>
      <w:proofErr w:type="spellStart"/>
      <w:r>
        <w:t>WrOF</w:t>
      </w:r>
      <w:proofErr w:type="spellEnd"/>
      <w:r>
        <w:t xml:space="preserve"> w przedziale czasowym 2018-2023, a w przypadku obszarów zagranicznych do najbardziej aktualnych danych statystycznych, głównie roku 2023. </w:t>
      </w:r>
    </w:p>
    <w:p w:rsidR="003F2B0C" w:rsidRDefault="003F2B0C" w:rsidP="003F2B0C">
      <w:pPr>
        <w:pStyle w:val="Nagwek2"/>
        <w:numPr>
          <w:ilvl w:val="1"/>
          <w:numId w:val="37"/>
        </w:numPr>
        <w:ind w:left="1440"/>
      </w:pPr>
      <w:bookmarkStart w:id="68" w:name="_Toc196867038"/>
      <w:bookmarkStart w:id="69" w:name="_Toc196905137"/>
      <w:r>
        <w:t>Porównanie obszarów funkcjonalnych</w:t>
      </w:r>
      <w:bookmarkEnd w:id="68"/>
      <w:bookmarkEnd w:id="69"/>
    </w:p>
    <w:p w:rsidR="003F2B0C" w:rsidRDefault="003F2B0C" w:rsidP="003F2B0C">
      <w:r w:rsidRPr="006E1C30">
        <w:t>Polityka spójności UE promuje podejści</w:t>
      </w:r>
      <w:r>
        <w:t>e</w:t>
      </w:r>
      <w:r w:rsidRPr="006E1C30">
        <w:t xml:space="preserve"> oparte na obszarach funkcjonalnych, w szczególności poprzez nowy cel polityki „Europa bliżej obywateli” oraz różne narzędzia oferowane na rzecz zintegrowanego rozwoju terytorialnego, w tym na rzecz zrównoważonego rozwoju obszarów miejskich i wspierania obszarów w niekorzystnej sytuacji.</w:t>
      </w:r>
    </w:p>
    <w:p w:rsidR="003F2B0C" w:rsidRDefault="003F2B0C" w:rsidP="003F2B0C">
      <w:r>
        <w:t xml:space="preserve">Obszary funkcjonalne działają jako zrzeszenia Jednostek Samorządu Terytorialnego, które mają dążyć do koordynacji zadań w zakresie m.in.: kształtowania ładu przestrzennego, rozwoju gospodarczego obszaru, wzmacniania jego potencjału społecznego i naukowego, publicznego transportu zbiorowego oraz promocji obszaru metropolitalnego. Pogłębiona współpraca międzygminna w ramach obszarów funkcjonalnych może stymulować rozwój regionu oraz kraju, a same obszary funkcjonalne są swoistymi biegunami wzrostu. Współpraca w ramach obszarów funkcjonalnych powinna prowadzić do podnoszenia jakości życia mieszkańców i optymalizacji kosztów ich funkcjonowania. </w:t>
      </w:r>
    </w:p>
    <w:p w:rsidR="003F2B0C" w:rsidRDefault="003F2B0C" w:rsidP="003F2B0C">
      <w:pPr>
        <w:rPr>
          <w:b/>
          <w:bCs/>
        </w:rPr>
      </w:pPr>
      <w:r w:rsidRPr="00776BD6">
        <w:rPr>
          <w:b/>
          <w:bCs/>
        </w:rPr>
        <w:t>1</w:t>
      </w:r>
      <w:r>
        <w:rPr>
          <w:b/>
          <w:bCs/>
        </w:rPr>
        <w:t xml:space="preserve">. </w:t>
      </w:r>
      <w:r w:rsidRPr="00776BD6">
        <w:rPr>
          <w:b/>
          <w:bCs/>
        </w:rPr>
        <w:t>Relacje pomiędzy obszarem funkcjonalnym a regionem (polityka regionalna)</w:t>
      </w:r>
    </w:p>
    <w:p w:rsidR="003F2B0C" w:rsidRPr="00C5677D" w:rsidRDefault="003F2B0C" w:rsidP="003F2B0C">
      <w:pPr>
        <w:rPr>
          <w:b/>
          <w:bCs/>
        </w:rPr>
      </w:pPr>
      <w:r w:rsidRPr="00EA753F">
        <w:rPr>
          <w:b/>
          <w:bCs/>
          <w:color w:val="FFC000"/>
        </w:rPr>
        <w:t>Wrocławski Obszar Funkcjonalny</w:t>
      </w:r>
    </w:p>
    <w:p w:rsidR="003F2B0C" w:rsidRDefault="003F2B0C" w:rsidP="003F2B0C">
      <w:r>
        <w:lastRenderedPageBreak/>
        <w:t>Na poziomie województwa Wrocławski Obszar Funkcjonalny został zdefiniowany w Planie zagospodarowania przestrzennego województwa dolnośląskiego</w:t>
      </w:r>
      <w:r>
        <w:rPr>
          <w:rStyle w:val="Odwoanieprzypisudolnego"/>
        </w:rPr>
        <w:footnoteReference w:id="18"/>
      </w:r>
      <w:r>
        <w:t xml:space="preserve">, który określa </w:t>
      </w:r>
      <w:proofErr w:type="spellStart"/>
      <w:r>
        <w:t>WrOF</w:t>
      </w:r>
      <w:proofErr w:type="spellEnd"/>
      <w:r>
        <w:t xml:space="preserve"> jako miejski obszar funkcjonalny ośrodka wojewódzkiego, wskazując jego granice i znaczenie dla spójności przestrzennej Dolnego Śląska, oraz w Strategii Rozwoju Województwa Dolnośląskiego 2030, w którym </w:t>
      </w:r>
      <w:proofErr w:type="spellStart"/>
      <w:r>
        <w:t>WrOF</w:t>
      </w:r>
      <w:proofErr w:type="spellEnd"/>
      <w:r>
        <w:t xml:space="preserve"> poprzez instrument Zintegrowanych Inwestycji </w:t>
      </w:r>
      <w:r w:rsidR="00343E38">
        <w:t>T</w:t>
      </w:r>
      <w:r>
        <w:t xml:space="preserve">erytorialnych uznany jest jako kluczowy instrument wspierający rozwój regionalny. Należy jednak wspomnieć, że delimitacja obszaru wskazanego w Planie zagospodarowania różni się od zasięgu </w:t>
      </w:r>
      <w:proofErr w:type="spellStart"/>
      <w:r>
        <w:t>WrOF-u</w:t>
      </w:r>
      <w:proofErr w:type="spellEnd"/>
      <w:r>
        <w:t xml:space="preserve"> zdefiniowanego w ramach </w:t>
      </w:r>
      <w:r w:rsidR="00343E38">
        <w:t>Z</w:t>
      </w:r>
      <w:r>
        <w:t xml:space="preserve">integrowanych </w:t>
      </w:r>
      <w:r w:rsidR="00343E38">
        <w:t>I</w:t>
      </w:r>
      <w:r>
        <w:t xml:space="preserve">nwestycji </w:t>
      </w:r>
      <w:r w:rsidR="00343E38">
        <w:t>T</w:t>
      </w:r>
      <w:r>
        <w:t xml:space="preserve">erytorialnych i obejmuje on znacznie większy obszar. Według </w:t>
      </w:r>
      <w:r w:rsidRPr="007A48BB">
        <w:t>Strategi</w:t>
      </w:r>
      <w:r>
        <w:t>i</w:t>
      </w:r>
      <w:r w:rsidRPr="007A48BB">
        <w:t xml:space="preserve"> Rozwoju Województwa Dolnośląskiego 2030</w:t>
      </w:r>
      <w:r>
        <w:t xml:space="preserve"> </w:t>
      </w:r>
      <w:r w:rsidRPr="007A48BB">
        <w:t>Wrocławski Obszar Funkcjonalny (</w:t>
      </w:r>
      <w:proofErr w:type="spellStart"/>
      <w:r>
        <w:t>Wr</w:t>
      </w:r>
      <w:r w:rsidRPr="007A48BB">
        <w:t>OF</w:t>
      </w:r>
      <w:proofErr w:type="spellEnd"/>
      <w:r w:rsidRPr="007A48BB">
        <w:t>) powin</w:t>
      </w:r>
      <w:r>
        <w:t>ien realizować przede wszystkim zadania z zakresu Priorytetów: 1.2.</w:t>
      </w:r>
      <w:r w:rsidRPr="007A48BB">
        <w:t>Wzmacniani</w:t>
      </w:r>
      <w:r>
        <w:t>a</w:t>
      </w:r>
      <w:r w:rsidRPr="007A48BB">
        <w:t xml:space="preserve"> krajowej i</w:t>
      </w:r>
      <w:r>
        <w:t> </w:t>
      </w:r>
      <w:r w:rsidRPr="007A48BB">
        <w:t>europejskiej konkurencyjności regionu i</w:t>
      </w:r>
      <w:r>
        <w:t> </w:t>
      </w:r>
      <w:r w:rsidRPr="007A48BB">
        <w:t>jego marki</w:t>
      </w:r>
      <w:r>
        <w:t xml:space="preserve">,  1.3 </w:t>
      </w:r>
      <w:r w:rsidRPr="007A48BB">
        <w:t>Wzmacniani</w:t>
      </w:r>
      <w:r>
        <w:t>a</w:t>
      </w:r>
      <w:r w:rsidRPr="007A48BB">
        <w:t xml:space="preserve"> innowacyjności, w tym </w:t>
      </w:r>
      <w:proofErr w:type="spellStart"/>
      <w:r w:rsidRPr="007A48BB">
        <w:t>ekoinnowacyjności</w:t>
      </w:r>
      <w:proofErr w:type="spellEnd"/>
      <w:r>
        <w:t xml:space="preserve"> regionu oraz 2.3 Rozwój i doskonalenie usług publicznych. </w:t>
      </w:r>
    </w:p>
    <w:p w:rsidR="003F2B0C" w:rsidRDefault="003F2B0C" w:rsidP="003F2B0C">
      <w:pPr>
        <w:rPr>
          <w:b/>
          <w:bCs/>
          <w:color w:val="FFC000"/>
        </w:rPr>
      </w:pPr>
      <w:r w:rsidRPr="00EA753F">
        <w:rPr>
          <w:b/>
          <w:bCs/>
          <w:color w:val="FFC000"/>
        </w:rPr>
        <w:t>Metropolia Krakowska</w:t>
      </w:r>
    </w:p>
    <w:p w:rsidR="003F2B0C" w:rsidRPr="00C17E8E" w:rsidRDefault="003F2B0C" w:rsidP="003F2B0C">
      <w:r w:rsidRPr="00C17E8E">
        <w:t>Metropolia Krakowska jest kluczowym elementem integracji regionalnej, wspierającym rozwój województwa Małopolskiego poprzez współpracę gmin i realizację wspólnych celów strategicznych.</w:t>
      </w:r>
      <w:r>
        <w:t xml:space="preserve"> Strategia Rozwoju Województwa „Małopolska 2030” uznaje Krakowski Obszar Funkcjonalny za strategiczny obszar interwencji (OSI) i wskazuje na konieczność współpracy w ramach miejskich obszarów funkcjonalnych oraz ochrony przyrody i dziedzictwa kulturowego. Stowarzyszenie Metropolia Krakowska jest partnerem województwa małopolskiego przy realizacji projektów rozwojowych. Metropolia Krakowska tworzy płaszczyznę współpracy dla gmin, które wspólnie realizują Zintegrowane Inwestycje Terytorialne (ZIT), m.in. w zakresie: promowania przedsiębiorczości, rozwijania infrastruktury drogowej i wspierania równoważonej multimodalnej mobilności miejskiej, działań z zakresu poprawy jakości powietrza i modernizacji energetycznej budynku czy inwestowania w sektor gospodarki wodno-kanalizacyjnej, gospodarki odpadami i w rozwój infrastruktury społecznej.</w:t>
      </w:r>
    </w:p>
    <w:p w:rsidR="003F2B0C" w:rsidRDefault="003F2B0C" w:rsidP="003F2B0C">
      <w:pPr>
        <w:rPr>
          <w:b/>
          <w:bCs/>
          <w:color w:val="FFC000"/>
        </w:rPr>
      </w:pPr>
      <w:r>
        <w:rPr>
          <w:b/>
          <w:bCs/>
          <w:color w:val="FFC000"/>
        </w:rPr>
        <w:t>Metropolia Poznań</w:t>
      </w:r>
    </w:p>
    <w:p w:rsidR="003F2B0C" w:rsidRPr="00C17E8E" w:rsidRDefault="003F2B0C" w:rsidP="003F2B0C">
      <w:r w:rsidRPr="00C17E8E">
        <w:t>W dokumentach wojewódzkich</w:t>
      </w:r>
      <w:r>
        <w:t xml:space="preserve">, w </w:t>
      </w:r>
      <w:r w:rsidRPr="00C17E8E">
        <w:t>Strategii rozwoju województwa wielkopolskiego do 2030 roku Metropolia Poznań jest wskazywana jako kluczowy obszar funkcjonalny o znaczeniu regionalnym i krajowym. Podkreśla się jej rolę jako centrum innowacji, transportu oraz integracji społeczno-gospodarczej</w:t>
      </w:r>
      <w:r>
        <w:t>.</w:t>
      </w:r>
    </w:p>
    <w:p w:rsidR="003F2B0C" w:rsidRDefault="003F2B0C" w:rsidP="003F2B0C">
      <w:pPr>
        <w:rPr>
          <w:b/>
          <w:bCs/>
          <w:color w:val="FFC000"/>
        </w:rPr>
      </w:pPr>
      <w:r w:rsidRPr="004144B0">
        <w:rPr>
          <w:b/>
          <w:bCs/>
          <w:color w:val="FFC000"/>
        </w:rPr>
        <w:t>Obszar Metropolitalny</w:t>
      </w:r>
      <w:r>
        <w:rPr>
          <w:b/>
          <w:bCs/>
          <w:color w:val="FFC000"/>
        </w:rPr>
        <w:t xml:space="preserve"> Brna</w:t>
      </w:r>
    </w:p>
    <w:p w:rsidR="003F2B0C" w:rsidRDefault="003F2B0C" w:rsidP="003F2B0C">
      <w:r w:rsidRPr="00D7536D">
        <w:lastRenderedPageBreak/>
        <w:t>Obszar metropolitalny Brna (BMO) jest jednym z trzech obszarów metropolitalnych</w:t>
      </w:r>
      <w:r>
        <w:t xml:space="preserve"> </w:t>
      </w:r>
      <w:r w:rsidRPr="00D7536D">
        <w:t>zdefiniowanych w Strategii Rozwoju Regionalnego Republiki</w:t>
      </w:r>
      <w:r>
        <w:t xml:space="preserve"> </w:t>
      </w:r>
      <w:r w:rsidRPr="00D7536D">
        <w:t>Czeskiej 2021+. Jest to funkcjonalna jednostka przestrzenna, która w nowej koncepcji terytorialnej polityki regionalnej Republiki Czeskiej służy</w:t>
      </w:r>
      <w:r>
        <w:t xml:space="preserve"> </w:t>
      </w:r>
      <w:r w:rsidRPr="00D7536D">
        <w:t>także zintegrowanemu ukierunkowaniu polityk publicznych, programów operacyjnych w ramach instrumentu ZIT oraz innych środków</w:t>
      </w:r>
      <w:r>
        <w:t xml:space="preserve"> </w:t>
      </w:r>
      <w:r w:rsidRPr="00D7536D">
        <w:t>finansowych na okres po 2020 roku.</w:t>
      </w:r>
    </w:p>
    <w:p w:rsidR="003F2B0C" w:rsidRDefault="003F2B0C" w:rsidP="003F2B0C">
      <w:pPr>
        <w:rPr>
          <w:b/>
          <w:bCs/>
          <w:color w:val="FFC000"/>
        </w:rPr>
      </w:pPr>
      <w:r>
        <w:rPr>
          <w:b/>
          <w:bCs/>
          <w:color w:val="FFC000"/>
        </w:rPr>
        <w:t>Aglomeracja Drezna</w:t>
      </w:r>
    </w:p>
    <w:p w:rsidR="003F2B0C" w:rsidRDefault="003F2B0C" w:rsidP="003F2B0C">
      <w:r w:rsidRPr="000B5EB8">
        <w:t>Planowanie przestrzenne</w:t>
      </w:r>
      <w:r>
        <w:t xml:space="preserve"> w Niemczech</w:t>
      </w:r>
      <w:r w:rsidRPr="000B5EB8">
        <w:t xml:space="preserve"> opiera się na planach zagospodarowania przestrzennego wyższego szczebla.</w:t>
      </w:r>
      <w:r>
        <w:t xml:space="preserve"> </w:t>
      </w:r>
      <w:r w:rsidRPr="000B5EB8">
        <w:t>Odpowiednie cele i zasady zostały zdefiniowane dla Drezn</w:t>
      </w:r>
      <w:r>
        <w:t>a</w:t>
      </w:r>
      <w:r w:rsidRPr="000B5EB8">
        <w:t xml:space="preserve"> w</w:t>
      </w:r>
      <w:r>
        <w:t xml:space="preserve"> </w:t>
      </w:r>
      <w:r w:rsidRPr="000B5EB8">
        <w:t>dokum</w:t>
      </w:r>
      <w:r>
        <w:t>entach</w:t>
      </w:r>
      <w:r w:rsidRPr="000B5EB8">
        <w:t>:</w:t>
      </w:r>
    </w:p>
    <w:p w:rsidR="003F2B0C" w:rsidRPr="000B5EB8" w:rsidRDefault="003F2B0C" w:rsidP="003F2B0C">
      <w:pPr>
        <w:pStyle w:val="Akapitzlist"/>
        <w:numPr>
          <w:ilvl w:val="0"/>
          <w:numId w:val="4"/>
        </w:numPr>
      </w:pPr>
      <w:r w:rsidRPr="000B5EB8">
        <w:t>Plan rozwoju kraju związkowego Saksonia</w:t>
      </w:r>
    </w:p>
    <w:p w:rsidR="003F2B0C" w:rsidRPr="000B5EB8" w:rsidRDefault="003F2B0C" w:rsidP="003F2B0C">
      <w:pPr>
        <w:pStyle w:val="Akapitzlist"/>
        <w:numPr>
          <w:ilvl w:val="0"/>
          <w:numId w:val="4"/>
        </w:numPr>
      </w:pPr>
      <w:r w:rsidRPr="000B5EB8">
        <w:t>Plan regionalny Dolina Górnej Łaby / Rudawy Wschodnie</w:t>
      </w:r>
    </w:p>
    <w:p w:rsidR="003F2B0C" w:rsidRPr="00F47016" w:rsidRDefault="003F2B0C" w:rsidP="003F2B0C">
      <w:r w:rsidRPr="000B5EB8">
        <w:t>Plan Rozwoju Kraju Związkowego Saksonia to całościowa koncepcja organizacji przestrzennej i</w:t>
      </w:r>
      <w:r>
        <w:t> </w:t>
      </w:r>
      <w:r w:rsidRPr="000B5EB8">
        <w:t>rozwoju Woln</w:t>
      </w:r>
      <w:r>
        <w:t>ego</w:t>
      </w:r>
      <w:r w:rsidRPr="000B5EB8">
        <w:t xml:space="preserve"> Kraju Związkow</w:t>
      </w:r>
      <w:r>
        <w:t>ego</w:t>
      </w:r>
      <w:r w:rsidRPr="000B5EB8">
        <w:t xml:space="preserve"> Saksonia.</w:t>
      </w:r>
      <w:r>
        <w:t xml:space="preserve"> Plan ten z</w:t>
      </w:r>
      <w:r w:rsidRPr="000B5EB8">
        <w:t>awiera cele i zasady, które mają bezpośredni wpływ na planowanie przestrzenne w Dreźnie, w szczególności w obszarach rozwoju osadnictwa, handlu i transportu.</w:t>
      </w:r>
      <w:r>
        <w:t xml:space="preserve"> </w:t>
      </w:r>
      <w:r w:rsidRPr="000B5EB8">
        <w:t xml:space="preserve">Miasto </w:t>
      </w:r>
      <w:r>
        <w:t>w</w:t>
      </w:r>
      <w:r w:rsidRPr="000B5EB8">
        <w:t>raz z sąsiednimi powiatami jest bezpośrednio zaangażowan</w:t>
      </w:r>
      <w:r>
        <w:t>e</w:t>
      </w:r>
      <w:r w:rsidRPr="000B5EB8">
        <w:t xml:space="preserve"> w rozwój planu regionalnego Doliny Górnej Łaby / </w:t>
      </w:r>
      <w:proofErr w:type="spellStart"/>
      <w:r w:rsidRPr="000B5EB8">
        <w:t>Rudaw</w:t>
      </w:r>
      <w:proofErr w:type="spellEnd"/>
      <w:r w:rsidRPr="000B5EB8">
        <w:t xml:space="preserve"> Wschodnich. Wraz z</w:t>
      </w:r>
      <w:r>
        <w:t> </w:t>
      </w:r>
      <w:r w:rsidRPr="000B5EB8">
        <w:t xml:space="preserve">powiatami </w:t>
      </w:r>
      <w:proofErr w:type="spellStart"/>
      <w:r w:rsidRPr="000B5EB8">
        <w:t>Meißen</w:t>
      </w:r>
      <w:proofErr w:type="spellEnd"/>
      <w:r w:rsidRPr="000B5EB8">
        <w:t xml:space="preserve"> i </w:t>
      </w:r>
      <w:proofErr w:type="spellStart"/>
      <w:r w:rsidRPr="000B5EB8">
        <w:t>Sächsische</w:t>
      </w:r>
      <w:proofErr w:type="spellEnd"/>
      <w:r>
        <w:t xml:space="preserve"> </w:t>
      </w:r>
      <w:proofErr w:type="spellStart"/>
      <w:r w:rsidRPr="000B5EB8">
        <w:t>Schweiz-Osterzgebirge</w:t>
      </w:r>
      <w:proofErr w:type="spellEnd"/>
      <w:r w:rsidRPr="000B5EB8">
        <w:t xml:space="preserve"> jest członkiem regionalnego stowarzyszenia planistycznego </w:t>
      </w:r>
      <w:proofErr w:type="spellStart"/>
      <w:r w:rsidRPr="000B5EB8">
        <w:t>OberesElbtal</w:t>
      </w:r>
      <w:proofErr w:type="spellEnd"/>
      <w:r w:rsidRPr="000B5EB8">
        <w:t>/</w:t>
      </w:r>
      <w:proofErr w:type="spellStart"/>
      <w:r w:rsidRPr="000B5EB8">
        <w:t>Osterzgebirge</w:t>
      </w:r>
      <w:proofErr w:type="spellEnd"/>
      <w:r w:rsidRPr="000B5EB8">
        <w:t>, które opracowuje plan regionalny</w:t>
      </w:r>
      <w:r>
        <w:t xml:space="preserve"> dla tych miejscowości</w:t>
      </w:r>
      <w:r w:rsidRPr="000B5EB8">
        <w:t>.</w:t>
      </w:r>
    </w:p>
    <w:p w:rsidR="003F2B0C" w:rsidRPr="00776BD6" w:rsidRDefault="003F2B0C" w:rsidP="003F2B0C">
      <w:pPr>
        <w:rPr>
          <w:b/>
          <w:bCs/>
        </w:rPr>
      </w:pPr>
      <w:r w:rsidRPr="00776BD6">
        <w:rPr>
          <w:b/>
          <w:bCs/>
        </w:rPr>
        <w:t>2</w:t>
      </w:r>
      <w:r>
        <w:rPr>
          <w:b/>
          <w:bCs/>
        </w:rPr>
        <w:t xml:space="preserve">. </w:t>
      </w:r>
      <w:r w:rsidRPr="00776BD6">
        <w:rPr>
          <w:b/>
          <w:bCs/>
        </w:rPr>
        <w:t>Struktura przestrzenna (osadnicza)</w:t>
      </w:r>
    </w:p>
    <w:p w:rsidR="003F2B0C" w:rsidRDefault="003F2B0C" w:rsidP="003F2B0C">
      <w:pPr>
        <w:rPr>
          <w:color w:val="FFC000"/>
        </w:rPr>
      </w:pPr>
      <w:r w:rsidRPr="00EA753F">
        <w:rPr>
          <w:b/>
          <w:bCs/>
          <w:color w:val="FFC000"/>
        </w:rPr>
        <w:t>Wrocławski Obszar Funkcjonalny</w:t>
      </w:r>
    </w:p>
    <w:p w:rsidR="003F2B0C" w:rsidRDefault="003F2B0C" w:rsidP="003F2B0C">
      <w:r w:rsidRPr="00C36137">
        <w:t>Wrocławski Obszar Funkcjonalny znajduje się w Województwie Dolnośląskim. Jest jednym z</w:t>
      </w:r>
      <w:r>
        <w:t> </w:t>
      </w:r>
      <w:r w:rsidRPr="00C36137">
        <w:t>kluczowych obszarów funkcjonalnych w Polsce, obejmującym miasto Wrocław oraz otaczające je gminy. Jego struktura osadnicza i przestrzenna charakteryzuje się następującymi cechami:</w:t>
      </w:r>
      <w:r>
        <w:t xml:space="preserve"> 1. </w:t>
      </w:r>
      <w:r w:rsidRPr="00C36137">
        <w:t xml:space="preserve">Rdzeń i otoczenie: </w:t>
      </w:r>
      <w:proofErr w:type="spellStart"/>
      <w:r w:rsidRPr="00C36137">
        <w:t>WrOF</w:t>
      </w:r>
      <w:proofErr w:type="spellEnd"/>
      <w:r w:rsidRPr="00C36137">
        <w:t xml:space="preserve"> składa się z Wrocławia, będącego trzecim największym miastem w</w:t>
      </w:r>
      <w:r>
        <w:t> </w:t>
      </w:r>
      <w:r w:rsidRPr="00C36137">
        <w:t>Polsce, oraz 18 sąsiadujących gmin. Wśród nich znajdują się zarówno gminy miejskie, jak i</w:t>
      </w:r>
      <w:r>
        <w:t> </w:t>
      </w:r>
      <w:r w:rsidRPr="00C36137">
        <w:t>miejsko-wiejskie oraz wiejskie, co tworzy zróżnicowaną strukturę osadniczą</w:t>
      </w:r>
      <w:r>
        <w:t xml:space="preserve">. </w:t>
      </w:r>
      <w:r w:rsidRPr="00C36137">
        <w:t>Oprócz Wrocławia istotne znaczenie mają miasta powiatowe Oława, Oleśnica i Trzebnica, które pełnią funkcje lokalnych centrów rozwoju</w:t>
      </w:r>
      <w:r>
        <w:t xml:space="preserve">. </w:t>
      </w:r>
      <w:proofErr w:type="spellStart"/>
      <w:r w:rsidRPr="00C36137">
        <w:t>WrOF</w:t>
      </w:r>
      <w:proofErr w:type="spellEnd"/>
      <w:r w:rsidRPr="00C36137">
        <w:t xml:space="preserve"> obejmuje gminy z powiatów wrocławskiego, oleśnickiego, oławskiego, trzebnickiego i średzkiego. W sumie obszar ten zajmuje 19% powierzchni Dolnego Śląska</w:t>
      </w:r>
      <w:r>
        <w:t xml:space="preserve">. </w:t>
      </w:r>
      <w:proofErr w:type="spellStart"/>
      <w:r w:rsidRPr="00C36137">
        <w:t>WrOF</w:t>
      </w:r>
      <w:proofErr w:type="spellEnd"/>
      <w:r w:rsidRPr="00C36137">
        <w:t xml:space="preserve"> pełni rolę regionalnego i europejskiego centrum rozwoju, szczególnie w kontekście Europy Centralnej. Jest to obszar wielofunkcyjny, łączący funkcje mieszkaniowe, gospodarcze i</w:t>
      </w:r>
      <w:r>
        <w:t> </w:t>
      </w:r>
      <w:r w:rsidRPr="00C36137">
        <w:t>rekreacyjne</w:t>
      </w:r>
      <w:r>
        <w:t xml:space="preserve">. </w:t>
      </w:r>
    </w:p>
    <w:p w:rsidR="003F2B0C" w:rsidRDefault="003F2B0C" w:rsidP="003F2B0C">
      <w:pPr>
        <w:rPr>
          <w:b/>
          <w:bCs/>
          <w:color w:val="FFC000"/>
        </w:rPr>
      </w:pPr>
      <w:r w:rsidRPr="00EA753F">
        <w:rPr>
          <w:b/>
          <w:bCs/>
          <w:color w:val="FFC000"/>
        </w:rPr>
        <w:t>Metropolia Krakowska</w:t>
      </w:r>
    </w:p>
    <w:p w:rsidR="003F2B0C" w:rsidRPr="003D2BD6" w:rsidRDefault="003F2B0C" w:rsidP="003F2B0C">
      <w:r w:rsidRPr="00B86D41">
        <w:lastRenderedPageBreak/>
        <w:t>Obszar Metropolii Krakowskiej, został wyznaczony w związku z wdrożeniem na</w:t>
      </w:r>
      <w:r>
        <w:t xml:space="preserve"> </w:t>
      </w:r>
      <w:r w:rsidRPr="00B86D41">
        <w:t>terenie województwa małopolskiego instrumentu Zintegrowanych Inwestycj</w:t>
      </w:r>
      <w:r>
        <w:t xml:space="preserve">i </w:t>
      </w:r>
      <w:r w:rsidRPr="00B86D41">
        <w:t xml:space="preserve">Terytorialnych w 2014 roku. </w:t>
      </w:r>
      <w:r>
        <w:t>O</w:t>
      </w:r>
      <w:r w:rsidRPr="00B86D41">
        <w:t>bszar Metropolii Krakowskiej</w:t>
      </w:r>
      <w:r>
        <w:t xml:space="preserve"> obejmuje miasto rdzeń Kraków i Gminy Biskupice, Czernichów, Igołomia-Wawrzeńczyce, Kocmyrzów-Luborzyca, Liszki, Michałowice, Mogilany, Niepołomice, Skawina, Świątniki Górne, Wieliczka, Wielka Wieś, Zabierzów, Zielonki. </w:t>
      </w:r>
    </w:p>
    <w:p w:rsidR="003F2B0C" w:rsidRDefault="003F2B0C" w:rsidP="003F2B0C">
      <w:pPr>
        <w:rPr>
          <w:b/>
          <w:bCs/>
          <w:color w:val="FFC000"/>
        </w:rPr>
      </w:pPr>
      <w:r>
        <w:rPr>
          <w:b/>
          <w:bCs/>
          <w:color w:val="FFC000"/>
        </w:rPr>
        <w:t>Metropolia Poznań</w:t>
      </w:r>
    </w:p>
    <w:p w:rsidR="003F2B0C" w:rsidRDefault="003F2B0C" w:rsidP="003F2B0C">
      <w:r w:rsidRPr="00400375">
        <w:t>Metropolia Poznań jest typowym przykładem metropolii monocentrycznej. Charakterystyczny dla obszaru jest rdzeń, który stanowi miasto Poznań, realizujące szereg funkcji metropolitalnych, m.in. funkcję decyzyjną (instytucje decyzyjne rangi metropolitalnej zlokalizowane są przede wszystkim w Poznaniu), funkcję biznesową, funkcję transportową, funkcję naukowo-edukacją, funkcję turystyczną i sportową oraz funkcję kulturalną (najważniejsze obiekty kultury, a także działalności artystycznej o randze metropolitalnej, skoncentrowane są w Poznaniu).</w:t>
      </w:r>
      <w:r>
        <w:t>W ramach Metropolii Poznań wyróżnia się następujące jednostki samorządu terytorialnego:</w:t>
      </w:r>
    </w:p>
    <w:p w:rsidR="003F2B0C" w:rsidRDefault="003F2B0C" w:rsidP="003F2B0C">
      <w:pPr>
        <w:pStyle w:val="Akapitzlist"/>
        <w:numPr>
          <w:ilvl w:val="0"/>
          <w:numId w:val="3"/>
        </w:numPr>
      </w:pPr>
      <w:r>
        <w:t>miasto na prawach powiatu: Poznań;</w:t>
      </w:r>
    </w:p>
    <w:p w:rsidR="003F2B0C" w:rsidRDefault="003F2B0C" w:rsidP="003F2B0C">
      <w:pPr>
        <w:pStyle w:val="Akapitzlist"/>
        <w:numPr>
          <w:ilvl w:val="0"/>
          <w:numId w:val="3"/>
        </w:numPr>
      </w:pPr>
      <w:r>
        <w:t>gminy miejskie: Luboń, Puszczykowo;</w:t>
      </w:r>
    </w:p>
    <w:p w:rsidR="003F2B0C" w:rsidRDefault="003F2B0C" w:rsidP="003F2B0C">
      <w:pPr>
        <w:pStyle w:val="Akapitzlist"/>
        <w:numPr>
          <w:ilvl w:val="0"/>
          <w:numId w:val="3"/>
        </w:numPr>
      </w:pPr>
      <w:r>
        <w:t>gminy miejsko-wiejskich: Buk, Kostrzyn, Kórnik, Mosina, Murowana Goślina, Pobiedziska, Stęszew, Swarzędz, Oborniki, Szamotuły, Śrem, Skoki</w:t>
      </w:r>
    </w:p>
    <w:p w:rsidR="003F2B0C" w:rsidRDefault="003F2B0C" w:rsidP="003F2B0C">
      <w:pPr>
        <w:pStyle w:val="Akapitzlist"/>
        <w:numPr>
          <w:ilvl w:val="0"/>
          <w:numId w:val="3"/>
        </w:numPr>
      </w:pPr>
      <w:r>
        <w:t>gminy wiejskich: Czerwonak, Dopiewo, Kleszczewo, Komorniki, Rokietnica, Suchy Las, Tarnowo Podgórne;</w:t>
      </w:r>
    </w:p>
    <w:p w:rsidR="003F2B0C" w:rsidRPr="003D2BD6" w:rsidRDefault="003F2B0C" w:rsidP="003F2B0C">
      <w:r>
        <w:t xml:space="preserve">Członkiem Metropolii jest również powiat poznański. </w:t>
      </w:r>
    </w:p>
    <w:p w:rsidR="003F2B0C" w:rsidRDefault="003F2B0C" w:rsidP="003F2B0C">
      <w:pPr>
        <w:rPr>
          <w:b/>
          <w:bCs/>
          <w:color w:val="FFC000"/>
        </w:rPr>
      </w:pPr>
      <w:r w:rsidRPr="004144B0">
        <w:rPr>
          <w:b/>
          <w:bCs/>
          <w:color w:val="FFC000"/>
        </w:rPr>
        <w:t>Brneński Obszar Metropolitalny</w:t>
      </w:r>
    </w:p>
    <w:p w:rsidR="003F2B0C" w:rsidRDefault="003F2B0C" w:rsidP="003F2B0C">
      <w:r w:rsidRPr="0094251B">
        <w:t>Czeski system administracyjny, oprócz szczebla krajowego, wyróżnia trzy inne:</w:t>
      </w:r>
      <w:r>
        <w:t xml:space="preserve"> </w:t>
      </w:r>
      <w:r w:rsidRPr="0094251B">
        <w:t>regionalny, gminny z rozszerzonymi kompetencjami oraz gminny podstawowy.</w:t>
      </w:r>
      <w:r>
        <w:t xml:space="preserve"> </w:t>
      </w:r>
      <w:r w:rsidRPr="0094251B">
        <w:t xml:space="preserve">Nie ma poziomu powiatowego ani, tak jak w polskim systemie, </w:t>
      </w:r>
      <w:proofErr w:type="spellStart"/>
      <w:r w:rsidRPr="0094251B">
        <w:t>subregionalnego</w:t>
      </w:r>
      <w:proofErr w:type="spellEnd"/>
      <w:r w:rsidRPr="0094251B">
        <w:t>.</w:t>
      </w:r>
      <w:r>
        <w:t xml:space="preserve"> </w:t>
      </w:r>
      <w:r w:rsidRPr="0094251B">
        <w:t>Nie ma także dedykowanych przepisów dla obszarów metropolitalnych. Funkcjonują</w:t>
      </w:r>
      <w:r>
        <w:t xml:space="preserve"> </w:t>
      </w:r>
      <w:r w:rsidRPr="0094251B">
        <w:t>natomiast dobrowolne związki gminne podobne do polskich.</w:t>
      </w:r>
      <w:r>
        <w:t xml:space="preserve"> </w:t>
      </w:r>
      <w:r w:rsidRPr="0094251B">
        <w:t>Brneński Obszar Metropolitalny (BMA) wchodzi w skład kraju południow</w:t>
      </w:r>
      <w:r>
        <w:t>o-mo</w:t>
      </w:r>
      <w:r w:rsidRPr="0094251B">
        <w:t xml:space="preserve">rawskiego. Obszar ten został </w:t>
      </w:r>
      <w:proofErr w:type="spellStart"/>
      <w:r w:rsidRPr="0094251B">
        <w:t>zdelimitowany</w:t>
      </w:r>
      <w:proofErr w:type="spellEnd"/>
      <w:r w:rsidRPr="0094251B">
        <w:t xml:space="preserve"> na podstawie trzech kryteriów: codziennych dojazdów, dostępności czasowej do centrum oraz spójności przestrzennej</w:t>
      </w:r>
      <w:r>
        <w:t xml:space="preserve">. Przestrzenny układ relacji metropolitalnych w Brneńskim obszarze Metropolitalnym w dalszym ciągu wyznacza obecność silnego rdzenia metropolitalnego Brna, będącego ważnym ośrodkiem funkcji metropolitalnych. </w:t>
      </w:r>
    </w:p>
    <w:p w:rsidR="003F2B0C" w:rsidRPr="00623661" w:rsidRDefault="003F2B0C" w:rsidP="003F2B0C">
      <w:r w:rsidRPr="00623661">
        <w:lastRenderedPageBreak/>
        <w:t xml:space="preserve">Obszar metropolitalny Brna </w:t>
      </w:r>
      <w:r>
        <w:t xml:space="preserve">zamieszkuje </w:t>
      </w:r>
      <w:r w:rsidRPr="00623661">
        <w:t xml:space="preserve">729 405 </w:t>
      </w:r>
      <w:r>
        <w:t>osób, a jego o</w:t>
      </w:r>
      <w:r w:rsidRPr="00623661">
        <w:t>bszar metropolitalny jest trzecim pod względem liczby ludności obszarem miejskim w kraju.</w:t>
      </w:r>
      <w:r>
        <w:t xml:space="preserve"> Zajmuje obszar 1978 km2, a w jego skład wchodzą 184 gmin, które obejmują jedna czwartą gmin regionu </w:t>
      </w:r>
      <w:proofErr w:type="spellStart"/>
      <w:r>
        <w:t>południowomorawskiego</w:t>
      </w:r>
      <w:proofErr w:type="spellEnd"/>
      <w:r>
        <w:t>.</w:t>
      </w:r>
    </w:p>
    <w:p w:rsidR="003F2B0C" w:rsidRDefault="003F2B0C" w:rsidP="003F2B0C">
      <w:pPr>
        <w:rPr>
          <w:b/>
          <w:bCs/>
          <w:color w:val="FFC000"/>
        </w:rPr>
      </w:pPr>
      <w:r>
        <w:rPr>
          <w:b/>
          <w:bCs/>
          <w:color w:val="FFC000"/>
        </w:rPr>
        <w:t>Aglomeracja Drezna</w:t>
      </w:r>
    </w:p>
    <w:p w:rsidR="003F2B0C" w:rsidRPr="003D2BD6" w:rsidRDefault="003F2B0C" w:rsidP="003F2B0C">
      <w:r w:rsidRPr="0094251B">
        <w:t>Niemcy charakteryzują się czteroszczeblową strukturą administracyjną, na którą składają się: federacja, kraje związkowe, powiaty i miasta wyłączone z powiatów oraz lokalne jednostki administracyjne</w:t>
      </w:r>
      <w:r>
        <w:t xml:space="preserve"> jak gminy i związki gmin. </w:t>
      </w:r>
      <w:r w:rsidRPr="00504C41">
        <w:t>Na poziomie federalnym sporządzane są kierunkowe koncepcje rozwoju (</w:t>
      </w:r>
      <w:proofErr w:type="spellStart"/>
      <w:r w:rsidRPr="00504C41">
        <w:t>Leitbilder</w:t>
      </w:r>
      <w:proofErr w:type="spellEnd"/>
      <w:r w:rsidRPr="00504C41">
        <w:t>) oraz definiowane są ogólne zasady zagospodarowania przestrzennego. Do szczebla kraju związkowego należy sporządzenie planu rozwoju kraju związkowego. W obrębie kraju związkowego wyznaczonych jest kilka mniejszych regionów planistycznych i dla nich sporządza się plany posiadające szeroki zakres kompetencji i ustaleń.</w:t>
      </w:r>
      <w:r>
        <w:rPr>
          <w:rStyle w:val="Odwoanieprzypisudolnego"/>
        </w:rPr>
        <w:footnoteReference w:id="19"/>
      </w:r>
      <w:r>
        <w:t xml:space="preserve"> Aglomeracja Drezna leży w Saksonii składa się z kilku ważnych miast, w tym: Drezna (stolica Saksonii i największe miasto w regionie), </w:t>
      </w:r>
      <w:proofErr w:type="spellStart"/>
      <w:r w:rsidRPr="00166F7E">
        <w:t>Freital</w:t>
      </w:r>
      <w:proofErr w:type="spellEnd"/>
      <w:r w:rsidRPr="00166F7E">
        <w:t>,</w:t>
      </w:r>
      <w:r>
        <w:t xml:space="preserve"> </w:t>
      </w:r>
      <w:proofErr w:type="spellStart"/>
      <w:r w:rsidRPr="00166F7E">
        <w:t>Pirna</w:t>
      </w:r>
      <w:proofErr w:type="spellEnd"/>
      <w:r w:rsidRPr="00166F7E">
        <w:t>,</w:t>
      </w:r>
      <w:r>
        <w:t xml:space="preserve"> </w:t>
      </w:r>
      <w:proofErr w:type="spellStart"/>
      <w:r w:rsidRPr="00166F7E">
        <w:t>Radebeul</w:t>
      </w:r>
      <w:proofErr w:type="spellEnd"/>
      <w:r w:rsidRPr="00166F7E">
        <w:t>,</w:t>
      </w:r>
      <w:r>
        <w:t xml:space="preserve"> </w:t>
      </w:r>
      <w:proofErr w:type="spellStart"/>
      <w:r w:rsidRPr="00166F7E">
        <w:t>Meißen</w:t>
      </w:r>
      <w:proofErr w:type="spellEnd"/>
      <w:r w:rsidRPr="00166F7E">
        <w:t>,</w:t>
      </w:r>
      <w:r>
        <w:t xml:space="preserve"> </w:t>
      </w:r>
      <w:proofErr w:type="spellStart"/>
      <w:r w:rsidRPr="00166F7E">
        <w:t>Coswig</w:t>
      </w:r>
      <w:proofErr w:type="spellEnd"/>
      <w:r w:rsidRPr="00166F7E">
        <w:t>,</w:t>
      </w:r>
      <w:r>
        <w:t xml:space="preserve"> </w:t>
      </w:r>
      <w:proofErr w:type="spellStart"/>
      <w:r w:rsidRPr="00166F7E">
        <w:t>Radeberg</w:t>
      </w:r>
      <w:proofErr w:type="spellEnd"/>
      <w:r w:rsidRPr="00166F7E">
        <w:t>,</w:t>
      </w:r>
      <w:r>
        <w:t xml:space="preserve"> </w:t>
      </w:r>
      <w:proofErr w:type="spellStart"/>
      <w:r w:rsidRPr="00166F7E">
        <w:t>Heidenau</w:t>
      </w:r>
      <w:proofErr w:type="spellEnd"/>
      <w:r>
        <w:t xml:space="preserve"> </w:t>
      </w:r>
      <w:r w:rsidRPr="00166F7E">
        <w:t>oraz mniejsz</w:t>
      </w:r>
      <w:r>
        <w:t>ych</w:t>
      </w:r>
      <w:r w:rsidRPr="00166F7E">
        <w:t xml:space="preserve"> gmin jak </w:t>
      </w:r>
      <w:proofErr w:type="spellStart"/>
      <w:r w:rsidRPr="00166F7E">
        <w:t>Bannewitz</w:t>
      </w:r>
      <w:proofErr w:type="spellEnd"/>
      <w:r w:rsidRPr="00166F7E">
        <w:t xml:space="preserve">, </w:t>
      </w:r>
      <w:proofErr w:type="spellStart"/>
      <w:r w:rsidRPr="00166F7E">
        <w:t>Dohna</w:t>
      </w:r>
      <w:proofErr w:type="spellEnd"/>
      <w:r w:rsidRPr="00166F7E">
        <w:t xml:space="preserve">, </w:t>
      </w:r>
      <w:proofErr w:type="spellStart"/>
      <w:r w:rsidRPr="00166F7E">
        <w:t>Ottendorf-Okrilla</w:t>
      </w:r>
      <w:proofErr w:type="spellEnd"/>
      <w:r w:rsidRPr="00166F7E">
        <w:t xml:space="preserve"> i </w:t>
      </w:r>
      <w:proofErr w:type="spellStart"/>
      <w:r w:rsidRPr="00166F7E">
        <w:t>Weinböhla</w:t>
      </w:r>
      <w:proofErr w:type="spellEnd"/>
      <w:r w:rsidRPr="00166F7E">
        <w:t xml:space="preserve"> . </w:t>
      </w:r>
      <w:r>
        <w:t xml:space="preserve">Samo </w:t>
      </w:r>
      <w:r w:rsidRPr="00EB6A13">
        <w:t>Drezno jest podzielone na</w:t>
      </w:r>
      <w:r>
        <w:t xml:space="preserve"> </w:t>
      </w:r>
      <w:r w:rsidRPr="00EB6A13">
        <w:t>dziesięć dzielnic</w:t>
      </w:r>
      <w:r>
        <w:t xml:space="preserve"> </w:t>
      </w:r>
      <w:r w:rsidRPr="00EB6A13">
        <w:t>(</w:t>
      </w:r>
      <w:proofErr w:type="spellStart"/>
      <w:r w:rsidRPr="00EB6A13">
        <w:t>Ortsamtsbereich</w:t>
      </w:r>
      <w:proofErr w:type="spellEnd"/>
      <w:r w:rsidRPr="00EB6A13">
        <w:t xml:space="preserve">) </w:t>
      </w:r>
      <w:r>
        <w:t xml:space="preserve">: </w:t>
      </w:r>
      <w:proofErr w:type="spellStart"/>
      <w:r w:rsidRPr="00EB6A13">
        <w:t>Altstadt</w:t>
      </w:r>
      <w:proofErr w:type="spellEnd"/>
      <w:r>
        <w:t xml:space="preserve">, </w:t>
      </w:r>
      <w:proofErr w:type="spellStart"/>
      <w:r w:rsidRPr="00EB6A13">
        <w:t>Blasewitz</w:t>
      </w:r>
      <w:proofErr w:type="spellEnd"/>
      <w:r>
        <w:t xml:space="preserve">, </w:t>
      </w:r>
      <w:proofErr w:type="spellStart"/>
      <w:r w:rsidRPr="00EB6A13">
        <w:t>Cotta</w:t>
      </w:r>
      <w:proofErr w:type="spellEnd"/>
      <w:r>
        <w:t xml:space="preserve">, </w:t>
      </w:r>
      <w:proofErr w:type="spellStart"/>
      <w:r w:rsidRPr="00EB6A13">
        <w:t>Klotzsche</w:t>
      </w:r>
      <w:proofErr w:type="spellEnd"/>
      <w:r>
        <w:t xml:space="preserve">, </w:t>
      </w:r>
      <w:proofErr w:type="spellStart"/>
      <w:r w:rsidRPr="00EB6A13">
        <w:t>Leuben</w:t>
      </w:r>
      <w:proofErr w:type="spellEnd"/>
      <w:r>
        <w:t xml:space="preserve">, </w:t>
      </w:r>
      <w:proofErr w:type="spellStart"/>
      <w:r w:rsidRPr="00EB6A13">
        <w:t>Loschwitz</w:t>
      </w:r>
      <w:proofErr w:type="spellEnd"/>
      <w:r>
        <w:t xml:space="preserve">, </w:t>
      </w:r>
      <w:r w:rsidRPr="00EB6A13">
        <w:t>Neustadt</w:t>
      </w:r>
      <w:r>
        <w:t xml:space="preserve">, </w:t>
      </w:r>
      <w:proofErr w:type="spellStart"/>
      <w:r w:rsidRPr="00EB6A13">
        <w:t>Pieschen</w:t>
      </w:r>
      <w:proofErr w:type="spellEnd"/>
      <w:r>
        <w:t xml:space="preserve">, </w:t>
      </w:r>
      <w:r w:rsidRPr="00EB6A13">
        <w:t>Plauen</w:t>
      </w:r>
      <w:r>
        <w:t xml:space="preserve">, </w:t>
      </w:r>
      <w:proofErr w:type="spellStart"/>
      <w:r w:rsidRPr="00EB6A13">
        <w:t>Prohlis</w:t>
      </w:r>
      <w:proofErr w:type="spellEnd"/>
      <w:r>
        <w:t xml:space="preserve"> </w:t>
      </w:r>
    </w:p>
    <w:p w:rsidR="003F2B0C" w:rsidRDefault="003F2B0C" w:rsidP="003F2B0C">
      <w:pPr>
        <w:rPr>
          <w:b/>
          <w:bCs/>
        </w:rPr>
      </w:pPr>
      <w:r w:rsidRPr="00776BD6">
        <w:rPr>
          <w:b/>
          <w:bCs/>
        </w:rPr>
        <w:t>3.Potencjał demograficzny (ludność, migracje)</w:t>
      </w:r>
    </w:p>
    <w:p w:rsidR="003F2B0C" w:rsidRPr="0077432F" w:rsidRDefault="003F2B0C" w:rsidP="003F2B0C">
      <w:r w:rsidRPr="0077432F">
        <w:t>Pod względem liczby ludności, największym z analizowanych obszarów</w:t>
      </w:r>
      <w:r>
        <w:t xml:space="preserve"> w Polsce jest Metropolia Krakowska, której liczba ludności na koniec 2023 roku wynosiła 1 139 182 osoby. Metropolie Poznań zamieszkiwały w 2023 roku 1 103 842 osoby, a Wrocławski Obszar Funkcjonalny 1 070 725 osób i była to najniższa liczba ludności spośród polskich obszarów. </w:t>
      </w:r>
    </w:p>
    <w:p w:rsidR="003F2B0C" w:rsidRPr="006918EB" w:rsidRDefault="003F2B0C" w:rsidP="003F2B0C">
      <w:r>
        <w:t xml:space="preserve">Aglomerację </w:t>
      </w:r>
      <w:r w:rsidRPr="006918EB">
        <w:t>Drezn</w:t>
      </w:r>
      <w:r>
        <w:t xml:space="preserve">a zamieszkiwało na koniec 2023 roku </w:t>
      </w:r>
      <w:r w:rsidRPr="004850CD">
        <w:t>798</w:t>
      </w:r>
      <w:r>
        <w:t xml:space="preserve"> </w:t>
      </w:r>
      <w:r w:rsidRPr="004850CD">
        <w:t>321</w:t>
      </w:r>
      <w:r>
        <w:t xml:space="preserve">osób, a Brneński Obszar Metropolitalny </w:t>
      </w:r>
      <w:r w:rsidRPr="00690E9C">
        <w:t>729 405 osób</w:t>
      </w:r>
      <w:r>
        <w:t xml:space="preserve">, a więc najmniej spośród wszystkich porównywanych obszarów. </w:t>
      </w:r>
    </w:p>
    <w:p w:rsidR="003F2B0C" w:rsidRDefault="003F2B0C" w:rsidP="003F2B0C">
      <w:pPr>
        <w:pStyle w:val="Legenda"/>
      </w:pPr>
      <w:bookmarkStart w:id="70" w:name="_Toc196867099"/>
      <w:bookmarkStart w:id="71" w:name="_Toc197678833"/>
      <w:bookmarkStart w:id="72" w:name="_Hlk194688000"/>
      <w:r>
        <w:t xml:space="preserve">Wykres </w:t>
      </w:r>
      <w:fldSimple w:instr=" SEQ Wykres \* ARABIC ">
        <w:r w:rsidR="0084338D">
          <w:rPr>
            <w:noProof/>
          </w:rPr>
          <w:t>19</w:t>
        </w:r>
      </w:fldSimple>
      <w:r>
        <w:t>. Liczba ludności w polskich obszarach funkcjonalnych w latach 2018-2023</w:t>
      </w:r>
      <w:bookmarkEnd w:id="70"/>
      <w:bookmarkEnd w:id="71"/>
    </w:p>
    <w:p w:rsidR="003F2B0C" w:rsidRDefault="003F2B0C" w:rsidP="003F2B0C">
      <w:pPr>
        <w:rPr>
          <w:noProof/>
        </w:rPr>
      </w:pPr>
      <w:r>
        <w:rPr>
          <w:noProof/>
          <w:lang w:eastAsia="pl-PL"/>
        </w:rPr>
        <w:lastRenderedPageBreak/>
        <w:drawing>
          <wp:inline distT="0" distB="0" distL="0" distR="0">
            <wp:extent cx="5695950" cy="3004820"/>
            <wp:effectExtent l="0" t="0" r="0" b="0"/>
            <wp:docPr id="2058207007" name="Wykres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C9FCFA84-2FE1-D202-8412-B3696B473E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3F2B0C" w:rsidRDefault="003F2B0C" w:rsidP="003F2B0C">
      <w:r w:rsidRPr="002737CB">
        <w:rPr>
          <w:iCs/>
          <w:color w:val="363735" w:themeColor="accent3"/>
          <w:sz w:val="20"/>
          <w:szCs w:val="18"/>
        </w:rPr>
        <w:t>Źródło: opracowanie własne na podstawie danych GUS BDL, dostęp 3.02.2025</w:t>
      </w:r>
      <w:bookmarkEnd w:id="72"/>
    </w:p>
    <w:p w:rsidR="003F2B0C" w:rsidRDefault="003F2B0C" w:rsidP="003F2B0C">
      <w:r>
        <w:t xml:space="preserve">Mieszkańcy miast rdzeni stanowią przeważającą liczbę ludności obszarów funkcjonalnych. Liczba ludności Krakowa stanowi 71% ludności całego stowarzyszenia, ludność Wrocławia stanowi 63% ludności obszaru, a mieszkańcy Poznania stanowią 49% mieszkańców obszaru.  Mieszkańcy miasta </w:t>
      </w:r>
      <w:r w:rsidRPr="00EA46D4">
        <w:t>Brn</w:t>
      </w:r>
      <w:r>
        <w:t xml:space="preserve">a </w:t>
      </w:r>
      <w:r w:rsidRPr="00EA46D4">
        <w:t>stanowi</w:t>
      </w:r>
      <w:r>
        <w:t xml:space="preserve">ą </w:t>
      </w:r>
      <w:r w:rsidRPr="00EA46D4">
        <w:t>54,9%</w:t>
      </w:r>
      <w:r>
        <w:t xml:space="preserve"> ludności obszaru metropolitalnego, a mieszkańcy Drezna </w:t>
      </w:r>
      <w:r w:rsidRPr="004F0DEB">
        <w:t>70</w:t>
      </w:r>
      <w:r>
        <w:t>,</w:t>
      </w:r>
      <w:r w:rsidRPr="004F0DEB">
        <w:t>52</w:t>
      </w:r>
      <w:r>
        <w:t xml:space="preserve">% obszaru aglomeracji. </w:t>
      </w:r>
    </w:p>
    <w:p w:rsidR="003F2B0C" w:rsidRDefault="003F2B0C" w:rsidP="003F2B0C">
      <w:r>
        <w:t xml:space="preserve">Między rokiem 2018, a rokiem 2023 największy przyrost ludności odnotowano we Wrocławskim Obszarze Funkcjonalnym – zmiana o 8,60%, a najmniejszy przyrost w Metropolii Krakowskiej – przyrost o 7,05%. </w:t>
      </w:r>
    </w:p>
    <w:p w:rsidR="003F2B0C" w:rsidRPr="00676613" w:rsidRDefault="003F2B0C" w:rsidP="003F2B0C">
      <w:pPr>
        <w:pStyle w:val="Legenda"/>
        <w:rPr>
          <w:b/>
          <w:bCs/>
          <w:color w:val="FFC000"/>
          <w:szCs w:val="20"/>
        </w:rPr>
      </w:pPr>
      <w:bookmarkStart w:id="73" w:name="_Toc196867060"/>
      <w:bookmarkStart w:id="74" w:name="_Toc196905072"/>
      <w:r>
        <w:t xml:space="preserve">Tabela </w:t>
      </w:r>
      <w:fldSimple w:instr=" SEQ Tabela \* ARABIC ">
        <w:r w:rsidR="0084338D">
          <w:rPr>
            <w:noProof/>
          </w:rPr>
          <w:t>8</w:t>
        </w:r>
      </w:fldSimple>
      <w:r>
        <w:t>. Zmiana liczby ludności w latach 2018 i 2023.</w:t>
      </w:r>
      <w:bookmarkEnd w:id="73"/>
      <w:bookmarkEnd w:id="74"/>
    </w:p>
    <w:tbl>
      <w:tblPr>
        <w:tblpPr w:leftFromText="141" w:rightFromText="141" w:vertAnchor="text" w:tblpY="1"/>
        <w:tblOverlap w:val="never"/>
        <w:tblW w:w="8926" w:type="dxa"/>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CellMar>
          <w:left w:w="70" w:type="dxa"/>
          <w:right w:w="70" w:type="dxa"/>
        </w:tblCellMar>
        <w:tblLook w:val="04A0"/>
      </w:tblPr>
      <w:tblGrid>
        <w:gridCol w:w="3574"/>
        <w:gridCol w:w="1985"/>
        <w:gridCol w:w="1985"/>
        <w:gridCol w:w="1382"/>
      </w:tblGrid>
      <w:tr w:rsidR="003F2B0C" w:rsidRPr="00D6785E" w:rsidTr="0084338D">
        <w:trPr>
          <w:trHeight w:val="340"/>
        </w:trPr>
        <w:tc>
          <w:tcPr>
            <w:tcW w:w="3574" w:type="dxa"/>
            <w:shd w:val="clear" w:color="auto" w:fill="FFC000"/>
            <w:noWrap/>
            <w:vAlign w:val="center"/>
            <w:hideMark/>
          </w:tcPr>
          <w:p w:rsidR="003F2B0C" w:rsidRPr="00AB5C6C" w:rsidRDefault="003F2B0C" w:rsidP="0084338D">
            <w:pPr>
              <w:spacing w:after="0" w:line="240" w:lineRule="auto"/>
              <w:jc w:val="center"/>
              <w:rPr>
                <w:b/>
                <w:bCs/>
                <w:sz w:val="18"/>
                <w:szCs w:val="18"/>
              </w:rPr>
            </w:pPr>
          </w:p>
        </w:tc>
        <w:tc>
          <w:tcPr>
            <w:tcW w:w="1985" w:type="dxa"/>
            <w:shd w:val="clear" w:color="auto" w:fill="FFC000"/>
            <w:noWrap/>
            <w:vAlign w:val="center"/>
            <w:hideMark/>
          </w:tcPr>
          <w:p w:rsidR="003F2B0C" w:rsidRPr="00AB5C6C" w:rsidRDefault="003F2B0C" w:rsidP="0084338D">
            <w:pPr>
              <w:spacing w:after="0" w:line="240" w:lineRule="auto"/>
              <w:jc w:val="center"/>
              <w:rPr>
                <w:b/>
                <w:bCs/>
                <w:sz w:val="18"/>
                <w:szCs w:val="18"/>
              </w:rPr>
            </w:pPr>
            <w:r w:rsidRPr="00AB5C6C">
              <w:rPr>
                <w:b/>
                <w:bCs/>
                <w:sz w:val="18"/>
                <w:szCs w:val="18"/>
              </w:rPr>
              <w:t>2018</w:t>
            </w:r>
          </w:p>
        </w:tc>
        <w:tc>
          <w:tcPr>
            <w:tcW w:w="1985" w:type="dxa"/>
            <w:shd w:val="clear" w:color="auto" w:fill="FFC000"/>
            <w:noWrap/>
            <w:vAlign w:val="center"/>
            <w:hideMark/>
          </w:tcPr>
          <w:p w:rsidR="003F2B0C" w:rsidRPr="00AB5C6C" w:rsidRDefault="003F2B0C" w:rsidP="0084338D">
            <w:pPr>
              <w:spacing w:after="0" w:line="240" w:lineRule="auto"/>
              <w:jc w:val="center"/>
              <w:rPr>
                <w:b/>
                <w:bCs/>
                <w:sz w:val="18"/>
                <w:szCs w:val="18"/>
              </w:rPr>
            </w:pPr>
            <w:r w:rsidRPr="00AB5C6C">
              <w:rPr>
                <w:b/>
                <w:bCs/>
                <w:sz w:val="18"/>
                <w:szCs w:val="18"/>
              </w:rPr>
              <w:t>2023</w:t>
            </w:r>
          </w:p>
        </w:tc>
        <w:tc>
          <w:tcPr>
            <w:tcW w:w="1382" w:type="dxa"/>
            <w:shd w:val="clear" w:color="auto" w:fill="FFC000"/>
            <w:noWrap/>
            <w:vAlign w:val="center"/>
            <w:hideMark/>
          </w:tcPr>
          <w:p w:rsidR="003F2B0C" w:rsidRPr="00D6785E" w:rsidRDefault="003F2B0C" w:rsidP="0084338D">
            <w:pPr>
              <w:spacing w:after="0" w:line="240" w:lineRule="auto"/>
              <w:jc w:val="center"/>
              <w:rPr>
                <w:b/>
                <w:bCs/>
                <w:sz w:val="18"/>
                <w:szCs w:val="18"/>
              </w:rPr>
            </w:pPr>
            <w:r w:rsidRPr="00AB5C6C">
              <w:rPr>
                <w:b/>
                <w:bCs/>
                <w:sz w:val="18"/>
                <w:szCs w:val="18"/>
              </w:rPr>
              <w:t>dynamika</w:t>
            </w:r>
          </w:p>
          <w:p w:rsidR="003F2B0C" w:rsidRPr="00AB5C6C" w:rsidRDefault="003F2B0C" w:rsidP="0084338D">
            <w:pPr>
              <w:spacing w:after="0" w:line="240" w:lineRule="auto"/>
              <w:jc w:val="center"/>
              <w:rPr>
                <w:b/>
                <w:bCs/>
                <w:sz w:val="18"/>
                <w:szCs w:val="18"/>
              </w:rPr>
            </w:pPr>
            <w:r w:rsidRPr="00AB5C6C">
              <w:rPr>
                <w:b/>
                <w:bCs/>
                <w:sz w:val="18"/>
                <w:szCs w:val="18"/>
              </w:rPr>
              <w:t>2018-2023</w:t>
            </w:r>
          </w:p>
        </w:tc>
      </w:tr>
      <w:tr w:rsidR="003F2B0C" w:rsidRPr="00D6785E" w:rsidTr="0084338D">
        <w:trPr>
          <w:trHeight w:val="340"/>
        </w:trPr>
        <w:tc>
          <w:tcPr>
            <w:tcW w:w="3574" w:type="dxa"/>
            <w:shd w:val="clear" w:color="auto" w:fill="auto"/>
            <w:vAlign w:val="center"/>
            <w:hideMark/>
          </w:tcPr>
          <w:p w:rsidR="003F2B0C" w:rsidRPr="00AB5C6C" w:rsidRDefault="003F2B0C" w:rsidP="0084338D">
            <w:pPr>
              <w:spacing w:after="0" w:line="240" w:lineRule="auto"/>
              <w:jc w:val="left"/>
              <w:rPr>
                <w:sz w:val="18"/>
                <w:szCs w:val="18"/>
              </w:rPr>
            </w:pPr>
            <w:r w:rsidRPr="00AB5C6C">
              <w:rPr>
                <w:sz w:val="18"/>
                <w:szCs w:val="18"/>
              </w:rPr>
              <w:t>Wrocławski obszar funkcjonalny</w:t>
            </w:r>
          </w:p>
        </w:tc>
        <w:tc>
          <w:tcPr>
            <w:tcW w:w="1985" w:type="dxa"/>
            <w:shd w:val="clear" w:color="auto" w:fill="auto"/>
            <w:noWrap/>
            <w:vAlign w:val="center"/>
            <w:hideMark/>
          </w:tcPr>
          <w:p w:rsidR="003F2B0C" w:rsidRPr="00AB5C6C" w:rsidRDefault="003F2B0C" w:rsidP="0084338D">
            <w:pPr>
              <w:spacing w:after="0" w:line="240" w:lineRule="auto"/>
              <w:jc w:val="center"/>
              <w:rPr>
                <w:sz w:val="18"/>
                <w:szCs w:val="18"/>
              </w:rPr>
            </w:pPr>
            <w:r w:rsidRPr="00AB5C6C">
              <w:rPr>
                <w:sz w:val="18"/>
                <w:szCs w:val="18"/>
              </w:rPr>
              <w:t>985 630</w:t>
            </w:r>
          </w:p>
        </w:tc>
        <w:tc>
          <w:tcPr>
            <w:tcW w:w="1985" w:type="dxa"/>
            <w:shd w:val="clear" w:color="auto" w:fill="auto"/>
            <w:noWrap/>
            <w:vAlign w:val="center"/>
            <w:hideMark/>
          </w:tcPr>
          <w:p w:rsidR="003F2B0C" w:rsidRPr="00AB5C6C" w:rsidRDefault="003F2B0C" w:rsidP="0084338D">
            <w:pPr>
              <w:spacing w:after="0" w:line="240" w:lineRule="auto"/>
              <w:jc w:val="center"/>
              <w:rPr>
                <w:sz w:val="18"/>
                <w:szCs w:val="18"/>
              </w:rPr>
            </w:pPr>
            <w:r w:rsidRPr="00AB5C6C">
              <w:rPr>
                <w:sz w:val="18"/>
                <w:szCs w:val="18"/>
              </w:rPr>
              <w:t>1 070 725</w:t>
            </w:r>
          </w:p>
        </w:tc>
        <w:tc>
          <w:tcPr>
            <w:tcW w:w="1382" w:type="dxa"/>
            <w:shd w:val="clear" w:color="auto" w:fill="auto"/>
            <w:noWrap/>
            <w:vAlign w:val="center"/>
            <w:hideMark/>
          </w:tcPr>
          <w:p w:rsidR="003F2B0C" w:rsidRPr="00AB5C6C" w:rsidRDefault="003F2B0C" w:rsidP="0084338D">
            <w:pPr>
              <w:spacing w:after="0" w:line="240" w:lineRule="auto"/>
              <w:jc w:val="center"/>
              <w:rPr>
                <w:sz w:val="18"/>
                <w:szCs w:val="18"/>
              </w:rPr>
            </w:pPr>
            <w:r w:rsidRPr="00D6785E">
              <w:rPr>
                <w:sz w:val="18"/>
                <w:szCs w:val="18"/>
              </w:rPr>
              <w:t>+</w:t>
            </w:r>
            <w:r w:rsidRPr="00AB5C6C">
              <w:rPr>
                <w:sz w:val="18"/>
                <w:szCs w:val="18"/>
              </w:rPr>
              <w:t>8,60%</w:t>
            </w:r>
          </w:p>
        </w:tc>
      </w:tr>
      <w:tr w:rsidR="003F2B0C" w:rsidRPr="00D6785E" w:rsidTr="0084338D">
        <w:trPr>
          <w:trHeight w:val="340"/>
        </w:trPr>
        <w:tc>
          <w:tcPr>
            <w:tcW w:w="3574" w:type="dxa"/>
            <w:shd w:val="clear" w:color="auto" w:fill="auto"/>
            <w:vAlign w:val="center"/>
            <w:hideMark/>
          </w:tcPr>
          <w:p w:rsidR="003F2B0C" w:rsidRPr="00AB5C6C" w:rsidRDefault="003F2B0C" w:rsidP="0084338D">
            <w:pPr>
              <w:spacing w:after="0" w:line="240" w:lineRule="auto"/>
              <w:jc w:val="left"/>
              <w:rPr>
                <w:sz w:val="18"/>
                <w:szCs w:val="18"/>
              </w:rPr>
            </w:pPr>
            <w:r w:rsidRPr="00AB5C6C">
              <w:rPr>
                <w:sz w:val="18"/>
                <w:szCs w:val="18"/>
              </w:rPr>
              <w:t>Metropolia Krakowska</w:t>
            </w:r>
          </w:p>
        </w:tc>
        <w:tc>
          <w:tcPr>
            <w:tcW w:w="1985" w:type="dxa"/>
            <w:shd w:val="clear" w:color="auto" w:fill="auto"/>
            <w:noWrap/>
            <w:vAlign w:val="center"/>
            <w:hideMark/>
          </w:tcPr>
          <w:p w:rsidR="003F2B0C" w:rsidRPr="00AB5C6C" w:rsidRDefault="003F2B0C" w:rsidP="0084338D">
            <w:pPr>
              <w:spacing w:after="0" w:line="240" w:lineRule="auto"/>
              <w:jc w:val="center"/>
              <w:rPr>
                <w:sz w:val="18"/>
                <w:szCs w:val="18"/>
              </w:rPr>
            </w:pPr>
            <w:r w:rsidRPr="00AB5C6C">
              <w:rPr>
                <w:sz w:val="18"/>
                <w:szCs w:val="18"/>
              </w:rPr>
              <w:t>1 064 082</w:t>
            </w:r>
          </w:p>
        </w:tc>
        <w:tc>
          <w:tcPr>
            <w:tcW w:w="1985" w:type="dxa"/>
            <w:shd w:val="clear" w:color="auto" w:fill="auto"/>
            <w:noWrap/>
            <w:vAlign w:val="center"/>
            <w:hideMark/>
          </w:tcPr>
          <w:p w:rsidR="003F2B0C" w:rsidRPr="00AB5C6C" w:rsidRDefault="003F2B0C" w:rsidP="0084338D">
            <w:pPr>
              <w:spacing w:after="0" w:line="240" w:lineRule="auto"/>
              <w:jc w:val="center"/>
              <w:rPr>
                <w:sz w:val="18"/>
                <w:szCs w:val="18"/>
              </w:rPr>
            </w:pPr>
            <w:r w:rsidRPr="00AB5C6C">
              <w:rPr>
                <w:sz w:val="18"/>
                <w:szCs w:val="18"/>
              </w:rPr>
              <w:t>1 139 182</w:t>
            </w:r>
          </w:p>
        </w:tc>
        <w:tc>
          <w:tcPr>
            <w:tcW w:w="1382" w:type="dxa"/>
            <w:shd w:val="clear" w:color="auto" w:fill="auto"/>
            <w:noWrap/>
            <w:vAlign w:val="center"/>
            <w:hideMark/>
          </w:tcPr>
          <w:p w:rsidR="003F2B0C" w:rsidRPr="00AB5C6C" w:rsidRDefault="003F2B0C" w:rsidP="0084338D">
            <w:pPr>
              <w:spacing w:after="0" w:line="240" w:lineRule="auto"/>
              <w:jc w:val="center"/>
              <w:rPr>
                <w:sz w:val="18"/>
                <w:szCs w:val="18"/>
              </w:rPr>
            </w:pPr>
            <w:r w:rsidRPr="00D6785E">
              <w:rPr>
                <w:sz w:val="18"/>
                <w:szCs w:val="18"/>
              </w:rPr>
              <w:t>+</w:t>
            </w:r>
            <w:r w:rsidRPr="00AB5C6C">
              <w:rPr>
                <w:sz w:val="18"/>
                <w:szCs w:val="18"/>
              </w:rPr>
              <w:t>7,05%</w:t>
            </w:r>
          </w:p>
        </w:tc>
      </w:tr>
      <w:tr w:rsidR="003F2B0C" w:rsidRPr="00D6785E" w:rsidTr="0084338D">
        <w:trPr>
          <w:trHeight w:val="340"/>
        </w:trPr>
        <w:tc>
          <w:tcPr>
            <w:tcW w:w="3574" w:type="dxa"/>
            <w:shd w:val="clear" w:color="auto" w:fill="auto"/>
            <w:vAlign w:val="center"/>
            <w:hideMark/>
          </w:tcPr>
          <w:p w:rsidR="003F2B0C" w:rsidRPr="00AB5C6C" w:rsidRDefault="003F2B0C" w:rsidP="0084338D">
            <w:pPr>
              <w:spacing w:after="0" w:line="240" w:lineRule="auto"/>
              <w:jc w:val="left"/>
              <w:rPr>
                <w:sz w:val="18"/>
                <w:szCs w:val="18"/>
              </w:rPr>
            </w:pPr>
            <w:r w:rsidRPr="00AB5C6C">
              <w:rPr>
                <w:sz w:val="18"/>
                <w:szCs w:val="18"/>
              </w:rPr>
              <w:t>Metropolia Poznań</w:t>
            </w:r>
          </w:p>
        </w:tc>
        <w:tc>
          <w:tcPr>
            <w:tcW w:w="1985" w:type="dxa"/>
            <w:shd w:val="clear" w:color="auto" w:fill="auto"/>
            <w:noWrap/>
            <w:vAlign w:val="center"/>
            <w:hideMark/>
          </w:tcPr>
          <w:p w:rsidR="003F2B0C" w:rsidRPr="00AB5C6C" w:rsidRDefault="003F2B0C" w:rsidP="0084338D">
            <w:pPr>
              <w:spacing w:after="0" w:line="240" w:lineRule="auto"/>
              <w:jc w:val="center"/>
              <w:rPr>
                <w:sz w:val="18"/>
                <w:szCs w:val="18"/>
              </w:rPr>
            </w:pPr>
            <w:r w:rsidRPr="00AB5C6C">
              <w:rPr>
                <w:sz w:val="18"/>
                <w:szCs w:val="18"/>
              </w:rPr>
              <w:t>1 432 967</w:t>
            </w:r>
          </w:p>
        </w:tc>
        <w:tc>
          <w:tcPr>
            <w:tcW w:w="1985" w:type="dxa"/>
            <w:shd w:val="clear" w:color="auto" w:fill="auto"/>
            <w:noWrap/>
            <w:vAlign w:val="center"/>
            <w:hideMark/>
          </w:tcPr>
          <w:p w:rsidR="003F2B0C" w:rsidRPr="00AB5C6C" w:rsidRDefault="003F2B0C" w:rsidP="0084338D">
            <w:pPr>
              <w:spacing w:after="0" w:line="240" w:lineRule="auto"/>
              <w:jc w:val="center"/>
              <w:rPr>
                <w:sz w:val="18"/>
                <w:szCs w:val="18"/>
              </w:rPr>
            </w:pPr>
            <w:r w:rsidRPr="00AB5C6C">
              <w:rPr>
                <w:sz w:val="18"/>
                <w:szCs w:val="18"/>
              </w:rPr>
              <w:t>1 552 505</w:t>
            </w:r>
          </w:p>
        </w:tc>
        <w:tc>
          <w:tcPr>
            <w:tcW w:w="1382" w:type="dxa"/>
            <w:shd w:val="clear" w:color="auto" w:fill="auto"/>
            <w:noWrap/>
            <w:vAlign w:val="center"/>
            <w:hideMark/>
          </w:tcPr>
          <w:p w:rsidR="003F2B0C" w:rsidRPr="00AB5C6C" w:rsidRDefault="003F2B0C" w:rsidP="0084338D">
            <w:pPr>
              <w:spacing w:after="0" w:line="240" w:lineRule="auto"/>
              <w:jc w:val="center"/>
              <w:rPr>
                <w:sz w:val="18"/>
                <w:szCs w:val="18"/>
              </w:rPr>
            </w:pPr>
            <w:r w:rsidRPr="00D6785E">
              <w:rPr>
                <w:sz w:val="18"/>
                <w:szCs w:val="18"/>
              </w:rPr>
              <w:t>+</w:t>
            </w:r>
            <w:r w:rsidRPr="00AB5C6C">
              <w:rPr>
                <w:sz w:val="18"/>
                <w:szCs w:val="18"/>
              </w:rPr>
              <w:t>8,34%</w:t>
            </w:r>
          </w:p>
        </w:tc>
      </w:tr>
    </w:tbl>
    <w:p w:rsidR="003F2B0C" w:rsidRPr="002737CB" w:rsidRDefault="003F2B0C" w:rsidP="003F2B0C">
      <w:pPr>
        <w:spacing w:line="276" w:lineRule="auto"/>
        <w:rPr>
          <w:iCs/>
          <w:color w:val="363735" w:themeColor="accent3"/>
          <w:sz w:val="20"/>
          <w:szCs w:val="18"/>
        </w:rPr>
      </w:pPr>
      <w:r w:rsidRPr="002737CB">
        <w:rPr>
          <w:iCs/>
          <w:color w:val="363735" w:themeColor="accent3"/>
          <w:sz w:val="20"/>
          <w:szCs w:val="18"/>
        </w:rPr>
        <w:t>Źródło: opracowanie własne na podstawie danych GUS BDL,</w:t>
      </w:r>
      <w:r>
        <w:rPr>
          <w:iCs/>
          <w:color w:val="363735" w:themeColor="accent3"/>
          <w:sz w:val="20"/>
          <w:szCs w:val="18"/>
        </w:rPr>
        <w:t xml:space="preserve"> dostęp</w:t>
      </w:r>
      <w:r w:rsidRPr="002737CB">
        <w:rPr>
          <w:iCs/>
          <w:color w:val="363735" w:themeColor="accent3"/>
          <w:sz w:val="20"/>
          <w:szCs w:val="18"/>
        </w:rPr>
        <w:t xml:space="preserve"> 1.02.2025</w:t>
      </w:r>
    </w:p>
    <w:p w:rsidR="003F2B0C" w:rsidRDefault="003F2B0C" w:rsidP="003F2B0C">
      <w:r>
        <w:t xml:space="preserve">Zdecydowanie największa gęstość zaludnienia występowała na obszarze aglomeracji Drezna, która w 2023 roku wyniosła </w:t>
      </w:r>
      <w:r w:rsidRPr="00713E69">
        <w:t>1238</w:t>
      </w:r>
      <w:r w:rsidRPr="00D125EB">
        <w:t xml:space="preserve"> osób na </w:t>
      </w:r>
      <w:proofErr w:type="spellStart"/>
      <w:r w:rsidRPr="00D02FEC">
        <w:t>km</w:t>
      </w:r>
      <w:r>
        <w:t>²</w:t>
      </w:r>
      <w:proofErr w:type="spellEnd"/>
      <w:r>
        <w:t>. Spośród polskich Obszarów Funkcjonalnych największa gęstość zaludnienia występowała w 2023 roku na obszarze Metropolii Krakowskiej – 892 os/</w:t>
      </w:r>
      <w:r w:rsidRPr="00D02FEC">
        <w:t>1km</w:t>
      </w:r>
      <w:r>
        <w:t>², najniższa na obszarze Metropolii Poznań – 357 os/</w:t>
      </w:r>
      <w:r w:rsidRPr="00D02FEC">
        <w:t>1km</w:t>
      </w:r>
      <w:r>
        <w:t>².</w:t>
      </w:r>
    </w:p>
    <w:p w:rsidR="003F2B0C" w:rsidRDefault="003F2B0C" w:rsidP="003F2B0C">
      <w:pPr>
        <w:pStyle w:val="Legenda"/>
        <w:rPr>
          <w:b/>
          <w:bCs/>
          <w:color w:val="FFC000"/>
        </w:rPr>
      </w:pPr>
      <w:bookmarkStart w:id="75" w:name="_Toc196867061"/>
      <w:bookmarkStart w:id="76" w:name="_Toc196905073"/>
      <w:r>
        <w:t xml:space="preserve">Tabela </w:t>
      </w:r>
      <w:fldSimple w:instr=" SEQ Tabela \* ARABIC ">
        <w:r w:rsidR="0084338D">
          <w:rPr>
            <w:noProof/>
          </w:rPr>
          <w:t>9</w:t>
        </w:r>
      </w:fldSimple>
      <w:r>
        <w:t>. Gęstość zaludnienia w latach 2018-2023, os/</w:t>
      </w:r>
      <w:r w:rsidRPr="00D02FEC">
        <w:rPr>
          <w:color w:val="auto"/>
        </w:rPr>
        <w:t>1km</w:t>
      </w:r>
      <w:r>
        <w:t>²</w:t>
      </w:r>
      <w:bookmarkEnd w:id="75"/>
      <w:bookmarkEnd w:id="76"/>
    </w:p>
    <w:tbl>
      <w:tblPr>
        <w:tblW w:w="8926" w:type="dxa"/>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CellMar>
          <w:left w:w="70" w:type="dxa"/>
          <w:right w:w="70" w:type="dxa"/>
        </w:tblCellMar>
        <w:tblLook w:val="04A0"/>
      </w:tblPr>
      <w:tblGrid>
        <w:gridCol w:w="3340"/>
        <w:gridCol w:w="960"/>
        <w:gridCol w:w="960"/>
        <w:gridCol w:w="960"/>
        <w:gridCol w:w="960"/>
        <w:gridCol w:w="960"/>
        <w:gridCol w:w="786"/>
      </w:tblGrid>
      <w:tr w:rsidR="003F2B0C" w:rsidRPr="00D6785E" w:rsidTr="0084338D">
        <w:trPr>
          <w:trHeight w:val="300"/>
        </w:trPr>
        <w:tc>
          <w:tcPr>
            <w:tcW w:w="3340" w:type="dxa"/>
            <w:shd w:val="clear" w:color="auto" w:fill="FFC000"/>
            <w:noWrap/>
            <w:vAlign w:val="bottom"/>
            <w:hideMark/>
          </w:tcPr>
          <w:p w:rsidR="003F2B0C" w:rsidRPr="004723E9" w:rsidRDefault="003F2B0C" w:rsidP="0084338D">
            <w:pPr>
              <w:spacing w:after="0" w:line="240" w:lineRule="auto"/>
              <w:jc w:val="center"/>
              <w:rPr>
                <w:rFonts w:eastAsia="Times New Roman" w:cs="Times New Roman"/>
                <w:b/>
                <w:bCs/>
                <w:kern w:val="0"/>
                <w:sz w:val="18"/>
                <w:szCs w:val="18"/>
                <w:lang w:eastAsia="pl-PL"/>
              </w:rPr>
            </w:pPr>
          </w:p>
        </w:tc>
        <w:tc>
          <w:tcPr>
            <w:tcW w:w="960" w:type="dxa"/>
            <w:shd w:val="clear" w:color="auto" w:fill="FFC000"/>
            <w:vAlign w:val="center"/>
            <w:hideMark/>
          </w:tcPr>
          <w:p w:rsidR="003F2B0C" w:rsidRPr="004723E9" w:rsidRDefault="003F2B0C" w:rsidP="0084338D">
            <w:pPr>
              <w:spacing w:after="0" w:line="240" w:lineRule="auto"/>
              <w:jc w:val="center"/>
              <w:rPr>
                <w:rFonts w:eastAsia="Times New Roman" w:cs="Calibri"/>
                <w:b/>
                <w:bCs/>
                <w:color w:val="000000"/>
                <w:kern w:val="0"/>
                <w:sz w:val="18"/>
                <w:szCs w:val="18"/>
                <w:lang w:eastAsia="pl-PL"/>
              </w:rPr>
            </w:pPr>
            <w:r w:rsidRPr="004723E9">
              <w:rPr>
                <w:rFonts w:eastAsia="Times New Roman" w:cs="Calibri"/>
                <w:b/>
                <w:bCs/>
                <w:color w:val="000000"/>
                <w:kern w:val="0"/>
                <w:sz w:val="18"/>
                <w:szCs w:val="18"/>
                <w:lang w:eastAsia="pl-PL"/>
              </w:rPr>
              <w:t>2018</w:t>
            </w:r>
          </w:p>
        </w:tc>
        <w:tc>
          <w:tcPr>
            <w:tcW w:w="960" w:type="dxa"/>
            <w:shd w:val="clear" w:color="auto" w:fill="FFC000"/>
            <w:vAlign w:val="center"/>
            <w:hideMark/>
          </w:tcPr>
          <w:p w:rsidR="003F2B0C" w:rsidRPr="004723E9" w:rsidRDefault="003F2B0C" w:rsidP="0084338D">
            <w:pPr>
              <w:spacing w:after="0" w:line="240" w:lineRule="auto"/>
              <w:jc w:val="center"/>
              <w:rPr>
                <w:rFonts w:eastAsia="Times New Roman" w:cs="Calibri"/>
                <w:b/>
                <w:bCs/>
                <w:color w:val="000000"/>
                <w:kern w:val="0"/>
                <w:sz w:val="18"/>
                <w:szCs w:val="18"/>
                <w:lang w:eastAsia="pl-PL"/>
              </w:rPr>
            </w:pPr>
            <w:r w:rsidRPr="004723E9">
              <w:rPr>
                <w:rFonts w:eastAsia="Times New Roman" w:cs="Calibri"/>
                <w:b/>
                <w:bCs/>
                <w:color w:val="000000"/>
                <w:kern w:val="0"/>
                <w:sz w:val="18"/>
                <w:szCs w:val="18"/>
                <w:lang w:eastAsia="pl-PL"/>
              </w:rPr>
              <w:t>2019</w:t>
            </w:r>
          </w:p>
        </w:tc>
        <w:tc>
          <w:tcPr>
            <w:tcW w:w="960" w:type="dxa"/>
            <w:shd w:val="clear" w:color="auto" w:fill="FFC000"/>
            <w:vAlign w:val="center"/>
            <w:hideMark/>
          </w:tcPr>
          <w:p w:rsidR="003F2B0C" w:rsidRPr="004723E9" w:rsidRDefault="003F2B0C" w:rsidP="0084338D">
            <w:pPr>
              <w:spacing w:after="0" w:line="240" w:lineRule="auto"/>
              <w:jc w:val="center"/>
              <w:rPr>
                <w:rFonts w:eastAsia="Times New Roman" w:cs="Calibri"/>
                <w:b/>
                <w:bCs/>
                <w:color w:val="000000"/>
                <w:kern w:val="0"/>
                <w:sz w:val="18"/>
                <w:szCs w:val="18"/>
                <w:lang w:eastAsia="pl-PL"/>
              </w:rPr>
            </w:pPr>
            <w:r w:rsidRPr="004723E9">
              <w:rPr>
                <w:rFonts w:eastAsia="Times New Roman" w:cs="Calibri"/>
                <w:b/>
                <w:bCs/>
                <w:color w:val="000000"/>
                <w:kern w:val="0"/>
                <w:sz w:val="18"/>
                <w:szCs w:val="18"/>
                <w:lang w:eastAsia="pl-PL"/>
              </w:rPr>
              <w:t>2020</w:t>
            </w:r>
          </w:p>
        </w:tc>
        <w:tc>
          <w:tcPr>
            <w:tcW w:w="960" w:type="dxa"/>
            <w:shd w:val="clear" w:color="auto" w:fill="FFC000"/>
            <w:vAlign w:val="center"/>
            <w:hideMark/>
          </w:tcPr>
          <w:p w:rsidR="003F2B0C" w:rsidRPr="004723E9" w:rsidRDefault="003F2B0C" w:rsidP="0084338D">
            <w:pPr>
              <w:spacing w:after="0" w:line="240" w:lineRule="auto"/>
              <w:jc w:val="center"/>
              <w:rPr>
                <w:rFonts w:eastAsia="Times New Roman" w:cs="Calibri"/>
                <w:b/>
                <w:bCs/>
                <w:color w:val="000000"/>
                <w:kern w:val="0"/>
                <w:sz w:val="18"/>
                <w:szCs w:val="18"/>
                <w:lang w:eastAsia="pl-PL"/>
              </w:rPr>
            </w:pPr>
            <w:r w:rsidRPr="004723E9">
              <w:rPr>
                <w:rFonts w:eastAsia="Times New Roman" w:cs="Calibri"/>
                <w:b/>
                <w:bCs/>
                <w:color w:val="000000"/>
                <w:kern w:val="0"/>
                <w:sz w:val="18"/>
                <w:szCs w:val="18"/>
                <w:lang w:eastAsia="pl-PL"/>
              </w:rPr>
              <w:t>2021</w:t>
            </w:r>
          </w:p>
        </w:tc>
        <w:tc>
          <w:tcPr>
            <w:tcW w:w="960" w:type="dxa"/>
            <w:shd w:val="clear" w:color="auto" w:fill="FFC000"/>
            <w:vAlign w:val="center"/>
            <w:hideMark/>
          </w:tcPr>
          <w:p w:rsidR="003F2B0C" w:rsidRPr="004723E9" w:rsidRDefault="003F2B0C" w:rsidP="0084338D">
            <w:pPr>
              <w:spacing w:after="0" w:line="240" w:lineRule="auto"/>
              <w:jc w:val="center"/>
              <w:rPr>
                <w:rFonts w:eastAsia="Times New Roman" w:cs="Calibri"/>
                <w:b/>
                <w:bCs/>
                <w:color w:val="000000"/>
                <w:kern w:val="0"/>
                <w:sz w:val="18"/>
                <w:szCs w:val="18"/>
                <w:lang w:eastAsia="pl-PL"/>
              </w:rPr>
            </w:pPr>
            <w:r w:rsidRPr="004723E9">
              <w:rPr>
                <w:rFonts w:eastAsia="Times New Roman" w:cs="Calibri"/>
                <w:b/>
                <w:bCs/>
                <w:color w:val="000000"/>
                <w:kern w:val="0"/>
                <w:sz w:val="18"/>
                <w:szCs w:val="18"/>
                <w:lang w:eastAsia="pl-PL"/>
              </w:rPr>
              <w:t>2022</w:t>
            </w:r>
          </w:p>
        </w:tc>
        <w:tc>
          <w:tcPr>
            <w:tcW w:w="786" w:type="dxa"/>
            <w:shd w:val="clear" w:color="auto" w:fill="FFC000"/>
            <w:vAlign w:val="center"/>
            <w:hideMark/>
          </w:tcPr>
          <w:p w:rsidR="003F2B0C" w:rsidRPr="004723E9" w:rsidRDefault="003F2B0C" w:rsidP="0084338D">
            <w:pPr>
              <w:spacing w:after="0" w:line="240" w:lineRule="auto"/>
              <w:jc w:val="center"/>
              <w:rPr>
                <w:rFonts w:eastAsia="Times New Roman" w:cs="Calibri"/>
                <w:b/>
                <w:bCs/>
                <w:color w:val="000000"/>
                <w:kern w:val="0"/>
                <w:sz w:val="18"/>
                <w:szCs w:val="18"/>
                <w:lang w:eastAsia="pl-PL"/>
              </w:rPr>
            </w:pPr>
            <w:r w:rsidRPr="004723E9">
              <w:rPr>
                <w:rFonts w:eastAsia="Times New Roman" w:cs="Calibri"/>
                <w:b/>
                <w:bCs/>
                <w:color w:val="000000"/>
                <w:kern w:val="0"/>
                <w:sz w:val="18"/>
                <w:szCs w:val="18"/>
                <w:lang w:eastAsia="pl-PL"/>
              </w:rPr>
              <w:t>2023</w:t>
            </w:r>
          </w:p>
        </w:tc>
      </w:tr>
      <w:tr w:rsidR="003F2B0C" w:rsidRPr="004723E9" w:rsidTr="0084338D">
        <w:trPr>
          <w:trHeight w:val="300"/>
        </w:trPr>
        <w:tc>
          <w:tcPr>
            <w:tcW w:w="3340" w:type="dxa"/>
            <w:shd w:val="clear" w:color="auto" w:fill="auto"/>
            <w:vAlign w:val="center"/>
            <w:hideMark/>
          </w:tcPr>
          <w:p w:rsidR="003F2B0C" w:rsidRPr="004723E9" w:rsidRDefault="003F2B0C" w:rsidP="0084338D">
            <w:pPr>
              <w:spacing w:after="0" w:line="240" w:lineRule="auto"/>
              <w:jc w:val="left"/>
              <w:rPr>
                <w:rFonts w:eastAsia="Times New Roman" w:cs="Calibri"/>
                <w:kern w:val="0"/>
                <w:sz w:val="18"/>
                <w:szCs w:val="18"/>
                <w:lang w:eastAsia="pl-PL"/>
              </w:rPr>
            </w:pPr>
            <w:r w:rsidRPr="004723E9">
              <w:rPr>
                <w:rFonts w:eastAsia="Times New Roman" w:cs="Calibri"/>
                <w:kern w:val="0"/>
                <w:sz w:val="18"/>
                <w:szCs w:val="18"/>
                <w:lang w:eastAsia="pl-PL"/>
              </w:rPr>
              <w:t>Wrocławski Obszar Funkcjonalny</w:t>
            </w:r>
          </w:p>
        </w:tc>
        <w:tc>
          <w:tcPr>
            <w:tcW w:w="960" w:type="dxa"/>
            <w:shd w:val="clear" w:color="auto" w:fill="auto"/>
            <w:noWrap/>
            <w:vAlign w:val="center"/>
            <w:hideMark/>
          </w:tcPr>
          <w:p w:rsidR="003F2B0C" w:rsidRPr="004723E9" w:rsidRDefault="003F2B0C" w:rsidP="0084338D">
            <w:pPr>
              <w:spacing w:after="0" w:line="240" w:lineRule="auto"/>
              <w:jc w:val="center"/>
              <w:rPr>
                <w:rFonts w:eastAsia="Times New Roman" w:cs="Calibri"/>
                <w:kern w:val="0"/>
                <w:sz w:val="18"/>
                <w:szCs w:val="18"/>
                <w:lang w:eastAsia="pl-PL"/>
              </w:rPr>
            </w:pPr>
            <w:r w:rsidRPr="004723E9">
              <w:rPr>
                <w:rFonts w:eastAsia="Times New Roman" w:cs="Calibri"/>
                <w:kern w:val="0"/>
                <w:sz w:val="18"/>
                <w:szCs w:val="18"/>
                <w:lang w:eastAsia="pl-PL"/>
              </w:rPr>
              <w:t>346</w:t>
            </w:r>
          </w:p>
        </w:tc>
        <w:tc>
          <w:tcPr>
            <w:tcW w:w="960" w:type="dxa"/>
            <w:shd w:val="clear" w:color="auto" w:fill="auto"/>
            <w:noWrap/>
            <w:vAlign w:val="center"/>
            <w:hideMark/>
          </w:tcPr>
          <w:p w:rsidR="003F2B0C" w:rsidRPr="004723E9" w:rsidRDefault="003F2B0C" w:rsidP="0084338D">
            <w:pPr>
              <w:spacing w:after="0" w:line="240" w:lineRule="auto"/>
              <w:jc w:val="center"/>
              <w:rPr>
                <w:rFonts w:eastAsia="Times New Roman" w:cs="Calibri"/>
                <w:kern w:val="0"/>
                <w:sz w:val="18"/>
                <w:szCs w:val="18"/>
                <w:lang w:eastAsia="pl-PL"/>
              </w:rPr>
            </w:pPr>
            <w:r w:rsidRPr="004723E9">
              <w:rPr>
                <w:rFonts w:eastAsia="Times New Roman" w:cs="Calibri"/>
                <w:kern w:val="0"/>
                <w:sz w:val="18"/>
                <w:szCs w:val="18"/>
                <w:lang w:eastAsia="pl-PL"/>
              </w:rPr>
              <w:t>349</w:t>
            </w:r>
          </w:p>
        </w:tc>
        <w:tc>
          <w:tcPr>
            <w:tcW w:w="960" w:type="dxa"/>
            <w:shd w:val="clear" w:color="auto" w:fill="auto"/>
            <w:noWrap/>
            <w:vAlign w:val="center"/>
            <w:hideMark/>
          </w:tcPr>
          <w:p w:rsidR="003F2B0C" w:rsidRPr="004723E9" w:rsidRDefault="003F2B0C" w:rsidP="0084338D">
            <w:pPr>
              <w:spacing w:after="0" w:line="240" w:lineRule="auto"/>
              <w:jc w:val="center"/>
              <w:rPr>
                <w:rFonts w:eastAsia="Times New Roman" w:cs="Calibri"/>
                <w:kern w:val="0"/>
                <w:sz w:val="18"/>
                <w:szCs w:val="18"/>
                <w:lang w:eastAsia="pl-PL"/>
              </w:rPr>
            </w:pPr>
            <w:r w:rsidRPr="004723E9">
              <w:rPr>
                <w:rFonts w:eastAsia="Times New Roman" w:cs="Calibri"/>
                <w:kern w:val="0"/>
                <w:sz w:val="18"/>
                <w:szCs w:val="18"/>
                <w:lang w:eastAsia="pl-PL"/>
              </w:rPr>
              <w:t>370</w:t>
            </w:r>
          </w:p>
        </w:tc>
        <w:tc>
          <w:tcPr>
            <w:tcW w:w="960" w:type="dxa"/>
            <w:shd w:val="clear" w:color="auto" w:fill="auto"/>
            <w:noWrap/>
            <w:vAlign w:val="center"/>
            <w:hideMark/>
          </w:tcPr>
          <w:p w:rsidR="003F2B0C" w:rsidRPr="004723E9" w:rsidRDefault="003F2B0C" w:rsidP="0084338D">
            <w:pPr>
              <w:spacing w:after="0" w:line="240" w:lineRule="auto"/>
              <w:jc w:val="center"/>
              <w:rPr>
                <w:rFonts w:eastAsia="Times New Roman" w:cs="Calibri"/>
                <w:kern w:val="0"/>
                <w:sz w:val="18"/>
                <w:szCs w:val="18"/>
                <w:lang w:eastAsia="pl-PL"/>
              </w:rPr>
            </w:pPr>
            <w:r w:rsidRPr="004723E9">
              <w:rPr>
                <w:rFonts w:eastAsia="Times New Roman" w:cs="Calibri"/>
                <w:kern w:val="0"/>
                <w:sz w:val="18"/>
                <w:szCs w:val="18"/>
                <w:lang w:eastAsia="pl-PL"/>
              </w:rPr>
              <w:t>372</w:t>
            </w:r>
          </w:p>
        </w:tc>
        <w:tc>
          <w:tcPr>
            <w:tcW w:w="960" w:type="dxa"/>
            <w:shd w:val="clear" w:color="auto" w:fill="auto"/>
            <w:noWrap/>
            <w:vAlign w:val="center"/>
            <w:hideMark/>
          </w:tcPr>
          <w:p w:rsidR="003F2B0C" w:rsidRPr="004723E9" w:rsidRDefault="003F2B0C" w:rsidP="0084338D">
            <w:pPr>
              <w:spacing w:after="0" w:line="240" w:lineRule="auto"/>
              <w:jc w:val="center"/>
              <w:rPr>
                <w:rFonts w:eastAsia="Times New Roman" w:cs="Calibri"/>
                <w:kern w:val="0"/>
                <w:sz w:val="18"/>
                <w:szCs w:val="18"/>
                <w:lang w:eastAsia="pl-PL"/>
              </w:rPr>
            </w:pPr>
            <w:r w:rsidRPr="004723E9">
              <w:rPr>
                <w:rFonts w:eastAsia="Times New Roman" w:cs="Calibri"/>
                <w:kern w:val="0"/>
                <w:sz w:val="18"/>
                <w:szCs w:val="18"/>
                <w:lang w:eastAsia="pl-PL"/>
              </w:rPr>
              <w:t>374</w:t>
            </w:r>
          </w:p>
        </w:tc>
        <w:tc>
          <w:tcPr>
            <w:tcW w:w="786" w:type="dxa"/>
            <w:shd w:val="clear" w:color="auto" w:fill="auto"/>
            <w:noWrap/>
            <w:vAlign w:val="center"/>
            <w:hideMark/>
          </w:tcPr>
          <w:p w:rsidR="003F2B0C" w:rsidRPr="004723E9" w:rsidRDefault="003F2B0C" w:rsidP="0084338D">
            <w:pPr>
              <w:spacing w:after="0" w:line="240" w:lineRule="auto"/>
              <w:jc w:val="center"/>
              <w:rPr>
                <w:rFonts w:eastAsia="Times New Roman" w:cs="Calibri"/>
                <w:kern w:val="0"/>
                <w:sz w:val="18"/>
                <w:szCs w:val="18"/>
                <w:lang w:eastAsia="pl-PL"/>
              </w:rPr>
            </w:pPr>
            <w:r w:rsidRPr="004723E9">
              <w:rPr>
                <w:rFonts w:eastAsia="Times New Roman" w:cs="Calibri"/>
                <w:kern w:val="0"/>
                <w:sz w:val="18"/>
                <w:szCs w:val="18"/>
                <w:lang w:eastAsia="pl-PL"/>
              </w:rPr>
              <w:t>401</w:t>
            </w:r>
          </w:p>
        </w:tc>
      </w:tr>
      <w:tr w:rsidR="003F2B0C" w:rsidRPr="004723E9" w:rsidTr="0084338D">
        <w:trPr>
          <w:trHeight w:val="300"/>
        </w:trPr>
        <w:tc>
          <w:tcPr>
            <w:tcW w:w="3340" w:type="dxa"/>
            <w:shd w:val="clear" w:color="auto" w:fill="auto"/>
            <w:vAlign w:val="center"/>
            <w:hideMark/>
          </w:tcPr>
          <w:p w:rsidR="003F2B0C" w:rsidRPr="004723E9" w:rsidRDefault="003F2B0C" w:rsidP="0084338D">
            <w:pPr>
              <w:spacing w:after="0" w:line="240" w:lineRule="auto"/>
              <w:jc w:val="left"/>
              <w:rPr>
                <w:rFonts w:eastAsia="Times New Roman" w:cs="Calibri"/>
                <w:kern w:val="0"/>
                <w:sz w:val="18"/>
                <w:szCs w:val="18"/>
                <w:lang w:eastAsia="pl-PL"/>
              </w:rPr>
            </w:pPr>
            <w:r w:rsidRPr="004723E9">
              <w:rPr>
                <w:rFonts w:eastAsia="Times New Roman" w:cs="Calibri"/>
                <w:kern w:val="0"/>
                <w:sz w:val="18"/>
                <w:szCs w:val="18"/>
                <w:lang w:eastAsia="pl-PL"/>
              </w:rPr>
              <w:t>Metropolia Krakowska</w:t>
            </w:r>
          </w:p>
        </w:tc>
        <w:tc>
          <w:tcPr>
            <w:tcW w:w="960" w:type="dxa"/>
            <w:shd w:val="clear" w:color="auto" w:fill="auto"/>
            <w:noWrap/>
            <w:vAlign w:val="center"/>
            <w:hideMark/>
          </w:tcPr>
          <w:p w:rsidR="003F2B0C" w:rsidRPr="004723E9" w:rsidRDefault="003F2B0C" w:rsidP="0084338D">
            <w:pPr>
              <w:spacing w:after="0" w:line="240" w:lineRule="auto"/>
              <w:jc w:val="center"/>
              <w:rPr>
                <w:rFonts w:eastAsia="Times New Roman" w:cs="Calibri"/>
                <w:kern w:val="0"/>
                <w:sz w:val="18"/>
                <w:szCs w:val="18"/>
                <w:lang w:eastAsia="pl-PL"/>
              </w:rPr>
            </w:pPr>
            <w:r w:rsidRPr="004723E9">
              <w:rPr>
                <w:rFonts w:eastAsia="Times New Roman" w:cs="Calibri"/>
                <w:kern w:val="0"/>
                <w:sz w:val="18"/>
                <w:szCs w:val="18"/>
                <w:lang w:eastAsia="pl-PL"/>
              </w:rPr>
              <w:t>834</w:t>
            </w:r>
          </w:p>
        </w:tc>
        <w:tc>
          <w:tcPr>
            <w:tcW w:w="960" w:type="dxa"/>
            <w:shd w:val="clear" w:color="auto" w:fill="auto"/>
            <w:noWrap/>
            <w:vAlign w:val="center"/>
            <w:hideMark/>
          </w:tcPr>
          <w:p w:rsidR="003F2B0C" w:rsidRPr="004723E9" w:rsidRDefault="003F2B0C" w:rsidP="0084338D">
            <w:pPr>
              <w:spacing w:after="0" w:line="240" w:lineRule="auto"/>
              <w:jc w:val="center"/>
              <w:rPr>
                <w:rFonts w:eastAsia="Times New Roman" w:cs="Calibri"/>
                <w:kern w:val="0"/>
                <w:sz w:val="18"/>
                <w:szCs w:val="18"/>
                <w:lang w:eastAsia="pl-PL"/>
              </w:rPr>
            </w:pPr>
            <w:r w:rsidRPr="004723E9">
              <w:rPr>
                <w:rFonts w:eastAsia="Times New Roman" w:cs="Calibri"/>
                <w:kern w:val="0"/>
                <w:sz w:val="18"/>
                <w:szCs w:val="18"/>
                <w:lang w:eastAsia="pl-PL"/>
              </w:rPr>
              <w:t>843</w:t>
            </w:r>
          </w:p>
        </w:tc>
        <w:tc>
          <w:tcPr>
            <w:tcW w:w="960" w:type="dxa"/>
            <w:shd w:val="clear" w:color="auto" w:fill="auto"/>
            <w:noWrap/>
            <w:vAlign w:val="center"/>
            <w:hideMark/>
          </w:tcPr>
          <w:p w:rsidR="003F2B0C" w:rsidRPr="004723E9" w:rsidRDefault="003F2B0C" w:rsidP="0084338D">
            <w:pPr>
              <w:spacing w:after="0" w:line="240" w:lineRule="auto"/>
              <w:jc w:val="center"/>
              <w:rPr>
                <w:rFonts w:eastAsia="Times New Roman" w:cs="Calibri"/>
                <w:kern w:val="0"/>
                <w:sz w:val="18"/>
                <w:szCs w:val="18"/>
                <w:lang w:eastAsia="pl-PL"/>
              </w:rPr>
            </w:pPr>
            <w:r w:rsidRPr="004723E9">
              <w:rPr>
                <w:rFonts w:eastAsia="Times New Roman" w:cs="Calibri"/>
                <w:kern w:val="0"/>
                <w:sz w:val="18"/>
                <w:szCs w:val="18"/>
                <w:lang w:eastAsia="pl-PL"/>
              </w:rPr>
              <w:t>879</w:t>
            </w:r>
          </w:p>
        </w:tc>
        <w:tc>
          <w:tcPr>
            <w:tcW w:w="960" w:type="dxa"/>
            <w:shd w:val="clear" w:color="auto" w:fill="auto"/>
            <w:noWrap/>
            <w:vAlign w:val="center"/>
            <w:hideMark/>
          </w:tcPr>
          <w:p w:rsidR="003F2B0C" w:rsidRPr="004723E9" w:rsidRDefault="003F2B0C" w:rsidP="0084338D">
            <w:pPr>
              <w:spacing w:after="0" w:line="240" w:lineRule="auto"/>
              <w:jc w:val="center"/>
              <w:rPr>
                <w:rFonts w:eastAsia="Times New Roman" w:cs="Calibri"/>
                <w:kern w:val="0"/>
                <w:sz w:val="18"/>
                <w:szCs w:val="18"/>
                <w:lang w:eastAsia="pl-PL"/>
              </w:rPr>
            </w:pPr>
            <w:r w:rsidRPr="004723E9">
              <w:rPr>
                <w:rFonts w:eastAsia="Times New Roman" w:cs="Calibri"/>
                <w:kern w:val="0"/>
                <w:sz w:val="18"/>
                <w:szCs w:val="18"/>
                <w:lang w:eastAsia="pl-PL"/>
              </w:rPr>
              <w:t>884</w:t>
            </w:r>
          </w:p>
        </w:tc>
        <w:tc>
          <w:tcPr>
            <w:tcW w:w="960" w:type="dxa"/>
            <w:shd w:val="clear" w:color="auto" w:fill="auto"/>
            <w:noWrap/>
            <w:vAlign w:val="center"/>
            <w:hideMark/>
          </w:tcPr>
          <w:p w:rsidR="003F2B0C" w:rsidRPr="004723E9" w:rsidRDefault="003F2B0C" w:rsidP="0084338D">
            <w:pPr>
              <w:spacing w:after="0" w:line="240" w:lineRule="auto"/>
              <w:jc w:val="center"/>
              <w:rPr>
                <w:rFonts w:eastAsia="Times New Roman" w:cs="Calibri"/>
                <w:kern w:val="0"/>
                <w:sz w:val="18"/>
                <w:szCs w:val="18"/>
                <w:lang w:eastAsia="pl-PL"/>
              </w:rPr>
            </w:pPr>
            <w:r w:rsidRPr="004723E9">
              <w:rPr>
                <w:rFonts w:eastAsia="Times New Roman" w:cs="Calibri"/>
                <w:kern w:val="0"/>
                <w:sz w:val="18"/>
                <w:szCs w:val="18"/>
                <w:lang w:eastAsia="pl-PL"/>
              </w:rPr>
              <w:t>887</w:t>
            </w:r>
          </w:p>
        </w:tc>
        <w:tc>
          <w:tcPr>
            <w:tcW w:w="786" w:type="dxa"/>
            <w:shd w:val="clear" w:color="auto" w:fill="auto"/>
            <w:noWrap/>
            <w:vAlign w:val="center"/>
            <w:hideMark/>
          </w:tcPr>
          <w:p w:rsidR="003F2B0C" w:rsidRPr="004723E9" w:rsidRDefault="003F2B0C" w:rsidP="0084338D">
            <w:pPr>
              <w:spacing w:after="0" w:line="240" w:lineRule="auto"/>
              <w:jc w:val="center"/>
              <w:rPr>
                <w:rFonts w:eastAsia="Times New Roman" w:cs="Calibri"/>
                <w:kern w:val="0"/>
                <w:sz w:val="18"/>
                <w:szCs w:val="18"/>
                <w:lang w:eastAsia="pl-PL"/>
              </w:rPr>
            </w:pPr>
            <w:r w:rsidRPr="004723E9">
              <w:rPr>
                <w:rFonts w:eastAsia="Times New Roman" w:cs="Calibri"/>
                <w:kern w:val="0"/>
                <w:sz w:val="18"/>
                <w:szCs w:val="18"/>
                <w:lang w:eastAsia="pl-PL"/>
              </w:rPr>
              <w:t>892</w:t>
            </w:r>
          </w:p>
        </w:tc>
      </w:tr>
      <w:tr w:rsidR="003F2B0C" w:rsidRPr="004723E9" w:rsidTr="0084338D">
        <w:trPr>
          <w:trHeight w:val="300"/>
        </w:trPr>
        <w:tc>
          <w:tcPr>
            <w:tcW w:w="3340" w:type="dxa"/>
            <w:shd w:val="clear" w:color="auto" w:fill="auto"/>
            <w:vAlign w:val="center"/>
            <w:hideMark/>
          </w:tcPr>
          <w:p w:rsidR="003F2B0C" w:rsidRPr="004723E9" w:rsidRDefault="003F2B0C" w:rsidP="0084338D">
            <w:pPr>
              <w:spacing w:after="0" w:line="240" w:lineRule="auto"/>
              <w:jc w:val="left"/>
              <w:rPr>
                <w:rFonts w:eastAsia="Times New Roman" w:cs="Calibri"/>
                <w:kern w:val="0"/>
                <w:sz w:val="18"/>
                <w:szCs w:val="18"/>
                <w:lang w:eastAsia="pl-PL"/>
              </w:rPr>
            </w:pPr>
            <w:r w:rsidRPr="004723E9">
              <w:rPr>
                <w:rFonts w:eastAsia="Times New Roman" w:cs="Calibri"/>
                <w:kern w:val="0"/>
                <w:sz w:val="18"/>
                <w:szCs w:val="18"/>
                <w:lang w:eastAsia="pl-PL"/>
              </w:rPr>
              <w:t>Metropolia Poznań</w:t>
            </w:r>
          </w:p>
        </w:tc>
        <w:tc>
          <w:tcPr>
            <w:tcW w:w="960" w:type="dxa"/>
            <w:shd w:val="clear" w:color="auto" w:fill="auto"/>
            <w:noWrap/>
            <w:vAlign w:val="center"/>
            <w:hideMark/>
          </w:tcPr>
          <w:p w:rsidR="003F2B0C" w:rsidRPr="004723E9" w:rsidRDefault="003F2B0C" w:rsidP="0084338D">
            <w:pPr>
              <w:spacing w:after="0" w:line="240" w:lineRule="auto"/>
              <w:jc w:val="center"/>
              <w:rPr>
                <w:rFonts w:eastAsia="Times New Roman" w:cs="Calibri"/>
                <w:kern w:val="0"/>
                <w:sz w:val="18"/>
                <w:szCs w:val="18"/>
                <w:lang w:eastAsia="pl-PL"/>
              </w:rPr>
            </w:pPr>
            <w:r w:rsidRPr="004723E9">
              <w:rPr>
                <w:rFonts w:eastAsia="Times New Roman" w:cs="Calibri"/>
                <w:kern w:val="0"/>
                <w:sz w:val="18"/>
                <w:szCs w:val="18"/>
                <w:lang w:eastAsia="pl-PL"/>
              </w:rPr>
              <w:t>337</w:t>
            </w:r>
          </w:p>
        </w:tc>
        <w:tc>
          <w:tcPr>
            <w:tcW w:w="960" w:type="dxa"/>
            <w:shd w:val="clear" w:color="auto" w:fill="auto"/>
            <w:noWrap/>
            <w:vAlign w:val="center"/>
            <w:hideMark/>
          </w:tcPr>
          <w:p w:rsidR="003F2B0C" w:rsidRPr="004723E9" w:rsidRDefault="003F2B0C" w:rsidP="0084338D">
            <w:pPr>
              <w:spacing w:after="0" w:line="240" w:lineRule="auto"/>
              <w:jc w:val="center"/>
              <w:rPr>
                <w:rFonts w:eastAsia="Times New Roman" w:cs="Calibri"/>
                <w:kern w:val="0"/>
                <w:sz w:val="18"/>
                <w:szCs w:val="18"/>
                <w:lang w:eastAsia="pl-PL"/>
              </w:rPr>
            </w:pPr>
            <w:r w:rsidRPr="004723E9">
              <w:rPr>
                <w:rFonts w:eastAsia="Times New Roman" w:cs="Calibri"/>
                <w:kern w:val="0"/>
                <w:sz w:val="18"/>
                <w:szCs w:val="18"/>
                <w:lang w:eastAsia="pl-PL"/>
              </w:rPr>
              <w:t>340</w:t>
            </w:r>
          </w:p>
        </w:tc>
        <w:tc>
          <w:tcPr>
            <w:tcW w:w="960" w:type="dxa"/>
            <w:shd w:val="clear" w:color="auto" w:fill="auto"/>
            <w:noWrap/>
            <w:vAlign w:val="center"/>
            <w:hideMark/>
          </w:tcPr>
          <w:p w:rsidR="003F2B0C" w:rsidRPr="004723E9" w:rsidRDefault="003F2B0C" w:rsidP="0084338D">
            <w:pPr>
              <w:spacing w:after="0" w:line="240" w:lineRule="auto"/>
              <w:jc w:val="center"/>
              <w:rPr>
                <w:rFonts w:eastAsia="Times New Roman" w:cs="Calibri"/>
                <w:kern w:val="0"/>
                <w:sz w:val="18"/>
                <w:szCs w:val="18"/>
                <w:lang w:eastAsia="pl-PL"/>
              </w:rPr>
            </w:pPr>
            <w:r w:rsidRPr="004723E9">
              <w:rPr>
                <w:rFonts w:eastAsia="Times New Roman" w:cs="Calibri"/>
                <w:kern w:val="0"/>
                <w:sz w:val="18"/>
                <w:szCs w:val="18"/>
                <w:lang w:eastAsia="pl-PL"/>
              </w:rPr>
              <w:t>354</w:t>
            </w:r>
          </w:p>
        </w:tc>
        <w:tc>
          <w:tcPr>
            <w:tcW w:w="960" w:type="dxa"/>
            <w:shd w:val="clear" w:color="auto" w:fill="auto"/>
            <w:noWrap/>
            <w:vAlign w:val="center"/>
            <w:hideMark/>
          </w:tcPr>
          <w:p w:rsidR="003F2B0C" w:rsidRPr="004723E9" w:rsidRDefault="003F2B0C" w:rsidP="0084338D">
            <w:pPr>
              <w:spacing w:after="0" w:line="240" w:lineRule="auto"/>
              <w:jc w:val="center"/>
              <w:rPr>
                <w:rFonts w:eastAsia="Times New Roman" w:cs="Calibri"/>
                <w:kern w:val="0"/>
                <w:sz w:val="18"/>
                <w:szCs w:val="18"/>
                <w:lang w:eastAsia="pl-PL"/>
              </w:rPr>
            </w:pPr>
            <w:r w:rsidRPr="004723E9">
              <w:rPr>
                <w:rFonts w:eastAsia="Times New Roman" w:cs="Calibri"/>
                <w:kern w:val="0"/>
                <w:sz w:val="18"/>
                <w:szCs w:val="18"/>
                <w:lang w:eastAsia="pl-PL"/>
              </w:rPr>
              <w:t>355</w:t>
            </w:r>
          </w:p>
        </w:tc>
        <w:tc>
          <w:tcPr>
            <w:tcW w:w="960" w:type="dxa"/>
            <w:shd w:val="clear" w:color="auto" w:fill="auto"/>
            <w:noWrap/>
            <w:vAlign w:val="center"/>
            <w:hideMark/>
          </w:tcPr>
          <w:p w:rsidR="003F2B0C" w:rsidRPr="004723E9" w:rsidRDefault="003F2B0C" w:rsidP="0084338D">
            <w:pPr>
              <w:spacing w:after="0" w:line="240" w:lineRule="auto"/>
              <w:jc w:val="center"/>
              <w:rPr>
                <w:rFonts w:eastAsia="Times New Roman" w:cs="Calibri"/>
                <w:kern w:val="0"/>
                <w:sz w:val="18"/>
                <w:szCs w:val="18"/>
                <w:lang w:eastAsia="pl-PL"/>
              </w:rPr>
            </w:pPr>
            <w:r w:rsidRPr="004723E9">
              <w:rPr>
                <w:rFonts w:eastAsia="Times New Roman" w:cs="Calibri"/>
                <w:kern w:val="0"/>
                <w:sz w:val="18"/>
                <w:szCs w:val="18"/>
                <w:lang w:eastAsia="pl-PL"/>
              </w:rPr>
              <w:t>356</w:t>
            </w:r>
          </w:p>
        </w:tc>
        <w:tc>
          <w:tcPr>
            <w:tcW w:w="786" w:type="dxa"/>
            <w:shd w:val="clear" w:color="auto" w:fill="auto"/>
            <w:noWrap/>
            <w:vAlign w:val="center"/>
            <w:hideMark/>
          </w:tcPr>
          <w:p w:rsidR="003F2B0C" w:rsidRPr="004723E9" w:rsidRDefault="003F2B0C" w:rsidP="0084338D">
            <w:pPr>
              <w:spacing w:after="0" w:line="240" w:lineRule="auto"/>
              <w:jc w:val="center"/>
              <w:rPr>
                <w:rFonts w:eastAsia="Times New Roman" w:cs="Calibri"/>
                <w:kern w:val="0"/>
                <w:sz w:val="18"/>
                <w:szCs w:val="18"/>
                <w:lang w:eastAsia="pl-PL"/>
              </w:rPr>
            </w:pPr>
            <w:r w:rsidRPr="004723E9">
              <w:rPr>
                <w:rFonts w:eastAsia="Times New Roman" w:cs="Calibri"/>
                <w:kern w:val="0"/>
                <w:sz w:val="18"/>
                <w:szCs w:val="18"/>
                <w:lang w:eastAsia="pl-PL"/>
              </w:rPr>
              <w:t>357</w:t>
            </w:r>
          </w:p>
        </w:tc>
      </w:tr>
      <w:tr w:rsidR="003F2B0C" w:rsidRPr="004723E9" w:rsidTr="0084338D">
        <w:trPr>
          <w:trHeight w:val="300"/>
        </w:trPr>
        <w:tc>
          <w:tcPr>
            <w:tcW w:w="3340" w:type="dxa"/>
            <w:shd w:val="clear" w:color="auto" w:fill="auto"/>
            <w:vAlign w:val="center"/>
          </w:tcPr>
          <w:p w:rsidR="003F2B0C" w:rsidRPr="004723E9" w:rsidRDefault="003F2B0C" w:rsidP="0084338D">
            <w:pPr>
              <w:spacing w:after="0" w:line="240" w:lineRule="auto"/>
              <w:jc w:val="left"/>
              <w:rPr>
                <w:rFonts w:eastAsia="Times New Roman" w:cs="Calibri"/>
                <w:kern w:val="0"/>
                <w:sz w:val="18"/>
                <w:szCs w:val="18"/>
                <w:lang w:eastAsia="pl-PL"/>
              </w:rPr>
            </w:pPr>
            <w:r w:rsidRPr="00713E69">
              <w:rPr>
                <w:rFonts w:eastAsia="Times New Roman" w:cs="Calibri"/>
                <w:kern w:val="0"/>
                <w:sz w:val="18"/>
                <w:szCs w:val="18"/>
                <w:lang w:eastAsia="pl-PL"/>
              </w:rPr>
              <w:t>Brneńskiego Obszaru Metropolitalnego</w:t>
            </w:r>
          </w:p>
        </w:tc>
        <w:tc>
          <w:tcPr>
            <w:tcW w:w="960" w:type="dxa"/>
            <w:shd w:val="clear" w:color="auto" w:fill="auto"/>
            <w:noWrap/>
            <w:vAlign w:val="center"/>
          </w:tcPr>
          <w:p w:rsidR="003F2B0C" w:rsidRPr="004723E9" w:rsidRDefault="003F2B0C" w:rsidP="0084338D">
            <w:pPr>
              <w:spacing w:after="0" w:line="240" w:lineRule="auto"/>
              <w:jc w:val="center"/>
              <w:rPr>
                <w:rFonts w:eastAsia="Times New Roman" w:cs="Calibri"/>
                <w:kern w:val="0"/>
                <w:sz w:val="18"/>
                <w:szCs w:val="18"/>
                <w:lang w:eastAsia="pl-PL"/>
              </w:rPr>
            </w:pPr>
            <w:r>
              <w:rPr>
                <w:rFonts w:eastAsia="Times New Roman" w:cs="Calibri"/>
                <w:kern w:val="0"/>
                <w:sz w:val="18"/>
                <w:szCs w:val="18"/>
                <w:lang w:eastAsia="pl-PL"/>
              </w:rPr>
              <w:t>x</w:t>
            </w:r>
          </w:p>
        </w:tc>
        <w:tc>
          <w:tcPr>
            <w:tcW w:w="960" w:type="dxa"/>
            <w:shd w:val="clear" w:color="auto" w:fill="auto"/>
            <w:noWrap/>
            <w:vAlign w:val="center"/>
          </w:tcPr>
          <w:p w:rsidR="003F2B0C" w:rsidRPr="004723E9" w:rsidRDefault="003F2B0C" w:rsidP="0084338D">
            <w:pPr>
              <w:spacing w:after="0" w:line="240" w:lineRule="auto"/>
              <w:jc w:val="center"/>
              <w:rPr>
                <w:rFonts w:eastAsia="Times New Roman" w:cs="Calibri"/>
                <w:kern w:val="0"/>
                <w:sz w:val="18"/>
                <w:szCs w:val="18"/>
                <w:lang w:eastAsia="pl-PL"/>
              </w:rPr>
            </w:pPr>
            <w:r>
              <w:rPr>
                <w:rFonts w:eastAsia="Times New Roman" w:cs="Calibri"/>
                <w:kern w:val="0"/>
                <w:sz w:val="18"/>
                <w:szCs w:val="18"/>
                <w:lang w:eastAsia="pl-PL"/>
              </w:rPr>
              <w:t>x</w:t>
            </w:r>
          </w:p>
        </w:tc>
        <w:tc>
          <w:tcPr>
            <w:tcW w:w="960" w:type="dxa"/>
            <w:shd w:val="clear" w:color="auto" w:fill="auto"/>
            <w:noWrap/>
            <w:vAlign w:val="center"/>
          </w:tcPr>
          <w:p w:rsidR="003F2B0C" w:rsidRPr="004723E9" w:rsidRDefault="003F2B0C" w:rsidP="0084338D">
            <w:pPr>
              <w:spacing w:after="0" w:line="240" w:lineRule="auto"/>
              <w:jc w:val="center"/>
              <w:rPr>
                <w:rFonts w:eastAsia="Times New Roman" w:cs="Calibri"/>
                <w:kern w:val="0"/>
                <w:sz w:val="18"/>
                <w:szCs w:val="18"/>
                <w:lang w:eastAsia="pl-PL"/>
              </w:rPr>
            </w:pPr>
            <w:r>
              <w:rPr>
                <w:rFonts w:eastAsia="Times New Roman" w:cs="Calibri"/>
                <w:kern w:val="0"/>
                <w:sz w:val="18"/>
                <w:szCs w:val="18"/>
                <w:lang w:eastAsia="pl-PL"/>
              </w:rPr>
              <w:t>x</w:t>
            </w:r>
          </w:p>
        </w:tc>
        <w:tc>
          <w:tcPr>
            <w:tcW w:w="960" w:type="dxa"/>
            <w:shd w:val="clear" w:color="auto" w:fill="auto"/>
            <w:noWrap/>
            <w:vAlign w:val="center"/>
          </w:tcPr>
          <w:p w:rsidR="003F2B0C" w:rsidRPr="004723E9" w:rsidRDefault="003F2B0C" w:rsidP="0084338D">
            <w:pPr>
              <w:spacing w:after="0" w:line="240" w:lineRule="auto"/>
              <w:jc w:val="center"/>
              <w:rPr>
                <w:rFonts w:eastAsia="Times New Roman" w:cs="Calibri"/>
                <w:kern w:val="0"/>
                <w:sz w:val="18"/>
                <w:szCs w:val="18"/>
                <w:lang w:eastAsia="pl-PL"/>
              </w:rPr>
            </w:pPr>
            <w:r>
              <w:rPr>
                <w:rFonts w:eastAsia="Times New Roman" w:cs="Calibri"/>
                <w:kern w:val="0"/>
                <w:sz w:val="18"/>
                <w:szCs w:val="18"/>
                <w:lang w:eastAsia="pl-PL"/>
              </w:rPr>
              <w:t>x</w:t>
            </w:r>
          </w:p>
        </w:tc>
        <w:tc>
          <w:tcPr>
            <w:tcW w:w="960" w:type="dxa"/>
            <w:shd w:val="clear" w:color="auto" w:fill="auto"/>
            <w:noWrap/>
            <w:vAlign w:val="center"/>
          </w:tcPr>
          <w:p w:rsidR="003F2B0C" w:rsidRPr="004723E9" w:rsidRDefault="003F2B0C" w:rsidP="0084338D">
            <w:pPr>
              <w:spacing w:after="0" w:line="240" w:lineRule="auto"/>
              <w:jc w:val="center"/>
              <w:rPr>
                <w:rFonts w:eastAsia="Times New Roman" w:cs="Calibri"/>
                <w:kern w:val="0"/>
                <w:sz w:val="18"/>
                <w:szCs w:val="18"/>
                <w:lang w:eastAsia="pl-PL"/>
              </w:rPr>
            </w:pPr>
            <w:r>
              <w:rPr>
                <w:rFonts w:eastAsia="Times New Roman" w:cs="Calibri"/>
                <w:kern w:val="0"/>
                <w:sz w:val="18"/>
                <w:szCs w:val="18"/>
                <w:lang w:eastAsia="pl-PL"/>
              </w:rPr>
              <w:t>x</w:t>
            </w:r>
          </w:p>
        </w:tc>
        <w:tc>
          <w:tcPr>
            <w:tcW w:w="786" w:type="dxa"/>
            <w:shd w:val="clear" w:color="auto" w:fill="auto"/>
            <w:noWrap/>
            <w:vAlign w:val="center"/>
          </w:tcPr>
          <w:p w:rsidR="003F2B0C" w:rsidRPr="004723E9" w:rsidRDefault="003F2B0C" w:rsidP="0084338D">
            <w:pPr>
              <w:spacing w:after="0" w:line="240" w:lineRule="auto"/>
              <w:jc w:val="center"/>
              <w:rPr>
                <w:rFonts w:eastAsia="Times New Roman" w:cs="Calibri"/>
                <w:kern w:val="0"/>
                <w:sz w:val="18"/>
                <w:szCs w:val="18"/>
                <w:lang w:eastAsia="pl-PL"/>
              </w:rPr>
            </w:pPr>
            <w:r>
              <w:rPr>
                <w:rFonts w:eastAsia="Times New Roman" w:cs="Calibri"/>
                <w:kern w:val="0"/>
                <w:sz w:val="18"/>
                <w:szCs w:val="18"/>
                <w:lang w:eastAsia="pl-PL"/>
              </w:rPr>
              <w:t>369</w:t>
            </w:r>
          </w:p>
        </w:tc>
      </w:tr>
      <w:tr w:rsidR="003F2B0C" w:rsidRPr="004723E9" w:rsidTr="0084338D">
        <w:trPr>
          <w:trHeight w:val="300"/>
        </w:trPr>
        <w:tc>
          <w:tcPr>
            <w:tcW w:w="3340" w:type="dxa"/>
            <w:shd w:val="clear" w:color="auto" w:fill="auto"/>
            <w:vAlign w:val="center"/>
          </w:tcPr>
          <w:p w:rsidR="003F2B0C" w:rsidRPr="004723E9" w:rsidRDefault="003F2B0C" w:rsidP="0084338D">
            <w:pPr>
              <w:spacing w:after="0" w:line="240" w:lineRule="auto"/>
              <w:jc w:val="left"/>
              <w:rPr>
                <w:rFonts w:eastAsia="Times New Roman" w:cs="Calibri"/>
                <w:kern w:val="0"/>
                <w:sz w:val="18"/>
                <w:szCs w:val="18"/>
                <w:lang w:eastAsia="pl-PL"/>
              </w:rPr>
            </w:pPr>
            <w:r>
              <w:rPr>
                <w:rFonts w:eastAsia="Times New Roman" w:cs="Calibri"/>
                <w:kern w:val="0"/>
                <w:sz w:val="18"/>
                <w:szCs w:val="18"/>
                <w:lang w:eastAsia="pl-PL"/>
              </w:rPr>
              <w:t>Aglomeracja Drezna</w:t>
            </w:r>
          </w:p>
        </w:tc>
        <w:tc>
          <w:tcPr>
            <w:tcW w:w="960" w:type="dxa"/>
            <w:shd w:val="clear" w:color="auto" w:fill="auto"/>
            <w:noWrap/>
            <w:vAlign w:val="center"/>
          </w:tcPr>
          <w:p w:rsidR="003F2B0C" w:rsidRPr="004723E9" w:rsidRDefault="003F2B0C" w:rsidP="0084338D">
            <w:pPr>
              <w:spacing w:after="0" w:line="240" w:lineRule="auto"/>
              <w:jc w:val="center"/>
              <w:rPr>
                <w:rFonts w:eastAsia="Times New Roman" w:cs="Calibri"/>
                <w:kern w:val="0"/>
                <w:sz w:val="18"/>
                <w:szCs w:val="18"/>
                <w:lang w:eastAsia="pl-PL"/>
              </w:rPr>
            </w:pPr>
            <w:r>
              <w:rPr>
                <w:rFonts w:eastAsia="Times New Roman" w:cs="Calibri"/>
                <w:kern w:val="0"/>
                <w:sz w:val="18"/>
                <w:szCs w:val="18"/>
                <w:lang w:eastAsia="pl-PL"/>
              </w:rPr>
              <w:t>x</w:t>
            </w:r>
          </w:p>
        </w:tc>
        <w:tc>
          <w:tcPr>
            <w:tcW w:w="960" w:type="dxa"/>
            <w:shd w:val="clear" w:color="auto" w:fill="auto"/>
            <w:noWrap/>
            <w:vAlign w:val="center"/>
          </w:tcPr>
          <w:p w:rsidR="003F2B0C" w:rsidRPr="004723E9" w:rsidRDefault="003F2B0C" w:rsidP="0084338D">
            <w:pPr>
              <w:spacing w:after="0" w:line="240" w:lineRule="auto"/>
              <w:jc w:val="center"/>
              <w:rPr>
                <w:rFonts w:eastAsia="Times New Roman" w:cs="Calibri"/>
                <w:kern w:val="0"/>
                <w:sz w:val="18"/>
                <w:szCs w:val="18"/>
                <w:lang w:eastAsia="pl-PL"/>
              </w:rPr>
            </w:pPr>
            <w:r>
              <w:rPr>
                <w:rFonts w:eastAsia="Times New Roman" w:cs="Calibri"/>
                <w:kern w:val="0"/>
                <w:sz w:val="18"/>
                <w:szCs w:val="18"/>
                <w:lang w:eastAsia="pl-PL"/>
              </w:rPr>
              <w:t>x</w:t>
            </w:r>
          </w:p>
        </w:tc>
        <w:tc>
          <w:tcPr>
            <w:tcW w:w="960" w:type="dxa"/>
            <w:shd w:val="clear" w:color="auto" w:fill="auto"/>
            <w:noWrap/>
            <w:vAlign w:val="center"/>
          </w:tcPr>
          <w:p w:rsidR="003F2B0C" w:rsidRPr="004723E9" w:rsidRDefault="003F2B0C" w:rsidP="0084338D">
            <w:pPr>
              <w:spacing w:after="0" w:line="240" w:lineRule="auto"/>
              <w:jc w:val="center"/>
              <w:rPr>
                <w:rFonts w:eastAsia="Times New Roman" w:cs="Calibri"/>
                <w:kern w:val="0"/>
                <w:sz w:val="18"/>
                <w:szCs w:val="18"/>
                <w:lang w:eastAsia="pl-PL"/>
              </w:rPr>
            </w:pPr>
            <w:r>
              <w:rPr>
                <w:rFonts w:eastAsia="Times New Roman" w:cs="Calibri"/>
                <w:kern w:val="0"/>
                <w:sz w:val="18"/>
                <w:szCs w:val="18"/>
                <w:lang w:eastAsia="pl-PL"/>
              </w:rPr>
              <w:t>x</w:t>
            </w:r>
          </w:p>
        </w:tc>
        <w:tc>
          <w:tcPr>
            <w:tcW w:w="960" w:type="dxa"/>
            <w:shd w:val="clear" w:color="auto" w:fill="auto"/>
            <w:noWrap/>
            <w:vAlign w:val="center"/>
          </w:tcPr>
          <w:p w:rsidR="003F2B0C" w:rsidRPr="004723E9" w:rsidRDefault="003F2B0C" w:rsidP="0084338D">
            <w:pPr>
              <w:spacing w:after="0" w:line="240" w:lineRule="auto"/>
              <w:jc w:val="center"/>
              <w:rPr>
                <w:rFonts w:eastAsia="Times New Roman" w:cs="Calibri"/>
                <w:kern w:val="0"/>
                <w:sz w:val="18"/>
                <w:szCs w:val="18"/>
                <w:lang w:eastAsia="pl-PL"/>
              </w:rPr>
            </w:pPr>
            <w:r>
              <w:rPr>
                <w:rFonts w:eastAsia="Times New Roman" w:cs="Calibri"/>
                <w:kern w:val="0"/>
                <w:sz w:val="18"/>
                <w:szCs w:val="18"/>
                <w:lang w:eastAsia="pl-PL"/>
              </w:rPr>
              <w:t>x</w:t>
            </w:r>
          </w:p>
        </w:tc>
        <w:tc>
          <w:tcPr>
            <w:tcW w:w="960" w:type="dxa"/>
            <w:shd w:val="clear" w:color="auto" w:fill="auto"/>
            <w:noWrap/>
            <w:vAlign w:val="center"/>
          </w:tcPr>
          <w:p w:rsidR="003F2B0C" w:rsidRPr="004723E9" w:rsidRDefault="003F2B0C" w:rsidP="0084338D">
            <w:pPr>
              <w:spacing w:after="0" w:line="240" w:lineRule="auto"/>
              <w:jc w:val="center"/>
              <w:rPr>
                <w:rFonts w:eastAsia="Times New Roman" w:cs="Calibri"/>
                <w:kern w:val="0"/>
                <w:sz w:val="18"/>
                <w:szCs w:val="18"/>
                <w:lang w:eastAsia="pl-PL"/>
              </w:rPr>
            </w:pPr>
            <w:r>
              <w:rPr>
                <w:rFonts w:eastAsia="Times New Roman" w:cs="Calibri"/>
                <w:kern w:val="0"/>
                <w:sz w:val="18"/>
                <w:szCs w:val="18"/>
                <w:lang w:eastAsia="pl-PL"/>
              </w:rPr>
              <w:t>x</w:t>
            </w:r>
          </w:p>
        </w:tc>
        <w:tc>
          <w:tcPr>
            <w:tcW w:w="786" w:type="dxa"/>
            <w:shd w:val="clear" w:color="auto" w:fill="auto"/>
            <w:noWrap/>
            <w:vAlign w:val="center"/>
          </w:tcPr>
          <w:p w:rsidR="003F2B0C" w:rsidRPr="004723E9" w:rsidRDefault="003F2B0C" w:rsidP="0084338D">
            <w:pPr>
              <w:spacing w:after="0" w:line="240" w:lineRule="auto"/>
              <w:jc w:val="center"/>
              <w:rPr>
                <w:rFonts w:eastAsia="Times New Roman" w:cs="Calibri"/>
                <w:kern w:val="0"/>
                <w:sz w:val="18"/>
                <w:szCs w:val="18"/>
                <w:lang w:eastAsia="pl-PL"/>
              </w:rPr>
            </w:pPr>
            <w:r w:rsidRPr="00713E69">
              <w:rPr>
                <w:rFonts w:eastAsia="Times New Roman" w:cs="Calibri"/>
                <w:kern w:val="0"/>
                <w:sz w:val="18"/>
                <w:szCs w:val="18"/>
                <w:lang w:eastAsia="pl-PL"/>
              </w:rPr>
              <w:t>1238</w:t>
            </w:r>
          </w:p>
        </w:tc>
      </w:tr>
    </w:tbl>
    <w:p w:rsidR="003F2B0C" w:rsidRPr="002737CB" w:rsidRDefault="003F2B0C" w:rsidP="003F2B0C">
      <w:pPr>
        <w:spacing w:line="276" w:lineRule="auto"/>
        <w:rPr>
          <w:iCs/>
          <w:color w:val="363735" w:themeColor="accent3"/>
          <w:sz w:val="20"/>
          <w:szCs w:val="18"/>
        </w:rPr>
      </w:pPr>
      <w:r w:rsidRPr="002737CB">
        <w:rPr>
          <w:iCs/>
          <w:color w:val="363735" w:themeColor="accent3"/>
          <w:sz w:val="20"/>
          <w:szCs w:val="18"/>
        </w:rPr>
        <w:t xml:space="preserve">Źródło: opracowanie własne na podstawie danych GUS BDL, </w:t>
      </w:r>
      <w:r>
        <w:rPr>
          <w:iCs/>
          <w:color w:val="363735" w:themeColor="accent3"/>
          <w:sz w:val="20"/>
          <w:szCs w:val="18"/>
        </w:rPr>
        <w:t xml:space="preserve">dostęp </w:t>
      </w:r>
      <w:r w:rsidRPr="002737CB">
        <w:rPr>
          <w:iCs/>
          <w:color w:val="363735" w:themeColor="accent3"/>
          <w:sz w:val="20"/>
          <w:szCs w:val="18"/>
        </w:rPr>
        <w:t>1.02.2025</w:t>
      </w:r>
    </w:p>
    <w:p w:rsidR="003F2B0C" w:rsidRDefault="003F2B0C" w:rsidP="003F2B0C">
      <w:pPr>
        <w:spacing w:line="240" w:lineRule="auto"/>
        <w:rPr>
          <w:iCs/>
        </w:rPr>
      </w:pPr>
    </w:p>
    <w:p w:rsidR="003F2B0C" w:rsidRDefault="003F2B0C" w:rsidP="003F2B0C">
      <w:r w:rsidRPr="007C0602">
        <w:rPr>
          <w:iCs/>
        </w:rPr>
        <w:t xml:space="preserve">Wśród </w:t>
      </w:r>
      <w:r>
        <w:rPr>
          <w:iCs/>
        </w:rPr>
        <w:t>p</w:t>
      </w:r>
      <w:r w:rsidRPr="007C0602">
        <w:rPr>
          <w:iCs/>
        </w:rPr>
        <w:t xml:space="preserve">olskich obszarów funkcjonalnych największy przyrost ludności prognozuje się </w:t>
      </w:r>
      <w:r w:rsidRPr="0036674F">
        <w:t>w</w:t>
      </w:r>
      <w:r>
        <w:t> </w:t>
      </w:r>
      <w:r w:rsidRPr="0036674F">
        <w:t>Metropolii</w:t>
      </w:r>
      <w:r>
        <w:rPr>
          <w:iCs/>
        </w:rPr>
        <w:t xml:space="preserve"> Krakowskiej - do roku 2030 liczba ludności może wzrosnąć o 4,06%, do roku 2040 o 5,72%, do roku 2050 o 6,59%, a do roku 2060 – 5,93%. W Metropolii Poznańskiej jako jedynej w roku 2060 może wystąpić spadek liczby ludności – 1,58%. We Wrocławskim Obszarze Funkcjonalnym liczba ludności będzie stabilnie przyrastała o około 3-4,77% </w:t>
      </w:r>
    </w:p>
    <w:p w:rsidR="003F2B0C" w:rsidRDefault="003F2B0C" w:rsidP="003F2B0C">
      <w:pPr>
        <w:pStyle w:val="Legenda"/>
        <w:rPr>
          <w:b/>
          <w:bCs/>
          <w:color w:val="FFC000"/>
        </w:rPr>
      </w:pPr>
      <w:bookmarkStart w:id="77" w:name="_Toc196867062"/>
      <w:bookmarkStart w:id="78" w:name="_Toc196905074"/>
      <w:r>
        <w:t xml:space="preserve">Tabela </w:t>
      </w:r>
      <w:fldSimple w:instr=" SEQ Tabela \* ARABIC ">
        <w:r w:rsidR="0084338D">
          <w:rPr>
            <w:noProof/>
          </w:rPr>
          <w:t>10</w:t>
        </w:r>
      </w:fldSimple>
      <w:r>
        <w:t>. Prognozy ludności od roku bazowego 2023 do lat 2030, 2040,2050, 2060.</w:t>
      </w:r>
      <w:bookmarkEnd w:id="77"/>
      <w:bookmarkEnd w:id="78"/>
      <w:r>
        <w:t xml:space="preserve"> </w:t>
      </w:r>
    </w:p>
    <w:tbl>
      <w:tblPr>
        <w:tblW w:w="8924" w:type="dxa"/>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CellMar>
          <w:left w:w="70" w:type="dxa"/>
          <w:right w:w="70" w:type="dxa"/>
        </w:tblCellMar>
        <w:tblLook w:val="04A0"/>
      </w:tblPr>
      <w:tblGrid>
        <w:gridCol w:w="1236"/>
        <w:gridCol w:w="964"/>
        <w:gridCol w:w="965"/>
        <w:gridCol w:w="736"/>
        <w:gridCol w:w="967"/>
        <w:gridCol w:w="736"/>
        <w:gridCol w:w="953"/>
        <w:gridCol w:w="736"/>
        <w:gridCol w:w="895"/>
        <w:gridCol w:w="736"/>
      </w:tblGrid>
      <w:tr w:rsidR="003F2B0C" w:rsidRPr="00941D29" w:rsidTr="0084338D">
        <w:trPr>
          <w:trHeight w:val="320"/>
        </w:trPr>
        <w:tc>
          <w:tcPr>
            <w:tcW w:w="1236" w:type="dxa"/>
            <w:shd w:val="clear" w:color="auto" w:fill="FFC000"/>
            <w:noWrap/>
            <w:vAlign w:val="center"/>
            <w:hideMark/>
          </w:tcPr>
          <w:p w:rsidR="003F2B0C" w:rsidRPr="00941D29" w:rsidRDefault="003F2B0C" w:rsidP="0084338D">
            <w:pPr>
              <w:spacing w:after="0" w:line="240" w:lineRule="auto"/>
              <w:jc w:val="center"/>
              <w:rPr>
                <w:rFonts w:eastAsia="Times New Roman" w:cs="Times New Roman"/>
                <w:b/>
                <w:bCs/>
                <w:kern w:val="0"/>
                <w:sz w:val="18"/>
                <w:szCs w:val="18"/>
                <w:lang w:eastAsia="pl-PL"/>
              </w:rPr>
            </w:pPr>
          </w:p>
        </w:tc>
        <w:tc>
          <w:tcPr>
            <w:tcW w:w="964" w:type="dxa"/>
            <w:shd w:val="clear" w:color="auto" w:fill="FFC000"/>
            <w:noWrap/>
            <w:vAlign w:val="center"/>
            <w:hideMark/>
          </w:tcPr>
          <w:p w:rsidR="003F2B0C" w:rsidRPr="00941D29" w:rsidRDefault="003F2B0C" w:rsidP="0084338D">
            <w:pPr>
              <w:spacing w:after="0" w:line="240" w:lineRule="auto"/>
              <w:jc w:val="center"/>
              <w:rPr>
                <w:rFonts w:eastAsia="Times New Roman" w:cs="Calibri"/>
                <w:b/>
                <w:bCs/>
                <w:color w:val="000000"/>
                <w:kern w:val="0"/>
                <w:sz w:val="18"/>
                <w:szCs w:val="18"/>
                <w:lang w:eastAsia="pl-PL"/>
              </w:rPr>
            </w:pPr>
            <w:r w:rsidRPr="00941D29">
              <w:rPr>
                <w:rFonts w:eastAsia="Times New Roman" w:cs="Calibri"/>
                <w:b/>
                <w:bCs/>
                <w:color w:val="000000"/>
                <w:kern w:val="0"/>
                <w:sz w:val="18"/>
                <w:szCs w:val="18"/>
                <w:lang w:eastAsia="pl-PL"/>
              </w:rPr>
              <w:t>2023</w:t>
            </w:r>
            <w:r>
              <w:rPr>
                <w:rFonts w:eastAsia="Times New Roman" w:cs="Calibri"/>
                <w:b/>
                <w:bCs/>
                <w:color w:val="000000"/>
                <w:kern w:val="0"/>
                <w:sz w:val="18"/>
                <w:szCs w:val="18"/>
                <w:lang w:eastAsia="pl-PL"/>
              </w:rPr>
              <w:t xml:space="preserve"> rok bazowy</w:t>
            </w:r>
          </w:p>
        </w:tc>
        <w:tc>
          <w:tcPr>
            <w:tcW w:w="965" w:type="dxa"/>
            <w:shd w:val="clear" w:color="auto" w:fill="FFC000"/>
            <w:noWrap/>
            <w:vAlign w:val="center"/>
            <w:hideMark/>
          </w:tcPr>
          <w:p w:rsidR="003F2B0C" w:rsidRPr="00941D29" w:rsidRDefault="003F2B0C" w:rsidP="0084338D">
            <w:pPr>
              <w:spacing w:after="0" w:line="240" w:lineRule="auto"/>
              <w:jc w:val="center"/>
              <w:rPr>
                <w:rFonts w:eastAsia="Times New Roman" w:cs="Calibri"/>
                <w:b/>
                <w:bCs/>
                <w:color w:val="000000"/>
                <w:kern w:val="0"/>
                <w:sz w:val="18"/>
                <w:szCs w:val="18"/>
                <w:lang w:eastAsia="pl-PL"/>
              </w:rPr>
            </w:pPr>
            <w:r w:rsidRPr="00941D29">
              <w:rPr>
                <w:rFonts w:eastAsia="Times New Roman" w:cs="Calibri"/>
                <w:b/>
                <w:bCs/>
                <w:color w:val="000000"/>
                <w:kern w:val="0"/>
                <w:sz w:val="18"/>
                <w:szCs w:val="18"/>
                <w:lang w:eastAsia="pl-PL"/>
              </w:rPr>
              <w:t>2030</w:t>
            </w:r>
          </w:p>
        </w:tc>
        <w:tc>
          <w:tcPr>
            <w:tcW w:w="736" w:type="dxa"/>
            <w:shd w:val="clear" w:color="auto" w:fill="FFC000"/>
            <w:noWrap/>
            <w:vAlign w:val="center"/>
            <w:hideMark/>
          </w:tcPr>
          <w:p w:rsidR="003F2B0C" w:rsidRPr="00941D29" w:rsidRDefault="003F2B0C" w:rsidP="0084338D">
            <w:pPr>
              <w:spacing w:after="0" w:line="240" w:lineRule="auto"/>
              <w:jc w:val="center"/>
              <w:rPr>
                <w:rFonts w:eastAsia="Times New Roman" w:cs="Calibri"/>
                <w:b/>
                <w:bCs/>
                <w:kern w:val="0"/>
                <w:sz w:val="18"/>
                <w:szCs w:val="18"/>
                <w:lang w:eastAsia="pl-PL"/>
              </w:rPr>
            </w:pPr>
            <w:r w:rsidRPr="00941D29">
              <w:rPr>
                <w:rFonts w:eastAsia="Times New Roman" w:cs="Calibri"/>
                <w:b/>
                <w:bCs/>
                <w:kern w:val="0"/>
                <w:sz w:val="18"/>
                <w:szCs w:val="18"/>
                <w:lang w:eastAsia="pl-PL"/>
              </w:rPr>
              <w:t>zmiana w %</w:t>
            </w:r>
          </w:p>
        </w:tc>
        <w:tc>
          <w:tcPr>
            <w:tcW w:w="967" w:type="dxa"/>
            <w:shd w:val="clear" w:color="auto" w:fill="FFC000"/>
            <w:noWrap/>
            <w:vAlign w:val="center"/>
            <w:hideMark/>
          </w:tcPr>
          <w:p w:rsidR="003F2B0C" w:rsidRPr="00941D29" w:rsidRDefault="003F2B0C" w:rsidP="0084338D">
            <w:pPr>
              <w:spacing w:after="0" w:line="240" w:lineRule="auto"/>
              <w:jc w:val="center"/>
              <w:rPr>
                <w:rFonts w:eastAsia="Times New Roman" w:cs="Calibri"/>
                <w:b/>
                <w:bCs/>
                <w:color w:val="000000"/>
                <w:kern w:val="0"/>
                <w:sz w:val="18"/>
                <w:szCs w:val="18"/>
                <w:lang w:eastAsia="pl-PL"/>
              </w:rPr>
            </w:pPr>
            <w:r w:rsidRPr="00941D29">
              <w:rPr>
                <w:rFonts w:eastAsia="Times New Roman" w:cs="Calibri"/>
                <w:b/>
                <w:bCs/>
                <w:color w:val="000000"/>
                <w:kern w:val="0"/>
                <w:sz w:val="18"/>
                <w:szCs w:val="18"/>
                <w:lang w:eastAsia="pl-PL"/>
              </w:rPr>
              <w:t>2040</w:t>
            </w:r>
          </w:p>
        </w:tc>
        <w:tc>
          <w:tcPr>
            <w:tcW w:w="736" w:type="dxa"/>
            <w:shd w:val="clear" w:color="auto" w:fill="FFC000"/>
            <w:noWrap/>
            <w:vAlign w:val="center"/>
            <w:hideMark/>
          </w:tcPr>
          <w:p w:rsidR="003F2B0C" w:rsidRPr="00941D29" w:rsidRDefault="003F2B0C" w:rsidP="0084338D">
            <w:pPr>
              <w:spacing w:after="0" w:line="240" w:lineRule="auto"/>
              <w:jc w:val="center"/>
              <w:rPr>
                <w:rFonts w:eastAsia="Times New Roman" w:cs="Calibri"/>
                <w:b/>
                <w:bCs/>
                <w:kern w:val="0"/>
                <w:sz w:val="18"/>
                <w:szCs w:val="18"/>
                <w:lang w:eastAsia="pl-PL"/>
              </w:rPr>
            </w:pPr>
            <w:r w:rsidRPr="00941D29">
              <w:rPr>
                <w:rFonts w:eastAsia="Times New Roman" w:cs="Calibri"/>
                <w:b/>
                <w:bCs/>
                <w:kern w:val="0"/>
                <w:sz w:val="18"/>
                <w:szCs w:val="18"/>
                <w:lang w:eastAsia="pl-PL"/>
              </w:rPr>
              <w:t>zmiana w %</w:t>
            </w:r>
          </w:p>
        </w:tc>
        <w:tc>
          <w:tcPr>
            <w:tcW w:w="953" w:type="dxa"/>
            <w:shd w:val="clear" w:color="auto" w:fill="FFC000"/>
            <w:noWrap/>
            <w:vAlign w:val="center"/>
            <w:hideMark/>
          </w:tcPr>
          <w:p w:rsidR="003F2B0C" w:rsidRPr="00941D29" w:rsidRDefault="003F2B0C" w:rsidP="0084338D">
            <w:pPr>
              <w:spacing w:after="0" w:line="240" w:lineRule="auto"/>
              <w:jc w:val="center"/>
              <w:rPr>
                <w:rFonts w:eastAsia="Times New Roman" w:cs="Calibri"/>
                <w:b/>
                <w:bCs/>
                <w:color w:val="000000"/>
                <w:kern w:val="0"/>
                <w:sz w:val="18"/>
                <w:szCs w:val="18"/>
                <w:lang w:eastAsia="pl-PL"/>
              </w:rPr>
            </w:pPr>
            <w:r w:rsidRPr="00941D29">
              <w:rPr>
                <w:rFonts w:eastAsia="Times New Roman" w:cs="Calibri"/>
                <w:b/>
                <w:bCs/>
                <w:color w:val="000000"/>
                <w:kern w:val="0"/>
                <w:sz w:val="18"/>
                <w:szCs w:val="18"/>
                <w:lang w:eastAsia="pl-PL"/>
              </w:rPr>
              <w:t>2050</w:t>
            </w:r>
          </w:p>
        </w:tc>
        <w:tc>
          <w:tcPr>
            <w:tcW w:w="736" w:type="dxa"/>
            <w:shd w:val="clear" w:color="auto" w:fill="FFC000"/>
            <w:noWrap/>
            <w:vAlign w:val="center"/>
            <w:hideMark/>
          </w:tcPr>
          <w:p w:rsidR="003F2B0C" w:rsidRPr="00941D29" w:rsidRDefault="003F2B0C" w:rsidP="0084338D">
            <w:pPr>
              <w:spacing w:after="0" w:line="240" w:lineRule="auto"/>
              <w:jc w:val="center"/>
              <w:rPr>
                <w:rFonts w:eastAsia="Times New Roman" w:cs="Calibri"/>
                <w:b/>
                <w:bCs/>
                <w:kern w:val="0"/>
                <w:sz w:val="18"/>
                <w:szCs w:val="18"/>
                <w:lang w:eastAsia="pl-PL"/>
              </w:rPr>
            </w:pPr>
            <w:r w:rsidRPr="00941D29">
              <w:rPr>
                <w:rFonts w:eastAsia="Times New Roman" w:cs="Calibri"/>
                <w:b/>
                <w:bCs/>
                <w:kern w:val="0"/>
                <w:sz w:val="18"/>
                <w:szCs w:val="18"/>
                <w:lang w:eastAsia="pl-PL"/>
              </w:rPr>
              <w:t>zmiana w %</w:t>
            </w:r>
          </w:p>
        </w:tc>
        <w:tc>
          <w:tcPr>
            <w:tcW w:w="895" w:type="dxa"/>
            <w:shd w:val="clear" w:color="auto" w:fill="FFC000"/>
            <w:noWrap/>
            <w:vAlign w:val="center"/>
            <w:hideMark/>
          </w:tcPr>
          <w:p w:rsidR="003F2B0C" w:rsidRPr="00941D29" w:rsidRDefault="003F2B0C" w:rsidP="0084338D">
            <w:pPr>
              <w:spacing w:after="0" w:line="240" w:lineRule="auto"/>
              <w:jc w:val="center"/>
              <w:rPr>
                <w:rFonts w:eastAsia="Times New Roman" w:cs="Calibri"/>
                <w:b/>
                <w:bCs/>
                <w:color w:val="000000"/>
                <w:kern w:val="0"/>
                <w:sz w:val="18"/>
                <w:szCs w:val="18"/>
                <w:lang w:eastAsia="pl-PL"/>
              </w:rPr>
            </w:pPr>
            <w:r w:rsidRPr="00941D29">
              <w:rPr>
                <w:rFonts w:eastAsia="Times New Roman" w:cs="Calibri"/>
                <w:b/>
                <w:bCs/>
                <w:color w:val="000000"/>
                <w:kern w:val="0"/>
                <w:sz w:val="18"/>
                <w:szCs w:val="18"/>
                <w:lang w:eastAsia="pl-PL"/>
              </w:rPr>
              <w:t>20</w:t>
            </w:r>
            <w:r>
              <w:rPr>
                <w:rFonts w:eastAsia="Times New Roman" w:cs="Calibri"/>
                <w:b/>
                <w:bCs/>
                <w:color w:val="000000"/>
                <w:kern w:val="0"/>
                <w:sz w:val="18"/>
                <w:szCs w:val="18"/>
                <w:lang w:eastAsia="pl-PL"/>
              </w:rPr>
              <w:t>6</w:t>
            </w:r>
            <w:r w:rsidRPr="00941D29">
              <w:rPr>
                <w:rFonts w:eastAsia="Times New Roman" w:cs="Calibri"/>
                <w:b/>
                <w:bCs/>
                <w:color w:val="000000"/>
                <w:kern w:val="0"/>
                <w:sz w:val="18"/>
                <w:szCs w:val="18"/>
                <w:lang w:eastAsia="pl-PL"/>
              </w:rPr>
              <w:t>0</w:t>
            </w:r>
          </w:p>
        </w:tc>
        <w:tc>
          <w:tcPr>
            <w:tcW w:w="736" w:type="dxa"/>
            <w:shd w:val="clear" w:color="auto" w:fill="FFC000"/>
            <w:noWrap/>
            <w:vAlign w:val="center"/>
            <w:hideMark/>
          </w:tcPr>
          <w:p w:rsidR="003F2B0C" w:rsidRPr="00941D29" w:rsidRDefault="003F2B0C" w:rsidP="0084338D">
            <w:pPr>
              <w:spacing w:after="0" w:line="240" w:lineRule="auto"/>
              <w:jc w:val="center"/>
              <w:rPr>
                <w:rFonts w:eastAsia="Times New Roman" w:cs="Calibri"/>
                <w:b/>
                <w:bCs/>
                <w:kern w:val="0"/>
                <w:sz w:val="18"/>
                <w:szCs w:val="18"/>
                <w:lang w:eastAsia="pl-PL"/>
              </w:rPr>
            </w:pPr>
            <w:r w:rsidRPr="00941D29">
              <w:rPr>
                <w:rFonts w:eastAsia="Times New Roman" w:cs="Calibri"/>
                <w:b/>
                <w:bCs/>
                <w:kern w:val="0"/>
                <w:sz w:val="18"/>
                <w:szCs w:val="18"/>
                <w:lang w:eastAsia="pl-PL"/>
              </w:rPr>
              <w:t>zmiana w %</w:t>
            </w:r>
          </w:p>
        </w:tc>
      </w:tr>
      <w:tr w:rsidR="003F2B0C" w:rsidRPr="00941D29" w:rsidTr="0084338D">
        <w:trPr>
          <w:trHeight w:val="320"/>
        </w:trPr>
        <w:tc>
          <w:tcPr>
            <w:tcW w:w="1236" w:type="dxa"/>
            <w:shd w:val="clear" w:color="auto" w:fill="auto"/>
            <w:vAlign w:val="bottom"/>
            <w:hideMark/>
          </w:tcPr>
          <w:p w:rsidR="003F2B0C" w:rsidRPr="00941D29" w:rsidRDefault="003F2B0C" w:rsidP="0084338D">
            <w:pPr>
              <w:spacing w:after="0" w:line="240" w:lineRule="auto"/>
              <w:jc w:val="left"/>
              <w:rPr>
                <w:rFonts w:eastAsia="Times New Roman" w:cs="Calibri"/>
                <w:kern w:val="0"/>
                <w:sz w:val="18"/>
                <w:szCs w:val="18"/>
                <w:lang w:eastAsia="pl-PL"/>
              </w:rPr>
            </w:pPr>
            <w:r w:rsidRPr="00941D29">
              <w:rPr>
                <w:rFonts w:eastAsia="Times New Roman" w:cs="Calibri"/>
                <w:kern w:val="0"/>
                <w:sz w:val="18"/>
                <w:szCs w:val="18"/>
                <w:lang w:eastAsia="pl-PL"/>
              </w:rPr>
              <w:t>Wrocławski Obszar Funkcjonalny</w:t>
            </w:r>
          </w:p>
        </w:tc>
        <w:tc>
          <w:tcPr>
            <w:tcW w:w="964" w:type="dxa"/>
            <w:shd w:val="clear" w:color="auto" w:fill="auto"/>
            <w:noWrap/>
            <w:vAlign w:val="center"/>
            <w:hideMark/>
          </w:tcPr>
          <w:p w:rsidR="003F2B0C" w:rsidRPr="00941D29" w:rsidRDefault="003F2B0C" w:rsidP="0084338D">
            <w:pPr>
              <w:spacing w:after="0" w:line="240" w:lineRule="auto"/>
              <w:jc w:val="center"/>
              <w:rPr>
                <w:rFonts w:eastAsia="Times New Roman" w:cs="Calibri"/>
                <w:kern w:val="0"/>
                <w:sz w:val="18"/>
                <w:szCs w:val="18"/>
                <w:lang w:eastAsia="pl-PL"/>
              </w:rPr>
            </w:pPr>
            <w:r w:rsidRPr="00941D29">
              <w:rPr>
                <w:rFonts w:eastAsia="Times New Roman" w:cs="Calibri"/>
                <w:kern w:val="0"/>
                <w:sz w:val="18"/>
                <w:szCs w:val="18"/>
                <w:lang w:eastAsia="pl-PL"/>
              </w:rPr>
              <w:t>1 070 086</w:t>
            </w:r>
          </w:p>
        </w:tc>
        <w:tc>
          <w:tcPr>
            <w:tcW w:w="965" w:type="dxa"/>
            <w:shd w:val="clear" w:color="auto" w:fill="auto"/>
            <w:noWrap/>
            <w:vAlign w:val="center"/>
            <w:hideMark/>
          </w:tcPr>
          <w:p w:rsidR="003F2B0C" w:rsidRPr="00941D29" w:rsidRDefault="003F2B0C" w:rsidP="0084338D">
            <w:pPr>
              <w:spacing w:after="0" w:line="240" w:lineRule="auto"/>
              <w:jc w:val="center"/>
              <w:rPr>
                <w:rFonts w:eastAsia="Times New Roman" w:cs="Calibri"/>
                <w:kern w:val="0"/>
                <w:sz w:val="18"/>
                <w:szCs w:val="18"/>
                <w:lang w:eastAsia="pl-PL"/>
              </w:rPr>
            </w:pPr>
            <w:r w:rsidRPr="00941D29">
              <w:rPr>
                <w:rFonts w:eastAsia="Times New Roman" w:cs="Calibri"/>
                <w:kern w:val="0"/>
                <w:sz w:val="18"/>
                <w:szCs w:val="18"/>
                <w:lang w:eastAsia="pl-PL"/>
              </w:rPr>
              <w:t>1 113 793</w:t>
            </w:r>
          </w:p>
        </w:tc>
        <w:tc>
          <w:tcPr>
            <w:tcW w:w="736" w:type="dxa"/>
            <w:shd w:val="clear" w:color="auto" w:fill="auto"/>
            <w:noWrap/>
            <w:vAlign w:val="center"/>
            <w:hideMark/>
          </w:tcPr>
          <w:p w:rsidR="003F2B0C" w:rsidRPr="00941D29" w:rsidRDefault="003F2B0C" w:rsidP="0084338D">
            <w:pPr>
              <w:spacing w:after="0" w:line="240" w:lineRule="auto"/>
              <w:jc w:val="center"/>
              <w:rPr>
                <w:rFonts w:eastAsia="Times New Roman" w:cs="Calibri"/>
                <w:kern w:val="0"/>
                <w:sz w:val="18"/>
                <w:szCs w:val="18"/>
                <w:lang w:eastAsia="pl-PL"/>
              </w:rPr>
            </w:pPr>
            <w:r w:rsidRPr="00941D29">
              <w:rPr>
                <w:rFonts w:eastAsia="Times New Roman" w:cs="Calibri"/>
                <w:kern w:val="0"/>
                <w:sz w:val="18"/>
                <w:szCs w:val="18"/>
                <w:lang w:eastAsia="pl-PL"/>
              </w:rPr>
              <w:t>4,08</w:t>
            </w:r>
          </w:p>
        </w:tc>
        <w:tc>
          <w:tcPr>
            <w:tcW w:w="967" w:type="dxa"/>
            <w:shd w:val="clear" w:color="auto" w:fill="auto"/>
            <w:noWrap/>
            <w:vAlign w:val="center"/>
            <w:hideMark/>
          </w:tcPr>
          <w:p w:rsidR="003F2B0C" w:rsidRPr="00941D29" w:rsidRDefault="003F2B0C" w:rsidP="0084338D">
            <w:pPr>
              <w:spacing w:after="0" w:line="240" w:lineRule="auto"/>
              <w:jc w:val="center"/>
              <w:rPr>
                <w:rFonts w:eastAsia="Times New Roman" w:cs="Calibri"/>
                <w:kern w:val="0"/>
                <w:sz w:val="18"/>
                <w:szCs w:val="18"/>
                <w:lang w:eastAsia="pl-PL"/>
              </w:rPr>
            </w:pPr>
            <w:r w:rsidRPr="00941D29">
              <w:rPr>
                <w:rFonts w:eastAsia="Times New Roman" w:cs="Calibri"/>
                <w:kern w:val="0"/>
                <w:sz w:val="18"/>
                <w:szCs w:val="18"/>
                <w:lang w:eastAsia="pl-PL"/>
              </w:rPr>
              <w:t>1</w:t>
            </w:r>
            <w:r>
              <w:rPr>
                <w:rFonts w:eastAsia="Times New Roman" w:cs="Calibri"/>
                <w:kern w:val="0"/>
                <w:sz w:val="18"/>
                <w:szCs w:val="18"/>
                <w:lang w:eastAsia="pl-PL"/>
              </w:rPr>
              <w:t> </w:t>
            </w:r>
            <w:r w:rsidRPr="00941D29">
              <w:rPr>
                <w:rFonts w:eastAsia="Times New Roman" w:cs="Calibri"/>
                <w:kern w:val="0"/>
                <w:sz w:val="18"/>
                <w:szCs w:val="18"/>
                <w:lang w:eastAsia="pl-PL"/>
              </w:rPr>
              <w:t>121088</w:t>
            </w:r>
          </w:p>
        </w:tc>
        <w:tc>
          <w:tcPr>
            <w:tcW w:w="736" w:type="dxa"/>
            <w:shd w:val="clear" w:color="auto" w:fill="auto"/>
            <w:noWrap/>
            <w:vAlign w:val="center"/>
            <w:hideMark/>
          </w:tcPr>
          <w:p w:rsidR="003F2B0C" w:rsidRPr="00941D29" w:rsidRDefault="003F2B0C" w:rsidP="0084338D">
            <w:pPr>
              <w:spacing w:after="0" w:line="240" w:lineRule="auto"/>
              <w:jc w:val="center"/>
              <w:rPr>
                <w:rFonts w:eastAsia="Times New Roman" w:cs="Calibri"/>
                <w:kern w:val="0"/>
                <w:sz w:val="18"/>
                <w:szCs w:val="18"/>
                <w:lang w:eastAsia="pl-PL"/>
              </w:rPr>
            </w:pPr>
            <w:r w:rsidRPr="00941D29">
              <w:rPr>
                <w:rFonts w:eastAsia="Times New Roman" w:cs="Calibri"/>
                <w:kern w:val="0"/>
                <w:sz w:val="18"/>
                <w:szCs w:val="18"/>
                <w:lang w:eastAsia="pl-PL"/>
              </w:rPr>
              <w:t>4,77</w:t>
            </w:r>
          </w:p>
        </w:tc>
        <w:tc>
          <w:tcPr>
            <w:tcW w:w="953" w:type="dxa"/>
            <w:shd w:val="clear" w:color="auto" w:fill="auto"/>
            <w:noWrap/>
            <w:vAlign w:val="center"/>
            <w:hideMark/>
          </w:tcPr>
          <w:p w:rsidR="003F2B0C" w:rsidRPr="00941D29" w:rsidRDefault="003F2B0C" w:rsidP="0084338D">
            <w:pPr>
              <w:spacing w:after="0" w:line="240" w:lineRule="auto"/>
              <w:jc w:val="center"/>
              <w:rPr>
                <w:rFonts w:eastAsia="Times New Roman" w:cs="Calibri"/>
                <w:kern w:val="0"/>
                <w:sz w:val="18"/>
                <w:szCs w:val="18"/>
                <w:lang w:eastAsia="pl-PL"/>
              </w:rPr>
            </w:pPr>
            <w:r w:rsidRPr="00941D29">
              <w:rPr>
                <w:rFonts w:eastAsia="Times New Roman" w:cs="Calibri"/>
                <w:kern w:val="0"/>
                <w:sz w:val="18"/>
                <w:szCs w:val="18"/>
                <w:lang w:eastAsia="pl-PL"/>
              </w:rPr>
              <w:t>1</w:t>
            </w:r>
            <w:r>
              <w:rPr>
                <w:rFonts w:eastAsia="Times New Roman" w:cs="Calibri"/>
                <w:kern w:val="0"/>
                <w:sz w:val="18"/>
                <w:szCs w:val="18"/>
                <w:lang w:eastAsia="pl-PL"/>
              </w:rPr>
              <w:t> </w:t>
            </w:r>
            <w:r w:rsidRPr="00941D29">
              <w:rPr>
                <w:rFonts w:eastAsia="Times New Roman" w:cs="Calibri"/>
                <w:kern w:val="0"/>
                <w:sz w:val="18"/>
                <w:szCs w:val="18"/>
                <w:lang w:eastAsia="pl-PL"/>
              </w:rPr>
              <w:t>119948</w:t>
            </w:r>
          </w:p>
        </w:tc>
        <w:tc>
          <w:tcPr>
            <w:tcW w:w="736" w:type="dxa"/>
            <w:shd w:val="clear" w:color="auto" w:fill="auto"/>
            <w:noWrap/>
            <w:vAlign w:val="center"/>
            <w:hideMark/>
          </w:tcPr>
          <w:p w:rsidR="003F2B0C" w:rsidRPr="00941D29" w:rsidRDefault="003F2B0C" w:rsidP="0084338D">
            <w:pPr>
              <w:spacing w:after="0" w:line="240" w:lineRule="auto"/>
              <w:jc w:val="center"/>
              <w:rPr>
                <w:rFonts w:eastAsia="Times New Roman" w:cs="Calibri"/>
                <w:kern w:val="0"/>
                <w:sz w:val="18"/>
                <w:szCs w:val="18"/>
                <w:lang w:eastAsia="pl-PL"/>
              </w:rPr>
            </w:pPr>
            <w:r w:rsidRPr="00941D29">
              <w:rPr>
                <w:rFonts w:eastAsia="Times New Roman" w:cs="Calibri"/>
                <w:kern w:val="0"/>
                <w:sz w:val="18"/>
                <w:szCs w:val="18"/>
                <w:lang w:eastAsia="pl-PL"/>
              </w:rPr>
              <w:t>4,66</w:t>
            </w:r>
          </w:p>
        </w:tc>
        <w:tc>
          <w:tcPr>
            <w:tcW w:w="895" w:type="dxa"/>
            <w:shd w:val="clear" w:color="auto" w:fill="auto"/>
            <w:noWrap/>
            <w:vAlign w:val="center"/>
            <w:hideMark/>
          </w:tcPr>
          <w:p w:rsidR="003F2B0C" w:rsidRPr="00941D29" w:rsidRDefault="003F2B0C" w:rsidP="0084338D">
            <w:pPr>
              <w:spacing w:after="0" w:line="240" w:lineRule="auto"/>
              <w:jc w:val="center"/>
              <w:rPr>
                <w:rFonts w:eastAsia="Times New Roman" w:cs="Calibri"/>
                <w:kern w:val="0"/>
                <w:sz w:val="18"/>
                <w:szCs w:val="18"/>
                <w:lang w:eastAsia="pl-PL"/>
              </w:rPr>
            </w:pPr>
            <w:r w:rsidRPr="00941D29">
              <w:rPr>
                <w:rFonts w:eastAsia="Times New Roman" w:cs="Calibri"/>
                <w:kern w:val="0"/>
                <w:sz w:val="18"/>
                <w:szCs w:val="18"/>
                <w:lang w:eastAsia="pl-PL"/>
              </w:rPr>
              <w:t>1 103 023</w:t>
            </w:r>
          </w:p>
        </w:tc>
        <w:tc>
          <w:tcPr>
            <w:tcW w:w="736" w:type="dxa"/>
            <w:shd w:val="clear" w:color="auto" w:fill="auto"/>
            <w:noWrap/>
            <w:vAlign w:val="center"/>
            <w:hideMark/>
          </w:tcPr>
          <w:p w:rsidR="003F2B0C" w:rsidRPr="00941D29" w:rsidRDefault="003F2B0C" w:rsidP="0084338D">
            <w:pPr>
              <w:spacing w:after="0" w:line="240" w:lineRule="auto"/>
              <w:jc w:val="center"/>
              <w:rPr>
                <w:rFonts w:eastAsia="Times New Roman" w:cs="Calibri"/>
                <w:kern w:val="0"/>
                <w:sz w:val="18"/>
                <w:szCs w:val="18"/>
                <w:lang w:eastAsia="pl-PL"/>
              </w:rPr>
            </w:pPr>
            <w:r w:rsidRPr="00941D29">
              <w:rPr>
                <w:rFonts w:eastAsia="Times New Roman" w:cs="Calibri"/>
                <w:kern w:val="0"/>
                <w:sz w:val="18"/>
                <w:szCs w:val="18"/>
                <w:lang w:eastAsia="pl-PL"/>
              </w:rPr>
              <w:t>3,08</w:t>
            </w:r>
          </w:p>
        </w:tc>
      </w:tr>
      <w:tr w:rsidR="003F2B0C" w:rsidRPr="00941D29" w:rsidTr="0084338D">
        <w:trPr>
          <w:trHeight w:val="320"/>
        </w:trPr>
        <w:tc>
          <w:tcPr>
            <w:tcW w:w="1236" w:type="dxa"/>
            <w:shd w:val="clear" w:color="auto" w:fill="auto"/>
            <w:vAlign w:val="bottom"/>
            <w:hideMark/>
          </w:tcPr>
          <w:p w:rsidR="003F2B0C" w:rsidRPr="00941D29" w:rsidRDefault="003F2B0C" w:rsidP="0084338D">
            <w:pPr>
              <w:spacing w:after="0" w:line="240" w:lineRule="auto"/>
              <w:jc w:val="left"/>
              <w:rPr>
                <w:rFonts w:eastAsia="Times New Roman" w:cs="Calibri"/>
                <w:kern w:val="0"/>
                <w:sz w:val="18"/>
                <w:szCs w:val="18"/>
                <w:lang w:eastAsia="pl-PL"/>
              </w:rPr>
            </w:pPr>
            <w:r w:rsidRPr="00941D29">
              <w:rPr>
                <w:rFonts w:eastAsia="Times New Roman" w:cs="Calibri"/>
                <w:kern w:val="0"/>
                <w:sz w:val="18"/>
                <w:szCs w:val="18"/>
                <w:lang w:eastAsia="pl-PL"/>
              </w:rPr>
              <w:t>Metropolia Krakowska</w:t>
            </w:r>
          </w:p>
        </w:tc>
        <w:tc>
          <w:tcPr>
            <w:tcW w:w="964" w:type="dxa"/>
            <w:shd w:val="clear" w:color="auto" w:fill="auto"/>
            <w:noWrap/>
            <w:vAlign w:val="center"/>
            <w:hideMark/>
          </w:tcPr>
          <w:p w:rsidR="003F2B0C" w:rsidRPr="00941D29" w:rsidRDefault="003F2B0C" w:rsidP="0084338D">
            <w:pPr>
              <w:spacing w:after="0" w:line="240" w:lineRule="auto"/>
              <w:jc w:val="center"/>
              <w:rPr>
                <w:rFonts w:eastAsia="Times New Roman" w:cs="Calibri"/>
                <w:kern w:val="0"/>
                <w:sz w:val="18"/>
                <w:szCs w:val="18"/>
                <w:lang w:eastAsia="pl-PL"/>
              </w:rPr>
            </w:pPr>
            <w:r w:rsidRPr="00941D29">
              <w:rPr>
                <w:rFonts w:eastAsia="Times New Roman" w:cs="Calibri"/>
                <w:kern w:val="0"/>
                <w:sz w:val="18"/>
                <w:szCs w:val="18"/>
                <w:lang w:eastAsia="pl-PL"/>
              </w:rPr>
              <w:t>1 138 436</w:t>
            </w:r>
          </w:p>
        </w:tc>
        <w:tc>
          <w:tcPr>
            <w:tcW w:w="965" w:type="dxa"/>
            <w:shd w:val="clear" w:color="auto" w:fill="auto"/>
            <w:noWrap/>
            <w:vAlign w:val="center"/>
            <w:hideMark/>
          </w:tcPr>
          <w:p w:rsidR="003F2B0C" w:rsidRPr="00941D29" w:rsidRDefault="003F2B0C" w:rsidP="0084338D">
            <w:pPr>
              <w:spacing w:after="0" w:line="240" w:lineRule="auto"/>
              <w:jc w:val="center"/>
              <w:rPr>
                <w:rFonts w:eastAsia="Times New Roman" w:cs="Calibri"/>
                <w:kern w:val="0"/>
                <w:sz w:val="18"/>
                <w:szCs w:val="18"/>
                <w:lang w:eastAsia="pl-PL"/>
              </w:rPr>
            </w:pPr>
            <w:r w:rsidRPr="00941D29">
              <w:rPr>
                <w:rFonts w:eastAsia="Times New Roman" w:cs="Calibri"/>
                <w:kern w:val="0"/>
                <w:sz w:val="18"/>
                <w:szCs w:val="18"/>
                <w:lang w:eastAsia="pl-PL"/>
              </w:rPr>
              <w:t>1 184 619</w:t>
            </w:r>
          </w:p>
        </w:tc>
        <w:tc>
          <w:tcPr>
            <w:tcW w:w="736" w:type="dxa"/>
            <w:shd w:val="clear" w:color="auto" w:fill="auto"/>
            <w:noWrap/>
            <w:vAlign w:val="center"/>
            <w:hideMark/>
          </w:tcPr>
          <w:p w:rsidR="003F2B0C" w:rsidRPr="00941D29" w:rsidRDefault="003F2B0C" w:rsidP="0084338D">
            <w:pPr>
              <w:spacing w:after="0" w:line="240" w:lineRule="auto"/>
              <w:jc w:val="center"/>
              <w:rPr>
                <w:rFonts w:eastAsia="Times New Roman" w:cs="Calibri"/>
                <w:kern w:val="0"/>
                <w:sz w:val="18"/>
                <w:szCs w:val="18"/>
                <w:lang w:eastAsia="pl-PL"/>
              </w:rPr>
            </w:pPr>
            <w:r w:rsidRPr="00941D29">
              <w:rPr>
                <w:rFonts w:eastAsia="Times New Roman" w:cs="Calibri"/>
                <w:kern w:val="0"/>
                <w:sz w:val="18"/>
                <w:szCs w:val="18"/>
                <w:lang w:eastAsia="pl-PL"/>
              </w:rPr>
              <w:t>4,06</w:t>
            </w:r>
          </w:p>
        </w:tc>
        <w:tc>
          <w:tcPr>
            <w:tcW w:w="967" w:type="dxa"/>
            <w:shd w:val="clear" w:color="auto" w:fill="auto"/>
            <w:noWrap/>
            <w:vAlign w:val="center"/>
            <w:hideMark/>
          </w:tcPr>
          <w:p w:rsidR="003F2B0C" w:rsidRPr="00941D29" w:rsidRDefault="003F2B0C" w:rsidP="0084338D">
            <w:pPr>
              <w:spacing w:after="0" w:line="240" w:lineRule="auto"/>
              <w:jc w:val="center"/>
              <w:rPr>
                <w:rFonts w:eastAsia="Times New Roman" w:cs="Calibri"/>
                <w:kern w:val="0"/>
                <w:sz w:val="18"/>
                <w:szCs w:val="18"/>
                <w:lang w:eastAsia="pl-PL"/>
              </w:rPr>
            </w:pPr>
            <w:r w:rsidRPr="00941D29">
              <w:rPr>
                <w:rFonts w:eastAsia="Times New Roman" w:cs="Calibri"/>
                <w:kern w:val="0"/>
                <w:sz w:val="18"/>
                <w:szCs w:val="18"/>
                <w:lang w:eastAsia="pl-PL"/>
              </w:rPr>
              <w:t>1</w:t>
            </w:r>
            <w:r>
              <w:rPr>
                <w:rFonts w:eastAsia="Times New Roman" w:cs="Calibri"/>
                <w:kern w:val="0"/>
                <w:sz w:val="18"/>
                <w:szCs w:val="18"/>
                <w:lang w:eastAsia="pl-PL"/>
              </w:rPr>
              <w:t> </w:t>
            </w:r>
            <w:r w:rsidRPr="00941D29">
              <w:rPr>
                <w:rFonts w:eastAsia="Times New Roman" w:cs="Calibri"/>
                <w:kern w:val="0"/>
                <w:sz w:val="18"/>
                <w:szCs w:val="18"/>
                <w:lang w:eastAsia="pl-PL"/>
              </w:rPr>
              <w:t>203523</w:t>
            </w:r>
          </w:p>
        </w:tc>
        <w:tc>
          <w:tcPr>
            <w:tcW w:w="736" w:type="dxa"/>
            <w:shd w:val="clear" w:color="auto" w:fill="auto"/>
            <w:noWrap/>
            <w:vAlign w:val="center"/>
            <w:hideMark/>
          </w:tcPr>
          <w:p w:rsidR="003F2B0C" w:rsidRPr="00941D29" w:rsidRDefault="003F2B0C" w:rsidP="0084338D">
            <w:pPr>
              <w:spacing w:after="0" w:line="240" w:lineRule="auto"/>
              <w:jc w:val="center"/>
              <w:rPr>
                <w:rFonts w:eastAsia="Times New Roman" w:cs="Calibri"/>
                <w:kern w:val="0"/>
                <w:sz w:val="18"/>
                <w:szCs w:val="18"/>
                <w:lang w:eastAsia="pl-PL"/>
              </w:rPr>
            </w:pPr>
            <w:r w:rsidRPr="00941D29">
              <w:rPr>
                <w:rFonts w:eastAsia="Times New Roman" w:cs="Calibri"/>
                <w:kern w:val="0"/>
                <w:sz w:val="18"/>
                <w:szCs w:val="18"/>
                <w:lang w:eastAsia="pl-PL"/>
              </w:rPr>
              <w:t>5,72</w:t>
            </w:r>
          </w:p>
        </w:tc>
        <w:tc>
          <w:tcPr>
            <w:tcW w:w="953" w:type="dxa"/>
            <w:shd w:val="clear" w:color="auto" w:fill="auto"/>
            <w:noWrap/>
            <w:vAlign w:val="center"/>
            <w:hideMark/>
          </w:tcPr>
          <w:p w:rsidR="003F2B0C" w:rsidRPr="00941D29" w:rsidRDefault="003F2B0C" w:rsidP="0084338D">
            <w:pPr>
              <w:spacing w:after="0" w:line="240" w:lineRule="auto"/>
              <w:jc w:val="center"/>
              <w:rPr>
                <w:rFonts w:eastAsia="Times New Roman" w:cs="Calibri"/>
                <w:kern w:val="0"/>
                <w:sz w:val="18"/>
                <w:szCs w:val="18"/>
                <w:lang w:eastAsia="pl-PL"/>
              </w:rPr>
            </w:pPr>
            <w:r w:rsidRPr="00941D29">
              <w:rPr>
                <w:rFonts w:eastAsia="Times New Roman" w:cs="Calibri"/>
                <w:kern w:val="0"/>
                <w:sz w:val="18"/>
                <w:szCs w:val="18"/>
                <w:lang w:eastAsia="pl-PL"/>
              </w:rPr>
              <w:t>1</w:t>
            </w:r>
            <w:r>
              <w:rPr>
                <w:rFonts w:eastAsia="Times New Roman" w:cs="Calibri"/>
                <w:kern w:val="0"/>
                <w:sz w:val="18"/>
                <w:szCs w:val="18"/>
                <w:lang w:eastAsia="pl-PL"/>
              </w:rPr>
              <w:t> </w:t>
            </w:r>
            <w:r w:rsidRPr="00941D29">
              <w:rPr>
                <w:rFonts w:eastAsia="Times New Roman" w:cs="Calibri"/>
                <w:kern w:val="0"/>
                <w:sz w:val="18"/>
                <w:szCs w:val="18"/>
                <w:lang w:eastAsia="pl-PL"/>
              </w:rPr>
              <w:t>213444</w:t>
            </w:r>
          </w:p>
        </w:tc>
        <w:tc>
          <w:tcPr>
            <w:tcW w:w="736" w:type="dxa"/>
            <w:shd w:val="clear" w:color="auto" w:fill="auto"/>
            <w:noWrap/>
            <w:vAlign w:val="center"/>
            <w:hideMark/>
          </w:tcPr>
          <w:p w:rsidR="003F2B0C" w:rsidRPr="00941D29" w:rsidRDefault="003F2B0C" w:rsidP="0084338D">
            <w:pPr>
              <w:spacing w:after="0" w:line="240" w:lineRule="auto"/>
              <w:jc w:val="center"/>
              <w:rPr>
                <w:rFonts w:eastAsia="Times New Roman" w:cs="Calibri"/>
                <w:kern w:val="0"/>
                <w:sz w:val="18"/>
                <w:szCs w:val="18"/>
                <w:lang w:eastAsia="pl-PL"/>
              </w:rPr>
            </w:pPr>
            <w:r w:rsidRPr="00941D29">
              <w:rPr>
                <w:rFonts w:eastAsia="Times New Roman" w:cs="Calibri"/>
                <w:kern w:val="0"/>
                <w:sz w:val="18"/>
                <w:szCs w:val="18"/>
                <w:lang w:eastAsia="pl-PL"/>
              </w:rPr>
              <w:t>6,59</w:t>
            </w:r>
          </w:p>
        </w:tc>
        <w:tc>
          <w:tcPr>
            <w:tcW w:w="895" w:type="dxa"/>
            <w:shd w:val="clear" w:color="auto" w:fill="auto"/>
            <w:noWrap/>
            <w:vAlign w:val="center"/>
            <w:hideMark/>
          </w:tcPr>
          <w:p w:rsidR="003F2B0C" w:rsidRPr="00941D29" w:rsidRDefault="003F2B0C" w:rsidP="0084338D">
            <w:pPr>
              <w:spacing w:after="0" w:line="240" w:lineRule="auto"/>
              <w:jc w:val="center"/>
              <w:rPr>
                <w:rFonts w:eastAsia="Times New Roman" w:cs="Calibri"/>
                <w:kern w:val="0"/>
                <w:sz w:val="18"/>
                <w:szCs w:val="18"/>
                <w:lang w:eastAsia="pl-PL"/>
              </w:rPr>
            </w:pPr>
            <w:r w:rsidRPr="00941D29">
              <w:rPr>
                <w:rFonts w:eastAsia="Times New Roman" w:cs="Calibri"/>
                <w:kern w:val="0"/>
                <w:sz w:val="18"/>
                <w:szCs w:val="18"/>
                <w:lang w:eastAsia="pl-PL"/>
              </w:rPr>
              <w:t>1 205 924</w:t>
            </w:r>
          </w:p>
        </w:tc>
        <w:tc>
          <w:tcPr>
            <w:tcW w:w="736" w:type="dxa"/>
            <w:shd w:val="clear" w:color="auto" w:fill="auto"/>
            <w:noWrap/>
            <w:vAlign w:val="center"/>
            <w:hideMark/>
          </w:tcPr>
          <w:p w:rsidR="003F2B0C" w:rsidRPr="00941D29" w:rsidRDefault="003F2B0C" w:rsidP="0084338D">
            <w:pPr>
              <w:spacing w:after="0" w:line="240" w:lineRule="auto"/>
              <w:jc w:val="center"/>
              <w:rPr>
                <w:rFonts w:eastAsia="Times New Roman" w:cs="Calibri"/>
                <w:kern w:val="0"/>
                <w:sz w:val="18"/>
                <w:szCs w:val="18"/>
                <w:lang w:eastAsia="pl-PL"/>
              </w:rPr>
            </w:pPr>
            <w:r w:rsidRPr="00941D29">
              <w:rPr>
                <w:rFonts w:eastAsia="Times New Roman" w:cs="Calibri"/>
                <w:kern w:val="0"/>
                <w:sz w:val="18"/>
                <w:szCs w:val="18"/>
                <w:lang w:eastAsia="pl-PL"/>
              </w:rPr>
              <w:t>5,93</w:t>
            </w:r>
          </w:p>
        </w:tc>
      </w:tr>
      <w:tr w:rsidR="003F2B0C" w:rsidRPr="00941D29" w:rsidTr="0084338D">
        <w:trPr>
          <w:trHeight w:val="320"/>
        </w:trPr>
        <w:tc>
          <w:tcPr>
            <w:tcW w:w="1236" w:type="dxa"/>
            <w:shd w:val="clear" w:color="auto" w:fill="auto"/>
            <w:vAlign w:val="bottom"/>
            <w:hideMark/>
          </w:tcPr>
          <w:p w:rsidR="003F2B0C" w:rsidRPr="00941D29" w:rsidRDefault="003F2B0C" w:rsidP="0084338D">
            <w:pPr>
              <w:spacing w:after="0" w:line="240" w:lineRule="auto"/>
              <w:jc w:val="left"/>
              <w:rPr>
                <w:rFonts w:eastAsia="Times New Roman" w:cs="Calibri"/>
                <w:kern w:val="0"/>
                <w:sz w:val="18"/>
                <w:szCs w:val="18"/>
                <w:lang w:eastAsia="pl-PL"/>
              </w:rPr>
            </w:pPr>
            <w:r w:rsidRPr="00941D29">
              <w:rPr>
                <w:rFonts w:eastAsia="Times New Roman" w:cs="Calibri"/>
                <w:kern w:val="0"/>
                <w:sz w:val="18"/>
                <w:szCs w:val="18"/>
                <w:lang w:eastAsia="pl-PL"/>
              </w:rPr>
              <w:t>Metropolia Poznań</w:t>
            </w:r>
          </w:p>
        </w:tc>
        <w:tc>
          <w:tcPr>
            <w:tcW w:w="964" w:type="dxa"/>
            <w:shd w:val="clear" w:color="auto" w:fill="auto"/>
            <w:noWrap/>
            <w:vAlign w:val="center"/>
            <w:hideMark/>
          </w:tcPr>
          <w:p w:rsidR="003F2B0C" w:rsidRPr="00941D29" w:rsidRDefault="003F2B0C" w:rsidP="0084338D">
            <w:pPr>
              <w:spacing w:after="0" w:line="240" w:lineRule="auto"/>
              <w:jc w:val="center"/>
              <w:rPr>
                <w:rFonts w:eastAsia="Times New Roman" w:cs="Calibri"/>
                <w:kern w:val="0"/>
                <w:sz w:val="18"/>
                <w:szCs w:val="18"/>
                <w:lang w:eastAsia="pl-PL"/>
              </w:rPr>
            </w:pPr>
            <w:r w:rsidRPr="00941D29">
              <w:rPr>
                <w:rFonts w:eastAsia="Times New Roman" w:cs="Calibri"/>
                <w:kern w:val="0"/>
                <w:sz w:val="18"/>
                <w:szCs w:val="18"/>
                <w:lang w:eastAsia="pl-PL"/>
              </w:rPr>
              <w:t>1 104 657</w:t>
            </w:r>
          </w:p>
        </w:tc>
        <w:tc>
          <w:tcPr>
            <w:tcW w:w="965" w:type="dxa"/>
            <w:shd w:val="clear" w:color="auto" w:fill="auto"/>
            <w:noWrap/>
            <w:vAlign w:val="center"/>
            <w:hideMark/>
          </w:tcPr>
          <w:p w:rsidR="003F2B0C" w:rsidRPr="00941D29" w:rsidRDefault="003F2B0C" w:rsidP="0084338D">
            <w:pPr>
              <w:spacing w:after="0" w:line="240" w:lineRule="auto"/>
              <w:jc w:val="center"/>
              <w:rPr>
                <w:rFonts w:eastAsia="Times New Roman" w:cs="Calibri"/>
                <w:kern w:val="0"/>
                <w:sz w:val="18"/>
                <w:szCs w:val="18"/>
                <w:lang w:eastAsia="pl-PL"/>
              </w:rPr>
            </w:pPr>
            <w:r w:rsidRPr="00941D29">
              <w:rPr>
                <w:rFonts w:eastAsia="Times New Roman" w:cs="Calibri"/>
                <w:kern w:val="0"/>
                <w:sz w:val="18"/>
                <w:szCs w:val="18"/>
                <w:lang w:eastAsia="pl-PL"/>
              </w:rPr>
              <w:t>1 135 113</w:t>
            </w:r>
          </w:p>
        </w:tc>
        <w:tc>
          <w:tcPr>
            <w:tcW w:w="736" w:type="dxa"/>
            <w:shd w:val="clear" w:color="auto" w:fill="auto"/>
            <w:noWrap/>
            <w:vAlign w:val="center"/>
            <w:hideMark/>
          </w:tcPr>
          <w:p w:rsidR="003F2B0C" w:rsidRPr="00941D29" w:rsidRDefault="003F2B0C" w:rsidP="0084338D">
            <w:pPr>
              <w:spacing w:after="0" w:line="240" w:lineRule="auto"/>
              <w:jc w:val="center"/>
              <w:rPr>
                <w:rFonts w:eastAsia="Times New Roman" w:cs="Calibri"/>
                <w:kern w:val="0"/>
                <w:sz w:val="18"/>
                <w:szCs w:val="18"/>
                <w:lang w:eastAsia="pl-PL"/>
              </w:rPr>
            </w:pPr>
            <w:r w:rsidRPr="00941D29">
              <w:rPr>
                <w:rFonts w:eastAsia="Times New Roman" w:cs="Calibri"/>
                <w:kern w:val="0"/>
                <w:sz w:val="18"/>
                <w:szCs w:val="18"/>
                <w:lang w:eastAsia="pl-PL"/>
              </w:rPr>
              <w:t>2,76</w:t>
            </w:r>
          </w:p>
        </w:tc>
        <w:tc>
          <w:tcPr>
            <w:tcW w:w="967" w:type="dxa"/>
            <w:shd w:val="clear" w:color="auto" w:fill="auto"/>
            <w:noWrap/>
            <w:vAlign w:val="center"/>
            <w:hideMark/>
          </w:tcPr>
          <w:p w:rsidR="003F2B0C" w:rsidRPr="00941D29" w:rsidRDefault="003F2B0C" w:rsidP="0084338D">
            <w:pPr>
              <w:spacing w:after="0" w:line="240" w:lineRule="auto"/>
              <w:jc w:val="center"/>
              <w:rPr>
                <w:rFonts w:eastAsia="Times New Roman" w:cs="Calibri"/>
                <w:kern w:val="0"/>
                <w:sz w:val="18"/>
                <w:szCs w:val="18"/>
                <w:lang w:eastAsia="pl-PL"/>
              </w:rPr>
            </w:pPr>
            <w:r w:rsidRPr="00941D29">
              <w:rPr>
                <w:rFonts w:eastAsia="Times New Roman" w:cs="Calibri"/>
                <w:kern w:val="0"/>
                <w:sz w:val="18"/>
                <w:szCs w:val="18"/>
                <w:lang w:eastAsia="pl-PL"/>
              </w:rPr>
              <w:t>1</w:t>
            </w:r>
            <w:r>
              <w:rPr>
                <w:rFonts w:eastAsia="Times New Roman" w:cs="Calibri"/>
                <w:kern w:val="0"/>
                <w:sz w:val="18"/>
                <w:szCs w:val="18"/>
                <w:lang w:eastAsia="pl-PL"/>
              </w:rPr>
              <w:t> </w:t>
            </w:r>
            <w:r w:rsidRPr="00941D29">
              <w:rPr>
                <w:rFonts w:eastAsia="Times New Roman" w:cs="Calibri"/>
                <w:kern w:val="0"/>
                <w:sz w:val="18"/>
                <w:szCs w:val="18"/>
                <w:lang w:eastAsia="pl-PL"/>
              </w:rPr>
              <w:t>132070</w:t>
            </w:r>
          </w:p>
        </w:tc>
        <w:tc>
          <w:tcPr>
            <w:tcW w:w="736" w:type="dxa"/>
            <w:shd w:val="clear" w:color="auto" w:fill="auto"/>
            <w:noWrap/>
            <w:vAlign w:val="center"/>
            <w:hideMark/>
          </w:tcPr>
          <w:p w:rsidR="003F2B0C" w:rsidRPr="00941D29" w:rsidRDefault="003F2B0C" w:rsidP="0084338D">
            <w:pPr>
              <w:spacing w:after="0" w:line="240" w:lineRule="auto"/>
              <w:jc w:val="center"/>
              <w:rPr>
                <w:rFonts w:eastAsia="Times New Roman" w:cs="Calibri"/>
                <w:kern w:val="0"/>
                <w:sz w:val="18"/>
                <w:szCs w:val="18"/>
                <w:lang w:eastAsia="pl-PL"/>
              </w:rPr>
            </w:pPr>
            <w:r w:rsidRPr="00941D29">
              <w:rPr>
                <w:rFonts w:eastAsia="Times New Roman" w:cs="Calibri"/>
                <w:kern w:val="0"/>
                <w:sz w:val="18"/>
                <w:szCs w:val="18"/>
                <w:lang w:eastAsia="pl-PL"/>
              </w:rPr>
              <w:t>2,48</w:t>
            </w:r>
          </w:p>
        </w:tc>
        <w:tc>
          <w:tcPr>
            <w:tcW w:w="953" w:type="dxa"/>
            <w:shd w:val="clear" w:color="auto" w:fill="auto"/>
            <w:noWrap/>
            <w:vAlign w:val="center"/>
            <w:hideMark/>
          </w:tcPr>
          <w:p w:rsidR="003F2B0C" w:rsidRPr="00941D29" w:rsidRDefault="003F2B0C" w:rsidP="0084338D">
            <w:pPr>
              <w:spacing w:after="0" w:line="240" w:lineRule="auto"/>
              <w:jc w:val="center"/>
              <w:rPr>
                <w:rFonts w:eastAsia="Times New Roman" w:cs="Calibri"/>
                <w:kern w:val="0"/>
                <w:sz w:val="18"/>
                <w:szCs w:val="18"/>
                <w:lang w:eastAsia="pl-PL"/>
              </w:rPr>
            </w:pPr>
            <w:r w:rsidRPr="00941D29">
              <w:rPr>
                <w:rFonts w:eastAsia="Times New Roman" w:cs="Calibri"/>
                <w:kern w:val="0"/>
                <w:sz w:val="18"/>
                <w:szCs w:val="18"/>
                <w:lang w:eastAsia="pl-PL"/>
              </w:rPr>
              <w:t>1</w:t>
            </w:r>
            <w:r>
              <w:rPr>
                <w:rFonts w:eastAsia="Times New Roman" w:cs="Calibri"/>
                <w:kern w:val="0"/>
                <w:sz w:val="18"/>
                <w:szCs w:val="18"/>
                <w:lang w:eastAsia="pl-PL"/>
              </w:rPr>
              <w:t> </w:t>
            </w:r>
            <w:r w:rsidRPr="00941D29">
              <w:rPr>
                <w:rFonts w:eastAsia="Times New Roman" w:cs="Calibri"/>
                <w:kern w:val="0"/>
                <w:sz w:val="18"/>
                <w:szCs w:val="18"/>
                <w:lang w:eastAsia="pl-PL"/>
              </w:rPr>
              <w:t>118630</w:t>
            </w:r>
          </w:p>
        </w:tc>
        <w:tc>
          <w:tcPr>
            <w:tcW w:w="736" w:type="dxa"/>
            <w:shd w:val="clear" w:color="auto" w:fill="auto"/>
            <w:noWrap/>
            <w:vAlign w:val="center"/>
            <w:hideMark/>
          </w:tcPr>
          <w:p w:rsidR="003F2B0C" w:rsidRPr="00941D29" w:rsidRDefault="003F2B0C" w:rsidP="0084338D">
            <w:pPr>
              <w:spacing w:after="0" w:line="240" w:lineRule="auto"/>
              <w:jc w:val="center"/>
              <w:rPr>
                <w:rFonts w:eastAsia="Times New Roman" w:cs="Calibri"/>
                <w:kern w:val="0"/>
                <w:sz w:val="18"/>
                <w:szCs w:val="18"/>
                <w:lang w:eastAsia="pl-PL"/>
              </w:rPr>
            </w:pPr>
            <w:r w:rsidRPr="00941D29">
              <w:rPr>
                <w:rFonts w:eastAsia="Times New Roman" w:cs="Calibri"/>
                <w:kern w:val="0"/>
                <w:sz w:val="18"/>
                <w:szCs w:val="18"/>
                <w:lang w:eastAsia="pl-PL"/>
              </w:rPr>
              <w:t>1,26</w:t>
            </w:r>
          </w:p>
        </w:tc>
        <w:tc>
          <w:tcPr>
            <w:tcW w:w="895" w:type="dxa"/>
            <w:shd w:val="clear" w:color="auto" w:fill="auto"/>
            <w:noWrap/>
            <w:vAlign w:val="center"/>
            <w:hideMark/>
          </w:tcPr>
          <w:p w:rsidR="003F2B0C" w:rsidRPr="00941D29" w:rsidRDefault="003F2B0C" w:rsidP="0084338D">
            <w:pPr>
              <w:spacing w:after="0" w:line="240" w:lineRule="auto"/>
              <w:jc w:val="center"/>
              <w:rPr>
                <w:rFonts w:eastAsia="Times New Roman" w:cs="Calibri"/>
                <w:kern w:val="0"/>
                <w:sz w:val="18"/>
                <w:szCs w:val="18"/>
                <w:lang w:eastAsia="pl-PL"/>
              </w:rPr>
            </w:pPr>
            <w:r w:rsidRPr="00941D29">
              <w:rPr>
                <w:rFonts w:eastAsia="Times New Roman" w:cs="Calibri"/>
                <w:kern w:val="0"/>
                <w:sz w:val="18"/>
                <w:szCs w:val="18"/>
                <w:lang w:eastAsia="pl-PL"/>
              </w:rPr>
              <w:t>1 087 183</w:t>
            </w:r>
          </w:p>
        </w:tc>
        <w:tc>
          <w:tcPr>
            <w:tcW w:w="736" w:type="dxa"/>
            <w:shd w:val="clear" w:color="auto" w:fill="auto"/>
            <w:noWrap/>
            <w:vAlign w:val="center"/>
            <w:hideMark/>
          </w:tcPr>
          <w:p w:rsidR="003F2B0C" w:rsidRPr="00941D29" w:rsidRDefault="003F2B0C" w:rsidP="0084338D">
            <w:pPr>
              <w:spacing w:after="0" w:line="240" w:lineRule="auto"/>
              <w:jc w:val="center"/>
              <w:rPr>
                <w:rFonts w:eastAsia="Times New Roman" w:cs="Calibri"/>
                <w:kern w:val="0"/>
                <w:sz w:val="18"/>
                <w:szCs w:val="18"/>
                <w:lang w:eastAsia="pl-PL"/>
              </w:rPr>
            </w:pPr>
            <w:r w:rsidRPr="00941D29">
              <w:rPr>
                <w:rFonts w:eastAsia="Times New Roman" w:cs="Calibri"/>
                <w:kern w:val="0"/>
                <w:sz w:val="18"/>
                <w:szCs w:val="18"/>
                <w:lang w:eastAsia="pl-PL"/>
              </w:rPr>
              <w:t>-1,58</w:t>
            </w:r>
          </w:p>
        </w:tc>
      </w:tr>
    </w:tbl>
    <w:p w:rsidR="003F2B0C" w:rsidRPr="002737CB" w:rsidRDefault="003F2B0C" w:rsidP="003F2B0C">
      <w:pPr>
        <w:spacing w:line="276" w:lineRule="auto"/>
        <w:rPr>
          <w:iCs/>
          <w:color w:val="363735" w:themeColor="accent3"/>
          <w:sz w:val="20"/>
          <w:szCs w:val="18"/>
        </w:rPr>
      </w:pPr>
      <w:r w:rsidRPr="002737CB">
        <w:rPr>
          <w:iCs/>
          <w:color w:val="363735" w:themeColor="accent3"/>
          <w:sz w:val="20"/>
          <w:szCs w:val="18"/>
        </w:rPr>
        <w:t xml:space="preserve">Źródło: opracowanie własne na podstawie danych GUS BDL, </w:t>
      </w:r>
      <w:r>
        <w:rPr>
          <w:iCs/>
          <w:color w:val="363735" w:themeColor="accent3"/>
          <w:sz w:val="20"/>
          <w:szCs w:val="18"/>
        </w:rPr>
        <w:t xml:space="preserve">dostęp </w:t>
      </w:r>
      <w:r w:rsidRPr="002737CB">
        <w:rPr>
          <w:iCs/>
          <w:color w:val="363735" w:themeColor="accent3"/>
          <w:sz w:val="20"/>
          <w:szCs w:val="18"/>
        </w:rPr>
        <w:t>1.02.2025</w:t>
      </w:r>
    </w:p>
    <w:p w:rsidR="003F2B0C" w:rsidRDefault="003F2B0C" w:rsidP="003F2B0C">
      <w:r>
        <w:t xml:space="preserve">W przypadku Brneńskiego Obszaru Metropolitalnego dostępne prognozy ludności zostały oszacowane do roku 2071 na </w:t>
      </w:r>
      <w:r w:rsidRPr="00E86243">
        <w:t> 837</w:t>
      </w:r>
      <w:r>
        <w:t xml:space="preserve"> 000 mieszkańców, co daje wzrost między rokiem 2023 , a 2071 o </w:t>
      </w:r>
      <w:r w:rsidRPr="00E86243">
        <w:t>14.75</w:t>
      </w:r>
      <w:r>
        <w:t>% ludności</w:t>
      </w:r>
      <w:r w:rsidRPr="00C8204E">
        <w:rPr>
          <w:rStyle w:val="Odwoanieprzypisudolnego"/>
          <w:sz w:val="20"/>
          <w:szCs w:val="20"/>
        </w:rPr>
        <w:footnoteReference w:id="20"/>
      </w:r>
      <w:r w:rsidRPr="00C8204E">
        <w:rPr>
          <w:rStyle w:val="Odwoanieprzypisudolnego"/>
          <w:sz w:val="20"/>
          <w:szCs w:val="20"/>
        </w:rPr>
        <w:t>.</w:t>
      </w:r>
      <w:r>
        <w:rPr>
          <w:sz w:val="20"/>
          <w:szCs w:val="20"/>
        </w:rPr>
        <w:t xml:space="preserve">co daje zdecydowanie największy wzrost ludności w porównaniu do pozostałych obszarów. </w:t>
      </w:r>
    </w:p>
    <w:p w:rsidR="003F2B0C" w:rsidRDefault="003F2B0C" w:rsidP="003F2B0C">
      <w:r w:rsidRPr="008D2C7A">
        <w:t xml:space="preserve">W przypadku prognozowanej liczby ludności na </w:t>
      </w:r>
      <w:r>
        <w:t>o</w:t>
      </w:r>
      <w:r w:rsidRPr="008D2C7A">
        <w:t xml:space="preserve">bszarze </w:t>
      </w:r>
      <w:r>
        <w:t xml:space="preserve">Aglomeracji </w:t>
      </w:r>
      <w:r w:rsidRPr="008D2C7A">
        <w:t xml:space="preserve">Drezna </w:t>
      </w:r>
      <w:r>
        <w:t xml:space="preserve">nie odnaleziono prognoz dla całego obszaru. Na podstawie danych dostępnych dla samego miasta rdzenia, w którym </w:t>
      </w:r>
      <w:r w:rsidRPr="008D2C7A">
        <w:t>przewiduje się, że w roku 20</w:t>
      </w:r>
      <w:r>
        <w:t>25</w:t>
      </w:r>
      <w:r w:rsidRPr="008D2C7A">
        <w:t xml:space="preserve"> liczb</w:t>
      </w:r>
      <w:r>
        <w:t xml:space="preserve">a ludności wyniesie </w:t>
      </w:r>
      <w:r w:rsidRPr="00E754FE">
        <w:t>573 780</w:t>
      </w:r>
      <w:r>
        <w:t xml:space="preserve">, w roku 2030 wyniesie </w:t>
      </w:r>
      <w:r w:rsidRPr="00E754FE">
        <w:t>585 800</w:t>
      </w:r>
      <w:r>
        <w:t xml:space="preserve">, w roku 2035 wzrośnie do </w:t>
      </w:r>
      <w:r w:rsidRPr="00E754FE">
        <w:t xml:space="preserve">594 310 </w:t>
      </w:r>
      <w:r>
        <w:t xml:space="preserve">osób, a w roku 2040 do </w:t>
      </w:r>
      <w:r w:rsidRPr="00E754FE">
        <w:t>603</w:t>
      </w:r>
      <w:r>
        <w:t> </w:t>
      </w:r>
      <w:r w:rsidRPr="00E754FE">
        <w:t>410</w:t>
      </w:r>
      <w:r>
        <w:t xml:space="preserve">. Do roku 2040 liczba ludności w Dreźnie może wzrosnąć o 5,86%. Można założyć, że cały obszar aglomeracji potrze utrzymać trend wzrostowy liczby ludności. </w:t>
      </w:r>
    </w:p>
    <w:p w:rsidR="003F2B0C" w:rsidRPr="008D2C7A" w:rsidRDefault="003F2B0C" w:rsidP="003F2B0C">
      <w:pPr>
        <w:pStyle w:val="Legenda"/>
        <w:rPr>
          <w:color w:val="auto"/>
        </w:rPr>
      </w:pPr>
      <w:bookmarkStart w:id="79" w:name="_Toc196867063"/>
      <w:bookmarkStart w:id="80" w:name="_Toc196905075"/>
      <w:r>
        <w:t xml:space="preserve">Tabela </w:t>
      </w:r>
      <w:fldSimple w:instr=" SEQ Tabela \* ARABIC ">
        <w:r w:rsidR="0084338D">
          <w:rPr>
            <w:noProof/>
          </w:rPr>
          <w:t>11</w:t>
        </w:r>
      </w:fldSimple>
      <w:r>
        <w:t>. Prognoza liczby ludności Miasta Drezna do roku 2040</w:t>
      </w:r>
      <w:bookmarkEnd w:id="79"/>
      <w:bookmarkEnd w:id="80"/>
    </w:p>
    <w:tbl>
      <w:tblPr>
        <w:tblW w:w="8918" w:type="dxa"/>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CellMar>
          <w:left w:w="70" w:type="dxa"/>
          <w:right w:w="70" w:type="dxa"/>
        </w:tblCellMar>
        <w:tblLook w:val="04A0"/>
      </w:tblPr>
      <w:tblGrid>
        <w:gridCol w:w="1284"/>
        <w:gridCol w:w="869"/>
        <w:gridCol w:w="895"/>
        <w:gridCol w:w="800"/>
        <w:gridCol w:w="895"/>
        <w:gridCol w:w="800"/>
        <w:gridCol w:w="896"/>
        <w:gridCol w:w="800"/>
        <w:gridCol w:w="879"/>
        <w:gridCol w:w="800"/>
      </w:tblGrid>
      <w:tr w:rsidR="003F2B0C" w:rsidRPr="00941D29" w:rsidTr="0084338D">
        <w:trPr>
          <w:trHeight w:val="380"/>
        </w:trPr>
        <w:tc>
          <w:tcPr>
            <w:tcW w:w="1284" w:type="dxa"/>
            <w:shd w:val="clear" w:color="auto" w:fill="FFC000"/>
            <w:vAlign w:val="center"/>
          </w:tcPr>
          <w:p w:rsidR="003F2B0C" w:rsidRPr="00E754FE" w:rsidRDefault="003F2B0C" w:rsidP="0084338D">
            <w:pPr>
              <w:spacing w:after="0" w:line="240" w:lineRule="auto"/>
              <w:jc w:val="center"/>
              <w:rPr>
                <w:rFonts w:eastAsia="Times New Roman" w:cs="Calibri"/>
                <w:b/>
                <w:bCs/>
                <w:kern w:val="0"/>
                <w:sz w:val="18"/>
                <w:szCs w:val="18"/>
                <w:lang w:eastAsia="pl-PL"/>
              </w:rPr>
            </w:pPr>
          </w:p>
        </w:tc>
        <w:tc>
          <w:tcPr>
            <w:tcW w:w="869" w:type="dxa"/>
            <w:shd w:val="clear" w:color="auto" w:fill="FFC000"/>
            <w:noWrap/>
            <w:vAlign w:val="center"/>
          </w:tcPr>
          <w:p w:rsidR="003F2B0C" w:rsidRPr="00E754FE" w:rsidRDefault="003F2B0C" w:rsidP="0084338D">
            <w:pPr>
              <w:spacing w:after="0" w:line="240" w:lineRule="auto"/>
              <w:jc w:val="center"/>
              <w:rPr>
                <w:rFonts w:eastAsia="Times New Roman" w:cs="Calibri"/>
                <w:b/>
                <w:bCs/>
                <w:kern w:val="0"/>
                <w:sz w:val="18"/>
                <w:szCs w:val="18"/>
                <w:lang w:eastAsia="pl-PL"/>
              </w:rPr>
            </w:pPr>
            <w:r w:rsidRPr="00E754FE">
              <w:rPr>
                <w:rFonts w:eastAsia="Times New Roman" w:cs="Calibri"/>
                <w:b/>
                <w:bCs/>
                <w:kern w:val="0"/>
                <w:sz w:val="18"/>
                <w:szCs w:val="18"/>
                <w:lang w:eastAsia="pl-PL"/>
              </w:rPr>
              <w:t>2023</w:t>
            </w:r>
          </w:p>
        </w:tc>
        <w:tc>
          <w:tcPr>
            <w:tcW w:w="895" w:type="dxa"/>
            <w:shd w:val="clear" w:color="auto" w:fill="FFC000"/>
            <w:noWrap/>
            <w:vAlign w:val="center"/>
          </w:tcPr>
          <w:p w:rsidR="003F2B0C" w:rsidRPr="00E754FE" w:rsidRDefault="003F2B0C" w:rsidP="0084338D">
            <w:pPr>
              <w:spacing w:after="0" w:line="240" w:lineRule="auto"/>
              <w:jc w:val="center"/>
              <w:rPr>
                <w:rFonts w:eastAsia="Times New Roman" w:cs="Calibri"/>
                <w:b/>
                <w:bCs/>
                <w:kern w:val="0"/>
                <w:sz w:val="18"/>
                <w:szCs w:val="18"/>
                <w:lang w:eastAsia="pl-PL"/>
              </w:rPr>
            </w:pPr>
            <w:r w:rsidRPr="00E754FE">
              <w:rPr>
                <w:rFonts w:eastAsia="Times New Roman" w:cs="Calibri"/>
                <w:b/>
                <w:bCs/>
                <w:kern w:val="0"/>
                <w:sz w:val="18"/>
                <w:szCs w:val="18"/>
                <w:lang w:eastAsia="pl-PL"/>
              </w:rPr>
              <w:t>2025</w:t>
            </w:r>
          </w:p>
        </w:tc>
        <w:tc>
          <w:tcPr>
            <w:tcW w:w="800" w:type="dxa"/>
            <w:shd w:val="clear" w:color="auto" w:fill="FFC000"/>
            <w:noWrap/>
            <w:vAlign w:val="center"/>
          </w:tcPr>
          <w:p w:rsidR="003F2B0C" w:rsidRPr="00E754FE" w:rsidRDefault="003F2B0C" w:rsidP="0084338D">
            <w:pPr>
              <w:spacing w:after="0" w:line="240" w:lineRule="auto"/>
              <w:jc w:val="center"/>
              <w:rPr>
                <w:rFonts w:eastAsia="Times New Roman" w:cs="Calibri"/>
                <w:b/>
                <w:bCs/>
                <w:kern w:val="0"/>
                <w:sz w:val="18"/>
                <w:szCs w:val="18"/>
                <w:lang w:eastAsia="pl-PL"/>
              </w:rPr>
            </w:pPr>
            <w:r w:rsidRPr="00941D29">
              <w:rPr>
                <w:rFonts w:eastAsia="Times New Roman" w:cs="Calibri"/>
                <w:b/>
                <w:bCs/>
                <w:kern w:val="0"/>
                <w:sz w:val="18"/>
                <w:szCs w:val="18"/>
                <w:lang w:eastAsia="pl-PL"/>
              </w:rPr>
              <w:t>zmiana w %</w:t>
            </w:r>
          </w:p>
        </w:tc>
        <w:tc>
          <w:tcPr>
            <w:tcW w:w="895" w:type="dxa"/>
            <w:shd w:val="clear" w:color="auto" w:fill="FFC000"/>
            <w:noWrap/>
            <w:vAlign w:val="center"/>
          </w:tcPr>
          <w:p w:rsidR="003F2B0C" w:rsidRPr="00E754FE" w:rsidRDefault="003F2B0C" w:rsidP="0084338D">
            <w:pPr>
              <w:spacing w:after="0" w:line="240" w:lineRule="auto"/>
              <w:jc w:val="center"/>
              <w:rPr>
                <w:rFonts w:eastAsia="Times New Roman" w:cs="Calibri"/>
                <w:b/>
                <w:bCs/>
                <w:kern w:val="0"/>
                <w:sz w:val="18"/>
                <w:szCs w:val="18"/>
                <w:lang w:eastAsia="pl-PL"/>
              </w:rPr>
            </w:pPr>
            <w:r w:rsidRPr="00E754FE">
              <w:rPr>
                <w:rFonts w:eastAsia="Times New Roman" w:cs="Calibri"/>
                <w:b/>
                <w:bCs/>
                <w:kern w:val="0"/>
                <w:sz w:val="18"/>
                <w:szCs w:val="18"/>
                <w:lang w:eastAsia="pl-PL"/>
              </w:rPr>
              <w:t>2030</w:t>
            </w:r>
          </w:p>
        </w:tc>
        <w:tc>
          <w:tcPr>
            <w:tcW w:w="800" w:type="dxa"/>
            <w:shd w:val="clear" w:color="auto" w:fill="FFC000"/>
            <w:noWrap/>
            <w:vAlign w:val="center"/>
          </w:tcPr>
          <w:p w:rsidR="003F2B0C" w:rsidRPr="00E754FE" w:rsidRDefault="003F2B0C" w:rsidP="0084338D">
            <w:pPr>
              <w:spacing w:after="0" w:line="240" w:lineRule="auto"/>
              <w:jc w:val="center"/>
              <w:rPr>
                <w:rFonts w:eastAsia="Times New Roman" w:cs="Calibri"/>
                <w:b/>
                <w:bCs/>
                <w:kern w:val="0"/>
                <w:sz w:val="18"/>
                <w:szCs w:val="18"/>
                <w:lang w:eastAsia="pl-PL"/>
              </w:rPr>
            </w:pPr>
            <w:r w:rsidRPr="00941D29">
              <w:rPr>
                <w:rFonts w:eastAsia="Times New Roman" w:cs="Calibri"/>
                <w:b/>
                <w:bCs/>
                <w:kern w:val="0"/>
                <w:sz w:val="18"/>
                <w:szCs w:val="18"/>
                <w:lang w:eastAsia="pl-PL"/>
              </w:rPr>
              <w:t>zmiana w %</w:t>
            </w:r>
          </w:p>
        </w:tc>
        <w:tc>
          <w:tcPr>
            <w:tcW w:w="896" w:type="dxa"/>
            <w:shd w:val="clear" w:color="auto" w:fill="FFC000"/>
            <w:noWrap/>
            <w:vAlign w:val="center"/>
          </w:tcPr>
          <w:p w:rsidR="003F2B0C" w:rsidRPr="00E754FE" w:rsidRDefault="003F2B0C" w:rsidP="0084338D">
            <w:pPr>
              <w:spacing w:after="0" w:line="240" w:lineRule="auto"/>
              <w:jc w:val="center"/>
              <w:rPr>
                <w:rFonts w:eastAsia="Times New Roman" w:cs="Calibri"/>
                <w:b/>
                <w:bCs/>
                <w:kern w:val="0"/>
                <w:sz w:val="18"/>
                <w:szCs w:val="18"/>
                <w:lang w:eastAsia="pl-PL"/>
              </w:rPr>
            </w:pPr>
            <w:r w:rsidRPr="00E754FE">
              <w:rPr>
                <w:rFonts w:eastAsia="Times New Roman" w:cs="Calibri"/>
                <w:b/>
                <w:bCs/>
                <w:kern w:val="0"/>
                <w:sz w:val="18"/>
                <w:szCs w:val="18"/>
                <w:lang w:eastAsia="pl-PL"/>
              </w:rPr>
              <w:t>2035</w:t>
            </w:r>
          </w:p>
          <w:p w:rsidR="003F2B0C" w:rsidRPr="00E754FE" w:rsidRDefault="003F2B0C" w:rsidP="0084338D">
            <w:pPr>
              <w:spacing w:after="0" w:line="240" w:lineRule="auto"/>
              <w:jc w:val="center"/>
              <w:rPr>
                <w:rFonts w:eastAsia="Times New Roman" w:cs="Calibri"/>
                <w:b/>
                <w:bCs/>
                <w:kern w:val="0"/>
                <w:sz w:val="18"/>
                <w:szCs w:val="18"/>
                <w:lang w:eastAsia="pl-PL"/>
              </w:rPr>
            </w:pPr>
          </w:p>
        </w:tc>
        <w:tc>
          <w:tcPr>
            <w:tcW w:w="800" w:type="dxa"/>
            <w:shd w:val="clear" w:color="auto" w:fill="FFC000"/>
            <w:noWrap/>
            <w:vAlign w:val="center"/>
          </w:tcPr>
          <w:p w:rsidR="003F2B0C" w:rsidRPr="00E754FE" w:rsidRDefault="003F2B0C" w:rsidP="0084338D">
            <w:pPr>
              <w:spacing w:after="0" w:line="240" w:lineRule="auto"/>
              <w:jc w:val="center"/>
              <w:rPr>
                <w:rFonts w:eastAsia="Times New Roman" w:cs="Calibri"/>
                <w:b/>
                <w:bCs/>
                <w:kern w:val="0"/>
                <w:sz w:val="18"/>
                <w:szCs w:val="18"/>
                <w:lang w:eastAsia="pl-PL"/>
              </w:rPr>
            </w:pPr>
            <w:r w:rsidRPr="00941D29">
              <w:rPr>
                <w:rFonts w:eastAsia="Times New Roman" w:cs="Calibri"/>
                <w:b/>
                <w:bCs/>
                <w:kern w:val="0"/>
                <w:sz w:val="18"/>
                <w:szCs w:val="18"/>
                <w:lang w:eastAsia="pl-PL"/>
              </w:rPr>
              <w:t>zmiana w %</w:t>
            </w:r>
          </w:p>
        </w:tc>
        <w:tc>
          <w:tcPr>
            <w:tcW w:w="879" w:type="dxa"/>
            <w:shd w:val="clear" w:color="auto" w:fill="FFC000"/>
            <w:noWrap/>
            <w:vAlign w:val="center"/>
          </w:tcPr>
          <w:p w:rsidR="003F2B0C" w:rsidRPr="00E754FE" w:rsidRDefault="003F2B0C" w:rsidP="0084338D">
            <w:pPr>
              <w:spacing w:after="0" w:line="240" w:lineRule="auto"/>
              <w:jc w:val="center"/>
              <w:rPr>
                <w:rFonts w:eastAsia="Times New Roman" w:cs="Calibri"/>
                <w:b/>
                <w:bCs/>
                <w:kern w:val="0"/>
                <w:sz w:val="18"/>
                <w:szCs w:val="18"/>
                <w:lang w:eastAsia="pl-PL"/>
              </w:rPr>
            </w:pPr>
            <w:r w:rsidRPr="00E754FE">
              <w:rPr>
                <w:rFonts w:eastAsia="Times New Roman" w:cs="Calibri"/>
                <w:b/>
                <w:bCs/>
                <w:kern w:val="0"/>
                <w:sz w:val="18"/>
                <w:szCs w:val="18"/>
                <w:lang w:eastAsia="pl-PL"/>
              </w:rPr>
              <w:t>2040</w:t>
            </w:r>
          </w:p>
          <w:p w:rsidR="003F2B0C" w:rsidRPr="00E754FE" w:rsidRDefault="003F2B0C" w:rsidP="0084338D">
            <w:pPr>
              <w:spacing w:after="0" w:line="240" w:lineRule="auto"/>
              <w:jc w:val="center"/>
              <w:rPr>
                <w:rFonts w:eastAsia="Times New Roman" w:cs="Calibri"/>
                <w:b/>
                <w:bCs/>
                <w:kern w:val="0"/>
                <w:sz w:val="18"/>
                <w:szCs w:val="18"/>
                <w:lang w:eastAsia="pl-PL"/>
              </w:rPr>
            </w:pPr>
          </w:p>
        </w:tc>
        <w:tc>
          <w:tcPr>
            <w:tcW w:w="800" w:type="dxa"/>
            <w:shd w:val="clear" w:color="auto" w:fill="FFC000"/>
            <w:vAlign w:val="center"/>
          </w:tcPr>
          <w:p w:rsidR="003F2B0C" w:rsidRPr="00E754FE" w:rsidRDefault="003F2B0C" w:rsidP="0084338D">
            <w:pPr>
              <w:spacing w:after="0" w:line="240" w:lineRule="auto"/>
              <w:jc w:val="center"/>
              <w:rPr>
                <w:rFonts w:eastAsia="Times New Roman" w:cs="Calibri"/>
                <w:b/>
                <w:bCs/>
                <w:kern w:val="0"/>
                <w:sz w:val="18"/>
                <w:szCs w:val="18"/>
                <w:lang w:eastAsia="pl-PL"/>
              </w:rPr>
            </w:pPr>
            <w:r w:rsidRPr="00941D29">
              <w:rPr>
                <w:rFonts w:eastAsia="Times New Roman" w:cs="Calibri"/>
                <w:b/>
                <w:bCs/>
                <w:kern w:val="0"/>
                <w:sz w:val="18"/>
                <w:szCs w:val="18"/>
                <w:lang w:eastAsia="pl-PL"/>
              </w:rPr>
              <w:t>zmiana w %</w:t>
            </w:r>
          </w:p>
        </w:tc>
      </w:tr>
      <w:tr w:rsidR="003F2B0C" w:rsidRPr="00941D29" w:rsidTr="0084338D">
        <w:trPr>
          <w:trHeight w:val="380"/>
        </w:trPr>
        <w:tc>
          <w:tcPr>
            <w:tcW w:w="1284" w:type="dxa"/>
            <w:shd w:val="clear" w:color="auto" w:fill="auto"/>
            <w:vAlign w:val="bottom"/>
            <w:hideMark/>
          </w:tcPr>
          <w:p w:rsidR="003F2B0C" w:rsidRPr="00941D29" w:rsidRDefault="003F2B0C" w:rsidP="0084338D">
            <w:pPr>
              <w:spacing w:after="0" w:line="240" w:lineRule="auto"/>
              <w:jc w:val="left"/>
              <w:rPr>
                <w:rFonts w:eastAsia="Times New Roman" w:cs="Calibri"/>
                <w:kern w:val="0"/>
                <w:sz w:val="18"/>
                <w:szCs w:val="18"/>
                <w:lang w:eastAsia="pl-PL"/>
              </w:rPr>
            </w:pPr>
            <w:r>
              <w:rPr>
                <w:rFonts w:eastAsia="Times New Roman" w:cs="Calibri"/>
                <w:kern w:val="0"/>
                <w:sz w:val="18"/>
                <w:szCs w:val="18"/>
                <w:lang w:eastAsia="pl-PL"/>
              </w:rPr>
              <w:t>Miasto Drezno</w:t>
            </w:r>
          </w:p>
        </w:tc>
        <w:tc>
          <w:tcPr>
            <w:tcW w:w="869" w:type="dxa"/>
            <w:shd w:val="clear" w:color="auto" w:fill="auto"/>
            <w:noWrap/>
            <w:vAlign w:val="center"/>
          </w:tcPr>
          <w:p w:rsidR="003F2B0C" w:rsidRPr="00941D29" w:rsidRDefault="003F2B0C" w:rsidP="0084338D">
            <w:pPr>
              <w:spacing w:after="0" w:line="240" w:lineRule="auto"/>
              <w:jc w:val="center"/>
              <w:rPr>
                <w:rFonts w:eastAsia="Times New Roman" w:cs="Calibri"/>
                <w:kern w:val="0"/>
                <w:sz w:val="18"/>
                <w:szCs w:val="18"/>
                <w:lang w:eastAsia="pl-PL"/>
              </w:rPr>
            </w:pPr>
            <w:r w:rsidRPr="00E754FE">
              <w:rPr>
                <w:rFonts w:eastAsia="Times New Roman" w:cs="Calibri"/>
                <w:kern w:val="0"/>
                <w:sz w:val="18"/>
                <w:szCs w:val="18"/>
                <w:lang w:eastAsia="pl-PL"/>
              </w:rPr>
              <w:t>569 994</w:t>
            </w:r>
          </w:p>
        </w:tc>
        <w:tc>
          <w:tcPr>
            <w:tcW w:w="895" w:type="dxa"/>
            <w:shd w:val="clear" w:color="auto" w:fill="auto"/>
            <w:noWrap/>
            <w:vAlign w:val="center"/>
          </w:tcPr>
          <w:p w:rsidR="003F2B0C" w:rsidRPr="00941D29" w:rsidRDefault="003F2B0C" w:rsidP="0084338D">
            <w:pPr>
              <w:spacing w:after="0" w:line="240" w:lineRule="auto"/>
              <w:jc w:val="center"/>
              <w:rPr>
                <w:rFonts w:eastAsia="Times New Roman" w:cs="Calibri"/>
                <w:kern w:val="0"/>
                <w:sz w:val="18"/>
                <w:szCs w:val="18"/>
                <w:lang w:eastAsia="pl-PL"/>
              </w:rPr>
            </w:pPr>
            <w:r w:rsidRPr="00E754FE">
              <w:rPr>
                <w:rFonts w:eastAsia="Times New Roman" w:cs="Calibri"/>
                <w:kern w:val="0"/>
                <w:sz w:val="18"/>
                <w:szCs w:val="18"/>
                <w:lang w:eastAsia="pl-PL"/>
              </w:rPr>
              <w:t>573 780</w:t>
            </w:r>
          </w:p>
        </w:tc>
        <w:tc>
          <w:tcPr>
            <w:tcW w:w="800" w:type="dxa"/>
            <w:shd w:val="clear" w:color="auto" w:fill="auto"/>
            <w:noWrap/>
            <w:vAlign w:val="center"/>
          </w:tcPr>
          <w:p w:rsidR="003F2B0C" w:rsidRPr="00941D29" w:rsidRDefault="003F2B0C" w:rsidP="0084338D">
            <w:pPr>
              <w:spacing w:after="0" w:line="240" w:lineRule="auto"/>
              <w:jc w:val="center"/>
              <w:rPr>
                <w:rFonts w:ascii="Calibri" w:hAnsi="Calibri" w:cs="Calibri"/>
              </w:rPr>
            </w:pPr>
            <w:r w:rsidRPr="00E754FE">
              <w:rPr>
                <w:rFonts w:eastAsia="Times New Roman" w:cs="Calibri"/>
                <w:kern w:val="0"/>
                <w:sz w:val="18"/>
                <w:szCs w:val="18"/>
                <w:lang w:eastAsia="pl-PL"/>
              </w:rPr>
              <w:t>0,66</w:t>
            </w:r>
          </w:p>
        </w:tc>
        <w:tc>
          <w:tcPr>
            <w:tcW w:w="895" w:type="dxa"/>
            <w:shd w:val="clear" w:color="auto" w:fill="auto"/>
            <w:noWrap/>
            <w:vAlign w:val="center"/>
          </w:tcPr>
          <w:p w:rsidR="003F2B0C" w:rsidRPr="00941D29" w:rsidRDefault="003F2B0C" w:rsidP="0084338D">
            <w:pPr>
              <w:spacing w:after="0" w:line="240" w:lineRule="auto"/>
              <w:jc w:val="center"/>
              <w:rPr>
                <w:rFonts w:eastAsia="Times New Roman" w:cs="Calibri"/>
                <w:kern w:val="0"/>
                <w:sz w:val="18"/>
                <w:szCs w:val="18"/>
                <w:lang w:eastAsia="pl-PL"/>
              </w:rPr>
            </w:pPr>
            <w:r w:rsidRPr="00E754FE">
              <w:rPr>
                <w:rFonts w:eastAsia="Times New Roman" w:cs="Calibri"/>
                <w:kern w:val="0"/>
                <w:sz w:val="18"/>
                <w:szCs w:val="18"/>
                <w:lang w:eastAsia="pl-PL"/>
              </w:rPr>
              <w:t>585 800</w:t>
            </w:r>
          </w:p>
        </w:tc>
        <w:tc>
          <w:tcPr>
            <w:tcW w:w="800" w:type="dxa"/>
            <w:shd w:val="clear" w:color="auto" w:fill="auto"/>
            <w:noWrap/>
            <w:vAlign w:val="center"/>
          </w:tcPr>
          <w:p w:rsidR="003F2B0C" w:rsidRPr="00941D29" w:rsidRDefault="003F2B0C" w:rsidP="0084338D">
            <w:pPr>
              <w:spacing w:after="0" w:line="240" w:lineRule="auto"/>
              <w:jc w:val="center"/>
              <w:rPr>
                <w:rFonts w:ascii="Calibri" w:hAnsi="Calibri" w:cs="Calibri"/>
              </w:rPr>
            </w:pPr>
            <w:r w:rsidRPr="00E754FE">
              <w:rPr>
                <w:rFonts w:eastAsia="Times New Roman" w:cs="Calibri"/>
                <w:kern w:val="0"/>
                <w:sz w:val="18"/>
                <w:szCs w:val="18"/>
                <w:lang w:eastAsia="pl-PL"/>
              </w:rPr>
              <w:t>2,77</w:t>
            </w:r>
          </w:p>
        </w:tc>
        <w:tc>
          <w:tcPr>
            <w:tcW w:w="896" w:type="dxa"/>
            <w:shd w:val="clear" w:color="auto" w:fill="auto"/>
            <w:noWrap/>
            <w:vAlign w:val="center"/>
          </w:tcPr>
          <w:p w:rsidR="003F2B0C" w:rsidRPr="00941D29" w:rsidRDefault="003F2B0C" w:rsidP="0084338D">
            <w:pPr>
              <w:spacing w:after="0" w:line="240" w:lineRule="auto"/>
              <w:jc w:val="center"/>
              <w:rPr>
                <w:rFonts w:eastAsia="Times New Roman" w:cs="Calibri"/>
                <w:kern w:val="0"/>
                <w:sz w:val="18"/>
                <w:szCs w:val="18"/>
                <w:lang w:eastAsia="pl-PL"/>
              </w:rPr>
            </w:pPr>
            <w:r w:rsidRPr="00E754FE">
              <w:rPr>
                <w:rFonts w:eastAsia="Times New Roman" w:cs="Calibri"/>
                <w:kern w:val="0"/>
                <w:sz w:val="18"/>
                <w:szCs w:val="18"/>
                <w:lang w:eastAsia="pl-PL"/>
              </w:rPr>
              <w:t>594 310</w:t>
            </w:r>
          </w:p>
        </w:tc>
        <w:tc>
          <w:tcPr>
            <w:tcW w:w="800" w:type="dxa"/>
            <w:shd w:val="clear" w:color="auto" w:fill="auto"/>
            <w:noWrap/>
            <w:vAlign w:val="center"/>
          </w:tcPr>
          <w:p w:rsidR="003F2B0C" w:rsidRPr="00941D29" w:rsidRDefault="003F2B0C" w:rsidP="0084338D">
            <w:pPr>
              <w:spacing w:after="0" w:line="240" w:lineRule="auto"/>
              <w:jc w:val="center"/>
              <w:rPr>
                <w:rFonts w:ascii="Calibri" w:hAnsi="Calibri" w:cs="Calibri"/>
              </w:rPr>
            </w:pPr>
            <w:r w:rsidRPr="00E754FE">
              <w:rPr>
                <w:rFonts w:eastAsia="Times New Roman" w:cs="Calibri"/>
                <w:kern w:val="0"/>
                <w:sz w:val="18"/>
                <w:szCs w:val="18"/>
                <w:lang w:eastAsia="pl-PL"/>
              </w:rPr>
              <w:t>4,27</w:t>
            </w:r>
          </w:p>
        </w:tc>
        <w:tc>
          <w:tcPr>
            <w:tcW w:w="879" w:type="dxa"/>
            <w:shd w:val="clear" w:color="auto" w:fill="auto"/>
            <w:noWrap/>
            <w:vAlign w:val="center"/>
          </w:tcPr>
          <w:p w:rsidR="003F2B0C" w:rsidRPr="00941D29" w:rsidRDefault="003F2B0C" w:rsidP="0084338D">
            <w:pPr>
              <w:spacing w:after="0" w:line="240" w:lineRule="auto"/>
              <w:jc w:val="center"/>
              <w:rPr>
                <w:rFonts w:eastAsia="Times New Roman" w:cs="Calibri"/>
                <w:kern w:val="0"/>
                <w:sz w:val="18"/>
                <w:szCs w:val="18"/>
                <w:lang w:eastAsia="pl-PL"/>
              </w:rPr>
            </w:pPr>
            <w:r w:rsidRPr="00E754FE">
              <w:rPr>
                <w:rFonts w:eastAsia="Times New Roman" w:cs="Calibri"/>
                <w:kern w:val="0"/>
                <w:sz w:val="18"/>
                <w:szCs w:val="18"/>
                <w:lang w:eastAsia="pl-PL"/>
              </w:rPr>
              <w:t>603 410</w:t>
            </w:r>
          </w:p>
        </w:tc>
        <w:tc>
          <w:tcPr>
            <w:tcW w:w="800" w:type="dxa"/>
            <w:vAlign w:val="center"/>
          </w:tcPr>
          <w:p w:rsidR="003F2B0C" w:rsidRPr="00E754FE" w:rsidRDefault="003F2B0C" w:rsidP="0084338D">
            <w:pPr>
              <w:spacing w:after="0" w:line="240" w:lineRule="auto"/>
              <w:jc w:val="center"/>
              <w:rPr>
                <w:rFonts w:ascii="Calibri" w:hAnsi="Calibri" w:cs="Calibri"/>
              </w:rPr>
            </w:pPr>
            <w:r w:rsidRPr="00E754FE">
              <w:rPr>
                <w:rFonts w:eastAsia="Times New Roman" w:cs="Calibri"/>
                <w:kern w:val="0"/>
                <w:sz w:val="18"/>
                <w:szCs w:val="18"/>
                <w:lang w:eastAsia="pl-PL"/>
              </w:rPr>
              <w:t>5,86</w:t>
            </w:r>
          </w:p>
        </w:tc>
      </w:tr>
    </w:tbl>
    <w:p w:rsidR="003F2B0C" w:rsidRPr="002737CB" w:rsidRDefault="003F2B0C" w:rsidP="003F2B0C">
      <w:pPr>
        <w:spacing w:line="276" w:lineRule="auto"/>
        <w:rPr>
          <w:iCs/>
          <w:color w:val="363735" w:themeColor="accent3"/>
          <w:sz w:val="20"/>
          <w:szCs w:val="18"/>
        </w:rPr>
      </w:pPr>
      <w:r w:rsidRPr="002737CB">
        <w:rPr>
          <w:iCs/>
          <w:color w:val="363735" w:themeColor="accent3"/>
          <w:sz w:val="20"/>
          <w:szCs w:val="18"/>
        </w:rPr>
        <w:lastRenderedPageBreak/>
        <w:t>Źródło:</w:t>
      </w:r>
      <w:hyperlink r:id="rId36" w:history="1">
        <w:r w:rsidRPr="002737CB">
          <w:rPr>
            <w:iCs/>
            <w:color w:val="363735" w:themeColor="accent3"/>
            <w:sz w:val="20"/>
            <w:szCs w:val="18"/>
          </w:rPr>
          <w:t>https://www.dresden.de/de/leben/stadtportrait/statistik/bevoelkerung-gebiet/bevoelkerungsprognose.php</w:t>
        </w:r>
      </w:hyperlink>
      <w:r w:rsidRPr="002737CB">
        <w:rPr>
          <w:iCs/>
          <w:color w:val="363735" w:themeColor="accent3"/>
          <w:sz w:val="20"/>
          <w:szCs w:val="18"/>
        </w:rPr>
        <w:t>, dostęp 30.01.2025</w:t>
      </w:r>
    </w:p>
    <w:p w:rsidR="003F2B0C" w:rsidRPr="00F77569" w:rsidRDefault="003F2B0C" w:rsidP="003F2B0C">
      <w:r w:rsidRPr="00523B2F">
        <w:t xml:space="preserve">Spośród miast rdzeni </w:t>
      </w:r>
      <w:r>
        <w:t xml:space="preserve">najwyższe saldo migracji wewnętrznych odnotowano we Wrocławskim Obszarze Funkcjonalnym, w 2023 roku były to 6222 osoby, natomiast </w:t>
      </w:r>
      <w:r w:rsidRPr="00523B2F">
        <w:t xml:space="preserve">Poznań na przestrzeni lat 2018-2023 odnotowywał </w:t>
      </w:r>
      <w:r>
        <w:t>najmniejszy napływ ludności w</w:t>
      </w:r>
      <w:r w:rsidRPr="00523B2F">
        <w:t xml:space="preserve"> migracj</w:t>
      </w:r>
      <w:r>
        <w:t>ach</w:t>
      </w:r>
      <w:r w:rsidRPr="00523B2F">
        <w:t xml:space="preserve"> wewnętrznych</w:t>
      </w:r>
      <w:r>
        <w:t xml:space="preserve"> i</w:t>
      </w:r>
      <w:r w:rsidRPr="00523B2F">
        <w:t xml:space="preserve"> w roku 2018 było to</w:t>
      </w:r>
      <w:r>
        <w:t xml:space="preserve"> 4582</w:t>
      </w:r>
      <w:r w:rsidRPr="00523B2F">
        <w:t xml:space="preserve"> os</w:t>
      </w:r>
      <w:r>
        <w:t>oby</w:t>
      </w:r>
      <w:r w:rsidRPr="00523B2F">
        <w:t xml:space="preserve">, a w 2023 roku </w:t>
      </w:r>
      <w:r>
        <w:t xml:space="preserve">3891. </w:t>
      </w:r>
    </w:p>
    <w:p w:rsidR="003F2B0C" w:rsidRDefault="003F2B0C" w:rsidP="003F2B0C">
      <w:pPr>
        <w:pStyle w:val="Legenda"/>
        <w:rPr>
          <w:b/>
          <w:bCs/>
          <w:color w:val="FFC000"/>
        </w:rPr>
      </w:pPr>
      <w:bookmarkStart w:id="81" w:name="_Toc196867064"/>
      <w:bookmarkStart w:id="82" w:name="_Toc196905076"/>
      <w:r>
        <w:t xml:space="preserve">Tabela </w:t>
      </w:r>
      <w:fldSimple w:instr=" SEQ Tabela \* ARABIC ">
        <w:r w:rsidR="0084338D">
          <w:rPr>
            <w:noProof/>
          </w:rPr>
          <w:t>12</w:t>
        </w:r>
      </w:fldSimple>
      <w:r>
        <w:t xml:space="preserve">. </w:t>
      </w:r>
      <w:r w:rsidRPr="00523B2F">
        <w:t>Migracje na pobyt stały wewnętrzne i zagraniczne</w:t>
      </w:r>
      <w:r>
        <w:t xml:space="preserve"> w latach 2018-2023</w:t>
      </w:r>
      <w:bookmarkEnd w:id="81"/>
      <w:bookmarkEnd w:id="82"/>
    </w:p>
    <w:tbl>
      <w:tblPr>
        <w:tblW w:w="9044" w:type="dxa"/>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CellMar>
          <w:left w:w="70" w:type="dxa"/>
          <w:right w:w="70" w:type="dxa"/>
        </w:tblCellMar>
        <w:tblLook w:val="04A0"/>
      </w:tblPr>
      <w:tblGrid>
        <w:gridCol w:w="3393"/>
        <w:gridCol w:w="941"/>
        <w:gridCol w:w="941"/>
        <w:gridCol w:w="941"/>
        <w:gridCol w:w="941"/>
        <w:gridCol w:w="941"/>
        <w:gridCol w:w="946"/>
      </w:tblGrid>
      <w:tr w:rsidR="003F2B0C" w:rsidRPr="00093BFF" w:rsidTr="0084338D">
        <w:trPr>
          <w:trHeight w:val="340"/>
        </w:trPr>
        <w:tc>
          <w:tcPr>
            <w:tcW w:w="9044" w:type="dxa"/>
            <w:gridSpan w:val="7"/>
            <w:shd w:val="clear" w:color="auto" w:fill="FFC000"/>
            <w:noWrap/>
            <w:vAlign w:val="bottom"/>
            <w:hideMark/>
          </w:tcPr>
          <w:p w:rsidR="003F2B0C" w:rsidRPr="00093BFF" w:rsidRDefault="003F2B0C" w:rsidP="0084338D">
            <w:pPr>
              <w:spacing w:after="0" w:line="240" w:lineRule="auto"/>
              <w:jc w:val="center"/>
              <w:rPr>
                <w:rFonts w:eastAsia="Times New Roman" w:cs="Calibri"/>
                <w:b/>
                <w:bCs/>
                <w:color w:val="000000"/>
                <w:kern w:val="0"/>
                <w:sz w:val="18"/>
                <w:szCs w:val="18"/>
                <w:lang w:eastAsia="pl-PL"/>
              </w:rPr>
            </w:pPr>
            <w:r w:rsidRPr="00093BFF">
              <w:rPr>
                <w:rFonts w:eastAsia="Times New Roman" w:cs="Calibri"/>
                <w:b/>
                <w:bCs/>
                <w:color w:val="000000"/>
                <w:kern w:val="0"/>
                <w:sz w:val="18"/>
                <w:szCs w:val="18"/>
                <w:lang w:eastAsia="pl-PL"/>
              </w:rPr>
              <w:t>saldo migracji wewnętrznych</w:t>
            </w:r>
          </w:p>
        </w:tc>
      </w:tr>
      <w:tr w:rsidR="003F2B0C" w:rsidRPr="00093BFF" w:rsidTr="0084338D">
        <w:trPr>
          <w:trHeight w:val="340"/>
        </w:trPr>
        <w:tc>
          <w:tcPr>
            <w:tcW w:w="3393" w:type="dxa"/>
            <w:shd w:val="clear" w:color="auto" w:fill="FFC000"/>
            <w:noWrap/>
            <w:vAlign w:val="bottom"/>
            <w:hideMark/>
          </w:tcPr>
          <w:p w:rsidR="003F2B0C" w:rsidRPr="00093BFF" w:rsidRDefault="003F2B0C" w:rsidP="0084338D">
            <w:pPr>
              <w:spacing w:after="0" w:line="240" w:lineRule="auto"/>
              <w:jc w:val="center"/>
              <w:rPr>
                <w:rFonts w:eastAsia="Times New Roman" w:cs="Calibri"/>
                <w:b/>
                <w:bCs/>
                <w:color w:val="000000"/>
                <w:kern w:val="0"/>
                <w:sz w:val="18"/>
                <w:szCs w:val="18"/>
                <w:lang w:eastAsia="pl-PL"/>
              </w:rPr>
            </w:pPr>
          </w:p>
        </w:tc>
        <w:tc>
          <w:tcPr>
            <w:tcW w:w="941" w:type="dxa"/>
            <w:shd w:val="clear" w:color="auto" w:fill="FFC000"/>
            <w:vAlign w:val="center"/>
            <w:hideMark/>
          </w:tcPr>
          <w:p w:rsidR="003F2B0C" w:rsidRPr="00093BFF" w:rsidRDefault="003F2B0C" w:rsidP="0084338D">
            <w:pPr>
              <w:spacing w:after="0" w:line="240" w:lineRule="auto"/>
              <w:jc w:val="center"/>
              <w:rPr>
                <w:rFonts w:eastAsia="Times New Roman" w:cs="Calibri"/>
                <w:b/>
                <w:bCs/>
                <w:color w:val="000000"/>
                <w:kern w:val="0"/>
                <w:sz w:val="18"/>
                <w:szCs w:val="18"/>
                <w:lang w:eastAsia="pl-PL"/>
              </w:rPr>
            </w:pPr>
            <w:r w:rsidRPr="00093BFF">
              <w:rPr>
                <w:rFonts w:eastAsia="Times New Roman" w:cs="Calibri"/>
                <w:b/>
                <w:bCs/>
                <w:color w:val="000000"/>
                <w:kern w:val="0"/>
                <w:sz w:val="18"/>
                <w:szCs w:val="18"/>
                <w:lang w:eastAsia="pl-PL"/>
              </w:rPr>
              <w:t>2018</w:t>
            </w:r>
          </w:p>
        </w:tc>
        <w:tc>
          <w:tcPr>
            <w:tcW w:w="941" w:type="dxa"/>
            <w:shd w:val="clear" w:color="auto" w:fill="FFC000"/>
            <w:vAlign w:val="center"/>
            <w:hideMark/>
          </w:tcPr>
          <w:p w:rsidR="003F2B0C" w:rsidRPr="00093BFF" w:rsidRDefault="003F2B0C" w:rsidP="0084338D">
            <w:pPr>
              <w:spacing w:after="0" w:line="240" w:lineRule="auto"/>
              <w:jc w:val="center"/>
              <w:rPr>
                <w:rFonts w:eastAsia="Times New Roman" w:cs="Calibri"/>
                <w:b/>
                <w:bCs/>
                <w:color w:val="000000"/>
                <w:kern w:val="0"/>
                <w:sz w:val="18"/>
                <w:szCs w:val="18"/>
                <w:lang w:eastAsia="pl-PL"/>
              </w:rPr>
            </w:pPr>
            <w:r w:rsidRPr="00093BFF">
              <w:rPr>
                <w:rFonts w:eastAsia="Times New Roman" w:cs="Calibri"/>
                <w:b/>
                <w:bCs/>
                <w:color w:val="000000"/>
                <w:kern w:val="0"/>
                <w:sz w:val="18"/>
                <w:szCs w:val="18"/>
                <w:lang w:eastAsia="pl-PL"/>
              </w:rPr>
              <w:t>2019</w:t>
            </w:r>
          </w:p>
        </w:tc>
        <w:tc>
          <w:tcPr>
            <w:tcW w:w="941" w:type="dxa"/>
            <w:shd w:val="clear" w:color="auto" w:fill="FFC000"/>
            <w:vAlign w:val="center"/>
            <w:hideMark/>
          </w:tcPr>
          <w:p w:rsidR="003F2B0C" w:rsidRPr="00093BFF" w:rsidRDefault="003F2B0C" w:rsidP="0084338D">
            <w:pPr>
              <w:spacing w:after="0" w:line="240" w:lineRule="auto"/>
              <w:jc w:val="center"/>
              <w:rPr>
                <w:rFonts w:eastAsia="Times New Roman" w:cs="Calibri"/>
                <w:b/>
                <w:bCs/>
                <w:color w:val="000000"/>
                <w:kern w:val="0"/>
                <w:sz w:val="18"/>
                <w:szCs w:val="18"/>
                <w:lang w:eastAsia="pl-PL"/>
              </w:rPr>
            </w:pPr>
            <w:r w:rsidRPr="00093BFF">
              <w:rPr>
                <w:rFonts w:eastAsia="Times New Roman" w:cs="Calibri"/>
                <w:b/>
                <w:bCs/>
                <w:color w:val="000000"/>
                <w:kern w:val="0"/>
                <w:sz w:val="18"/>
                <w:szCs w:val="18"/>
                <w:lang w:eastAsia="pl-PL"/>
              </w:rPr>
              <w:t>2020</w:t>
            </w:r>
          </w:p>
        </w:tc>
        <w:tc>
          <w:tcPr>
            <w:tcW w:w="941" w:type="dxa"/>
            <w:shd w:val="clear" w:color="auto" w:fill="FFC000"/>
            <w:vAlign w:val="center"/>
            <w:hideMark/>
          </w:tcPr>
          <w:p w:rsidR="003F2B0C" w:rsidRPr="00093BFF" w:rsidRDefault="003F2B0C" w:rsidP="0084338D">
            <w:pPr>
              <w:spacing w:after="0" w:line="240" w:lineRule="auto"/>
              <w:jc w:val="center"/>
              <w:rPr>
                <w:rFonts w:eastAsia="Times New Roman" w:cs="Calibri"/>
                <w:b/>
                <w:bCs/>
                <w:color w:val="000000"/>
                <w:kern w:val="0"/>
                <w:sz w:val="18"/>
                <w:szCs w:val="18"/>
                <w:lang w:eastAsia="pl-PL"/>
              </w:rPr>
            </w:pPr>
            <w:r w:rsidRPr="00093BFF">
              <w:rPr>
                <w:rFonts w:eastAsia="Times New Roman" w:cs="Calibri"/>
                <w:b/>
                <w:bCs/>
                <w:color w:val="000000"/>
                <w:kern w:val="0"/>
                <w:sz w:val="18"/>
                <w:szCs w:val="18"/>
                <w:lang w:eastAsia="pl-PL"/>
              </w:rPr>
              <w:t>2021</w:t>
            </w:r>
          </w:p>
        </w:tc>
        <w:tc>
          <w:tcPr>
            <w:tcW w:w="941" w:type="dxa"/>
            <w:shd w:val="clear" w:color="auto" w:fill="FFC000"/>
            <w:vAlign w:val="center"/>
            <w:hideMark/>
          </w:tcPr>
          <w:p w:rsidR="003F2B0C" w:rsidRPr="00093BFF" w:rsidRDefault="003F2B0C" w:rsidP="0084338D">
            <w:pPr>
              <w:spacing w:after="0" w:line="240" w:lineRule="auto"/>
              <w:jc w:val="center"/>
              <w:rPr>
                <w:rFonts w:eastAsia="Times New Roman" w:cs="Calibri"/>
                <w:b/>
                <w:bCs/>
                <w:color w:val="000000"/>
                <w:kern w:val="0"/>
                <w:sz w:val="18"/>
                <w:szCs w:val="18"/>
                <w:lang w:eastAsia="pl-PL"/>
              </w:rPr>
            </w:pPr>
            <w:r w:rsidRPr="00093BFF">
              <w:rPr>
                <w:rFonts w:eastAsia="Times New Roman" w:cs="Calibri"/>
                <w:b/>
                <w:bCs/>
                <w:color w:val="000000"/>
                <w:kern w:val="0"/>
                <w:sz w:val="18"/>
                <w:szCs w:val="18"/>
                <w:lang w:eastAsia="pl-PL"/>
              </w:rPr>
              <w:t>2022</w:t>
            </w:r>
          </w:p>
        </w:tc>
        <w:tc>
          <w:tcPr>
            <w:tcW w:w="946" w:type="dxa"/>
            <w:shd w:val="clear" w:color="auto" w:fill="FFC000"/>
            <w:vAlign w:val="center"/>
            <w:hideMark/>
          </w:tcPr>
          <w:p w:rsidR="003F2B0C" w:rsidRPr="00093BFF" w:rsidRDefault="003F2B0C" w:rsidP="0084338D">
            <w:pPr>
              <w:spacing w:after="0" w:line="240" w:lineRule="auto"/>
              <w:jc w:val="center"/>
              <w:rPr>
                <w:rFonts w:eastAsia="Times New Roman" w:cs="Calibri"/>
                <w:b/>
                <w:bCs/>
                <w:color w:val="000000"/>
                <w:kern w:val="0"/>
                <w:sz w:val="18"/>
                <w:szCs w:val="18"/>
                <w:lang w:eastAsia="pl-PL"/>
              </w:rPr>
            </w:pPr>
            <w:r w:rsidRPr="00093BFF">
              <w:rPr>
                <w:rFonts w:eastAsia="Times New Roman" w:cs="Calibri"/>
                <w:b/>
                <w:bCs/>
                <w:color w:val="000000"/>
                <w:kern w:val="0"/>
                <w:sz w:val="18"/>
                <w:szCs w:val="18"/>
                <w:lang w:eastAsia="pl-PL"/>
              </w:rPr>
              <w:t>2023</w:t>
            </w:r>
          </w:p>
        </w:tc>
      </w:tr>
      <w:tr w:rsidR="003F2B0C" w:rsidRPr="00093BFF" w:rsidTr="0084338D">
        <w:trPr>
          <w:trHeight w:val="340"/>
        </w:trPr>
        <w:tc>
          <w:tcPr>
            <w:tcW w:w="3393" w:type="dxa"/>
            <w:shd w:val="clear" w:color="auto" w:fill="auto"/>
            <w:vAlign w:val="center"/>
            <w:hideMark/>
          </w:tcPr>
          <w:p w:rsidR="003F2B0C" w:rsidRPr="00093BFF" w:rsidRDefault="003F2B0C" w:rsidP="0084338D">
            <w:pPr>
              <w:spacing w:after="0" w:line="240" w:lineRule="auto"/>
              <w:jc w:val="left"/>
              <w:rPr>
                <w:rFonts w:eastAsia="Times New Roman" w:cs="Calibri"/>
                <w:kern w:val="0"/>
                <w:sz w:val="18"/>
                <w:szCs w:val="18"/>
                <w:lang w:eastAsia="pl-PL"/>
              </w:rPr>
            </w:pPr>
            <w:r w:rsidRPr="00093BFF">
              <w:rPr>
                <w:rFonts w:eastAsia="Times New Roman" w:cs="Calibri"/>
                <w:kern w:val="0"/>
                <w:sz w:val="18"/>
                <w:szCs w:val="18"/>
                <w:lang w:eastAsia="pl-PL"/>
              </w:rPr>
              <w:t>Wrocławski Obszar Funkcjonalny</w:t>
            </w:r>
          </w:p>
        </w:tc>
        <w:tc>
          <w:tcPr>
            <w:tcW w:w="941" w:type="dxa"/>
            <w:shd w:val="clear" w:color="auto" w:fill="auto"/>
            <w:noWrap/>
            <w:vAlign w:val="center"/>
            <w:hideMark/>
          </w:tcPr>
          <w:p w:rsidR="003F2B0C" w:rsidRPr="00093BFF" w:rsidRDefault="003F2B0C" w:rsidP="0084338D">
            <w:pPr>
              <w:spacing w:after="0" w:line="240" w:lineRule="auto"/>
              <w:jc w:val="center"/>
              <w:rPr>
                <w:rFonts w:eastAsia="Times New Roman" w:cs="Calibri"/>
                <w:kern w:val="0"/>
                <w:sz w:val="18"/>
                <w:szCs w:val="18"/>
                <w:lang w:eastAsia="pl-PL"/>
              </w:rPr>
            </w:pPr>
            <w:r w:rsidRPr="00093BFF">
              <w:rPr>
                <w:rFonts w:eastAsia="Times New Roman" w:cs="Calibri"/>
                <w:kern w:val="0"/>
                <w:sz w:val="18"/>
                <w:szCs w:val="18"/>
                <w:lang w:eastAsia="pl-PL"/>
              </w:rPr>
              <w:t>6294</w:t>
            </w:r>
          </w:p>
        </w:tc>
        <w:tc>
          <w:tcPr>
            <w:tcW w:w="941" w:type="dxa"/>
            <w:shd w:val="clear" w:color="auto" w:fill="auto"/>
            <w:noWrap/>
            <w:vAlign w:val="center"/>
            <w:hideMark/>
          </w:tcPr>
          <w:p w:rsidR="003F2B0C" w:rsidRPr="00093BFF" w:rsidRDefault="003F2B0C" w:rsidP="0084338D">
            <w:pPr>
              <w:spacing w:after="0" w:line="240" w:lineRule="auto"/>
              <w:jc w:val="center"/>
              <w:rPr>
                <w:rFonts w:eastAsia="Times New Roman" w:cs="Calibri"/>
                <w:kern w:val="0"/>
                <w:sz w:val="18"/>
                <w:szCs w:val="18"/>
                <w:lang w:eastAsia="pl-PL"/>
              </w:rPr>
            </w:pPr>
            <w:r w:rsidRPr="00093BFF">
              <w:rPr>
                <w:rFonts w:eastAsia="Times New Roman" w:cs="Calibri"/>
                <w:kern w:val="0"/>
                <w:sz w:val="18"/>
                <w:szCs w:val="18"/>
                <w:lang w:eastAsia="pl-PL"/>
              </w:rPr>
              <w:t>7623</w:t>
            </w:r>
          </w:p>
        </w:tc>
        <w:tc>
          <w:tcPr>
            <w:tcW w:w="941" w:type="dxa"/>
            <w:shd w:val="clear" w:color="auto" w:fill="auto"/>
            <w:noWrap/>
            <w:vAlign w:val="center"/>
            <w:hideMark/>
          </w:tcPr>
          <w:p w:rsidR="003F2B0C" w:rsidRPr="00093BFF" w:rsidRDefault="003F2B0C" w:rsidP="0084338D">
            <w:pPr>
              <w:spacing w:after="0" w:line="240" w:lineRule="auto"/>
              <w:jc w:val="center"/>
              <w:rPr>
                <w:rFonts w:eastAsia="Times New Roman" w:cs="Calibri"/>
                <w:kern w:val="0"/>
                <w:sz w:val="18"/>
                <w:szCs w:val="18"/>
                <w:lang w:eastAsia="pl-PL"/>
              </w:rPr>
            </w:pPr>
            <w:r w:rsidRPr="00093BFF">
              <w:rPr>
                <w:rFonts w:eastAsia="Times New Roman" w:cs="Calibri"/>
                <w:kern w:val="0"/>
                <w:sz w:val="18"/>
                <w:szCs w:val="18"/>
                <w:lang w:eastAsia="pl-PL"/>
              </w:rPr>
              <w:t>6163</w:t>
            </w:r>
          </w:p>
        </w:tc>
        <w:tc>
          <w:tcPr>
            <w:tcW w:w="941" w:type="dxa"/>
            <w:shd w:val="clear" w:color="auto" w:fill="auto"/>
            <w:noWrap/>
            <w:vAlign w:val="center"/>
            <w:hideMark/>
          </w:tcPr>
          <w:p w:rsidR="003F2B0C" w:rsidRPr="00093BFF" w:rsidRDefault="003F2B0C" w:rsidP="0084338D">
            <w:pPr>
              <w:spacing w:after="0" w:line="240" w:lineRule="auto"/>
              <w:jc w:val="center"/>
              <w:rPr>
                <w:rFonts w:eastAsia="Times New Roman" w:cs="Calibri"/>
                <w:kern w:val="0"/>
                <w:sz w:val="18"/>
                <w:szCs w:val="18"/>
                <w:lang w:eastAsia="pl-PL"/>
              </w:rPr>
            </w:pPr>
            <w:r w:rsidRPr="00093BFF">
              <w:rPr>
                <w:rFonts w:eastAsia="Times New Roman" w:cs="Calibri"/>
                <w:kern w:val="0"/>
                <w:sz w:val="18"/>
                <w:szCs w:val="18"/>
                <w:lang w:eastAsia="pl-PL"/>
              </w:rPr>
              <w:t>6075</w:t>
            </w:r>
          </w:p>
        </w:tc>
        <w:tc>
          <w:tcPr>
            <w:tcW w:w="941" w:type="dxa"/>
            <w:shd w:val="clear" w:color="auto" w:fill="auto"/>
            <w:noWrap/>
            <w:vAlign w:val="center"/>
            <w:hideMark/>
          </w:tcPr>
          <w:p w:rsidR="003F2B0C" w:rsidRPr="00093BFF" w:rsidRDefault="003F2B0C" w:rsidP="0084338D">
            <w:pPr>
              <w:spacing w:after="0" w:line="240" w:lineRule="auto"/>
              <w:jc w:val="center"/>
              <w:rPr>
                <w:rFonts w:eastAsia="Times New Roman" w:cs="Calibri"/>
                <w:kern w:val="0"/>
                <w:sz w:val="18"/>
                <w:szCs w:val="18"/>
                <w:lang w:eastAsia="pl-PL"/>
              </w:rPr>
            </w:pPr>
            <w:r w:rsidRPr="00093BFF">
              <w:rPr>
                <w:rFonts w:eastAsia="Times New Roman" w:cs="Calibri"/>
                <w:kern w:val="0"/>
                <w:sz w:val="18"/>
                <w:szCs w:val="18"/>
                <w:lang w:eastAsia="pl-PL"/>
              </w:rPr>
              <w:t>5919</w:t>
            </w:r>
          </w:p>
        </w:tc>
        <w:tc>
          <w:tcPr>
            <w:tcW w:w="946" w:type="dxa"/>
            <w:shd w:val="clear" w:color="auto" w:fill="auto"/>
            <w:noWrap/>
            <w:vAlign w:val="center"/>
            <w:hideMark/>
          </w:tcPr>
          <w:p w:rsidR="003F2B0C" w:rsidRPr="00093BFF" w:rsidRDefault="003F2B0C" w:rsidP="0084338D">
            <w:pPr>
              <w:spacing w:after="0" w:line="240" w:lineRule="auto"/>
              <w:jc w:val="center"/>
              <w:rPr>
                <w:rFonts w:eastAsia="Times New Roman" w:cs="Calibri"/>
                <w:kern w:val="0"/>
                <w:sz w:val="18"/>
                <w:szCs w:val="18"/>
                <w:lang w:eastAsia="pl-PL"/>
              </w:rPr>
            </w:pPr>
            <w:r w:rsidRPr="00093BFF">
              <w:rPr>
                <w:rFonts w:eastAsia="Times New Roman" w:cs="Calibri"/>
                <w:kern w:val="0"/>
                <w:sz w:val="18"/>
                <w:szCs w:val="18"/>
                <w:lang w:eastAsia="pl-PL"/>
              </w:rPr>
              <w:t>6222</w:t>
            </w:r>
          </w:p>
        </w:tc>
      </w:tr>
      <w:tr w:rsidR="003F2B0C" w:rsidRPr="00093BFF" w:rsidTr="0084338D">
        <w:trPr>
          <w:trHeight w:val="340"/>
        </w:trPr>
        <w:tc>
          <w:tcPr>
            <w:tcW w:w="3393" w:type="dxa"/>
            <w:shd w:val="clear" w:color="auto" w:fill="auto"/>
            <w:vAlign w:val="center"/>
            <w:hideMark/>
          </w:tcPr>
          <w:p w:rsidR="003F2B0C" w:rsidRPr="00093BFF" w:rsidRDefault="003F2B0C" w:rsidP="0084338D">
            <w:pPr>
              <w:spacing w:after="0" w:line="240" w:lineRule="auto"/>
              <w:jc w:val="left"/>
              <w:rPr>
                <w:rFonts w:eastAsia="Times New Roman" w:cs="Calibri"/>
                <w:kern w:val="0"/>
                <w:sz w:val="18"/>
                <w:szCs w:val="18"/>
                <w:lang w:eastAsia="pl-PL"/>
              </w:rPr>
            </w:pPr>
            <w:r w:rsidRPr="00093BFF">
              <w:rPr>
                <w:rFonts w:eastAsia="Times New Roman" w:cs="Calibri"/>
                <w:kern w:val="0"/>
                <w:sz w:val="18"/>
                <w:szCs w:val="18"/>
                <w:lang w:eastAsia="pl-PL"/>
              </w:rPr>
              <w:t>Metropolia Krakowska</w:t>
            </w:r>
          </w:p>
        </w:tc>
        <w:tc>
          <w:tcPr>
            <w:tcW w:w="941" w:type="dxa"/>
            <w:shd w:val="clear" w:color="auto" w:fill="auto"/>
            <w:noWrap/>
            <w:vAlign w:val="center"/>
            <w:hideMark/>
          </w:tcPr>
          <w:p w:rsidR="003F2B0C" w:rsidRPr="00093BFF" w:rsidRDefault="003F2B0C" w:rsidP="0084338D">
            <w:pPr>
              <w:spacing w:after="0" w:line="240" w:lineRule="auto"/>
              <w:jc w:val="center"/>
              <w:rPr>
                <w:rFonts w:eastAsia="Times New Roman" w:cs="Calibri"/>
                <w:kern w:val="0"/>
                <w:sz w:val="18"/>
                <w:szCs w:val="18"/>
                <w:lang w:eastAsia="pl-PL"/>
              </w:rPr>
            </w:pPr>
            <w:r w:rsidRPr="00093BFF">
              <w:rPr>
                <w:rFonts w:eastAsia="Times New Roman" w:cs="Calibri"/>
                <w:kern w:val="0"/>
                <w:sz w:val="18"/>
                <w:szCs w:val="18"/>
                <w:lang w:eastAsia="pl-PL"/>
              </w:rPr>
              <w:t>7264</w:t>
            </w:r>
          </w:p>
        </w:tc>
        <w:tc>
          <w:tcPr>
            <w:tcW w:w="941" w:type="dxa"/>
            <w:shd w:val="clear" w:color="auto" w:fill="auto"/>
            <w:noWrap/>
            <w:vAlign w:val="center"/>
            <w:hideMark/>
          </w:tcPr>
          <w:p w:rsidR="003F2B0C" w:rsidRPr="00093BFF" w:rsidRDefault="003F2B0C" w:rsidP="0084338D">
            <w:pPr>
              <w:spacing w:after="0" w:line="240" w:lineRule="auto"/>
              <w:jc w:val="center"/>
              <w:rPr>
                <w:rFonts w:eastAsia="Times New Roman" w:cs="Calibri"/>
                <w:kern w:val="0"/>
                <w:sz w:val="18"/>
                <w:szCs w:val="18"/>
                <w:lang w:eastAsia="pl-PL"/>
              </w:rPr>
            </w:pPr>
            <w:r w:rsidRPr="00093BFF">
              <w:rPr>
                <w:rFonts w:eastAsia="Times New Roman" w:cs="Calibri"/>
                <w:kern w:val="0"/>
                <w:sz w:val="18"/>
                <w:szCs w:val="18"/>
                <w:lang w:eastAsia="pl-PL"/>
              </w:rPr>
              <w:t>9673</w:t>
            </w:r>
          </w:p>
        </w:tc>
        <w:tc>
          <w:tcPr>
            <w:tcW w:w="941" w:type="dxa"/>
            <w:shd w:val="clear" w:color="auto" w:fill="auto"/>
            <w:noWrap/>
            <w:vAlign w:val="center"/>
            <w:hideMark/>
          </w:tcPr>
          <w:p w:rsidR="003F2B0C" w:rsidRPr="00093BFF" w:rsidRDefault="003F2B0C" w:rsidP="0084338D">
            <w:pPr>
              <w:spacing w:after="0" w:line="240" w:lineRule="auto"/>
              <w:jc w:val="center"/>
              <w:rPr>
                <w:rFonts w:eastAsia="Times New Roman" w:cs="Calibri"/>
                <w:kern w:val="0"/>
                <w:sz w:val="18"/>
                <w:szCs w:val="18"/>
                <w:lang w:eastAsia="pl-PL"/>
              </w:rPr>
            </w:pPr>
            <w:r w:rsidRPr="00093BFF">
              <w:rPr>
                <w:rFonts w:eastAsia="Times New Roman" w:cs="Calibri"/>
                <w:kern w:val="0"/>
                <w:sz w:val="18"/>
                <w:szCs w:val="18"/>
                <w:lang w:eastAsia="pl-PL"/>
              </w:rPr>
              <w:t>5340</w:t>
            </w:r>
          </w:p>
        </w:tc>
        <w:tc>
          <w:tcPr>
            <w:tcW w:w="941" w:type="dxa"/>
            <w:shd w:val="clear" w:color="auto" w:fill="auto"/>
            <w:noWrap/>
            <w:vAlign w:val="center"/>
            <w:hideMark/>
          </w:tcPr>
          <w:p w:rsidR="003F2B0C" w:rsidRPr="00093BFF" w:rsidRDefault="003F2B0C" w:rsidP="0084338D">
            <w:pPr>
              <w:spacing w:after="0" w:line="240" w:lineRule="auto"/>
              <w:jc w:val="center"/>
              <w:rPr>
                <w:rFonts w:eastAsia="Times New Roman" w:cs="Calibri"/>
                <w:kern w:val="0"/>
                <w:sz w:val="18"/>
                <w:szCs w:val="18"/>
                <w:lang w:eastAsia="pl-PL"/>
              </w:rPr>
            </w:pPr>
            <w:r w:rsidRPr="00093BFF">
              <w:rPr>
                <w:rFonts w:eastAsia="Times New Roman" w:cs="Calibri"/>
                <w:kern w:val="0"/>
                <w:sz w:val="18"/>
                <w:szCs w:val="18"/>
                <w:lang w:eastAsia="pl-PL"/>
              </w:rPr>
              <w:t>6560</w:t>
            </w:r>
          </w:p>
        </w:tc>
        <w:tc>
          <w:tcPr>
            <w:tcW w:w="941" w:type="dxa"/>
            <w:shd w:val="clear" w:color="auto" w:fill="auto"/>
            <w:noWrap/>
            <w:vAlign w:val="center"/>
            <w:hideMark/>
          </w:tcPr>
          <w:p w:rsidR="003F2B0C" w:rsidRPr="00093BFF" w:rsidRDefault="003F2B0C" w:rsidP="0084338D">
            <w:pPr>
              <w:spacing w:after="0" w:line="240" w:lineRule="auto"/>
              <w:jc w:val="center"/>
              <w:rPr>
                <w:rFonts w:eastAsia="Times New Roman" w:cs="Calibri"/>
                <w:kern w:val="0"/>
                <w:sz w:val="18"/>
                <w:szCs w:val="18"/>
                <w:lang w:eastAsia="pl-PL"/>
              </w:rPr>
            </w:pPr>
            <w:r w:rsidRPr="00093BFF">
              <w:rPr>
                <w:rFonts w:eastAsia="Times New Roman" w:cs="Calibri"/>
                <w:kern w:val="0"/>
                <w:sz w:val="18"/>
                <w:szCs w:val="18"/>
                <w:lang w:eastAsia="pl-PL"/>
              </w:rPr>
              <w:t>5112</w:t>
            </w:r>
          </w:p>
        </w:tc>
        <w:tc>
          <w:tcPr>
            <w:tcW w:w="946" w:type="dxa"/>
            <w:shd w:val="clear" w:color="auto" w:fill="auto"/>
            <w:noWrap/>
            <w:vAlign w:val="center"/>
            <w:hideMark/>
          </w:tcPr>
          <w:p w:rsidR="003F2B0C" w:rsidRPr="00093BFF" w:rsidRDefault="003F2B0C" w:rsidP="0084338D">
            <w:pPr>
              <w:spacing w:after="0" w:line="240" w:lineRule="auto"/>
              <w:jc w:val="center"/>
              <w:rPr>
                <w:rFonts w:eastAsia="Times New Roman" w:cs="Calibri"/>
                <w:kern w:val="0"/>
                <w:sz w:val="18"/>
                <w:szCs w:val="18"/>
                <w:lang w:eastAsia="pl-PL"/>
              </w:rPr>
            </w:pPr>
            <w:r w:rsidRPr="00093BFF">
              <w:rPr>
                <w:rFonts w:eastAsia="Times New Roman" w:cs="Calibri"/>
                <w:kern w:val="0"/>
                <w:sz w:val="18"/>
                <w:szCs w:val="18"/>
                <w:lang w:eastAsia="pl-PL"/>
              </w:rPr>
              <w:t>5807</w:t>
            </w:r>
          </w:p>
        </w:tc>
      </w:tr>
      <w:tr w:rsidR="003F2B0C" w:rsidRPr="00093BFF" w:rsidTr="0084338D">
        <w:trPr>
          <w:trHeight w:val="340"/>
        </w:trPr>
        <w:tc>
          <w:tcPr>
            <w:tcW w:w="3393" w:type="dxa"/>
            <w:shd w:val="clear" w:color="auto" w:fill="auto"/>
            <w:vAlign w:val="center"/>
            <w:hideMark/>
          </w:tcPr>
          <w:p w:rsidR="003F2B0C" w:rsidRPr="00093BFF" w:rsidRDefault="003F2B0C" w:rsidP="0084338D">
            <w:pPr>
              <w:spacing w:after="0" w:line="240" w:lineRule="auto"/>
              <w:jc w:val="left"/>
              <w:rPr>
                <w:rFonts w:eastAsia="Times New Roman" w:cs="Calibri"/>
                <w:kern w:val="0"/>
                <w:sz w:val="18"/>
                <w:szCs w:val="18"/>
                <w:lang w:eastAsia="pl-PL"/>
              </w:rPr>
            </w:pPr>
            <w:r w:rsidRPr="00093BFF">
              <w:rPr>
                <w:rFonts w:eastAsia="Times New Roman" w:cs="Calibri"/>
                <w:kern w:val="0"/>
                <w:sz w:val="18"/>
                <w:szCs w:val="18"/>
                <w:lang w:eastAsia="pl-PL"/>
              </w:rPr>
              <w:t>Metropolia Poznań</w:t>
            </w:r>
          </w:p>
        </w:tc>
        <w:tc>
          <w:tcPr>
            <w:tcW w:w="941" w:type="dxa"/>
            <w:shd w:val="clear" w:color="auto" w:fill="auto"/>
            <w:noWrap/>
            <w:vAlign w:val="center"/>
            <w:hideMark/>
          </w:tcPr>
          <w:p w:rsidR="003F2B0C" w:rsidRPr="00093BFF" w:rsidRDefault="003F2B0C" w:rsidP="0084338D">
            <w:pPr>
              <w:spacing w:after="0" w:line="240" w:lineRule="auto"/>
              <w:jc w:val="center"/>
              <w:rPr>
                <w:rFonts w:eastAsia="Times New Roman" w:cs="Calibri"/>
                <w:kern w:val="0"/>
                <w:sz w:val="18"/>
                <w:szCs w:val="18"/>
                <w:lang w:eastAsia="pl-PL"/>
              </w:rPr>
            </w:pPr>
            <w:r w:rsidRPr="00093BFF">
              <w:rPr>
                <w:rFonts w:eastAsia="Times New Roman" w:cs="Calibri"/>
                <w:kern w:val="0"/>
                <w:sz w:val="18"/>
                <w:szCs w:val="18"/>
                <w:lang w:eastAsia="pl-PL"/>
              </w:rPr>
              <w:t>4582</w:t>
            </w:r>
          </w:p>
        </w:tc>
        <w:tc>
          <w:tcPr>
            <w:tcW w:w="941" w:type="dxa"/>
            <w:shd w:val="clear" w:color="auto" w:fill="auto"/>
            <w:noWrap/>
            <w:vAlign w:val="center"/>
            <w:hideMark/>
          </w:tcPr>
          <w:p w:rsidR="003F2B0C" w:rsidRPr="00093BFF" w:rsidRDefault="003F2B0C" w:rsidP="0084338D">
            <w:pPr>
              <w:spacing w:after="0" w:line="240" w:lineRule="auto"/>
              <w:jc w:val="center"/>
              <w:rPr>
                <w:rFonts w:eastAsia="Times New Roman" w:cs="Calibri"/>
                <w:kern w:val="0"/>
                <w:sz w:val="18"/>
                <w:szCs w:val="18"/>
                <w:lang w:eastAsia="pl-PL"/>
              </w:rPr>
            </w:pPr>
            <w:r w:rsidRPr="00093BFF">
              <w:rPr>
                <w:rFonts w:eastAsia="Times New Roman" w:cs="Calibri"/>
                <w:kern w:val="0"/>
                <w:sz w:val="18"/>
                <w:szCs w:val="18"/>
                <w:lang w:eastAsia="pl-PL"/>
              </w:rPr>
              <w:t>5358</w:t>
            </w:r>
          </w:p>
        </w:tc>
        <w:tc>
          <w:tcPr>
            <w:tcW w:w="941" w:type="dxa"/>
            <w:shd w:val="clear" w:color="auto" w:fill="auto"/>
            <w:noWrap/>
            <w:vAlign w:val="center"/>
            <w:hideMark/>
          </w:tcPr>
          <w:p w:rsidR="003F2B0C" w:rsidRPr="00093BFF" w:rsidRDefault="003F2B0C" w:rsidP="0084338D">
            <w:pPr>
              <w:spacing w:after="0" w:line="240" w:lineRule="auto"/>
              <w:jc w:val="center"/>
              <w:rPr>
                <w:rFonts w:eastAsia="Times New Roman" w:cs="Calibri"/>
                <w:kern w:val="0"/>
                <w:sz w:val="18"/>
                <w:szCs w:val="18"/>
                <w:lang w:eastAsia="pl-PL"/>
              </w:rPr>
            </w:pPr>
            <w:r w:rsidRPr="00093BFF">
              <w:rPr>
                <w:rFonts w:eastAsia="Times New Roman" w:cs="Calibri"/>
                <w:kern w:val="0"/>
                <w:sz w:val="18"/>
                <w:szCs w:val="18"/>
                <w:lang w:eastAsia="pl-PL"/>
              </w:rPr>
              <w:t>4072</w:t>
            </w:r>
          </w:p>
        </w:tc>
        <w:tc>
          <w:tcPr>
            <w:tcW w:w="941" w:type="dxa"/>
            <w:shd w:val="clear" w:color="auto" w:fill="auto"/>
            <w:noWrap/>
            <w:vAlign w:val="center"/>
            <w:hideMark/>
          </w:tcPr>
          <w:p w:rsidR="003F2B0C" w:rsidRPr="00093BFF" w:rsidRDefault="003F2B0C" w:rsidP="0084338D">
            <w:pPr>
              <w:spacing w:after="0" w:line="240" w:lineRule="auto"/>
              <w:jc w:val="center"/>
              <w:rPr>
                <w:rFonts w:eastAsia="Times New Roman" w:cs="Calibri"/>
                <w:kern w:val="0"/>
                <w:sz w:val="18"/>
                <w:szCs w:val="18"/>
                <w:lang w:eastAsia="pl-PL"/>
              </w:rPr>
            </w:pPr>
            <w:r w:rsidRPr="00093BFF">
              <w:rPr>
                <w:rFonts w:eastAsia="Times New Roman" w:cs="Calibri"/>
                <w:kern w:val="0"/>
                <w:sz w:val="18"/>
                <w:szCs w:val="18"/>
                <w:lang w:eastAsia="pl-PL"/>
              </w:rPr>
              <w:t>4501</w:t>
            </w:r>
          </w:p>
        </w:tc>
        <w:tc>
          <w:tcPr>
            <w:tcW w:w="941" w:type="dxa"/>
            <w:shd w:val="clear" w:color="auto" w:fill="auto"/>
            <w:noWrap/>
            <w:vAlign w:val="center"/>
            <w:hideMark/>
          </w:tcPr>
          <w:p w:rsidR="003F2B0C" w:rsidRPr="00093BFF" w:rsidRDefault="003F2B0C" w:rsidP="0084338D">
            <w:pPr>
              <w:spacing w:after="0" w:line="240" w:lineRule="auto"/>
              <w:jc w:val="center"/>
              <w:rPr>
                <w:rFonts w:eastAsia="Times New Roman" w:cs="Calibri"/>
                <w:kern w:val="0"/>
                <w:sz w:val="18"/>
                <w:szCs w:val="18"/>
                <w:lang w:eastAsia="pl-PL"/>
              </w:rPr>
            </w:pPr>
            <w:r w:rsidRPr="00093BFF">
              <w:rPr>
                <w:rFonts w:eastAsia="Times New Roman" w:cs="Calibri"/>
                <w:kern w:val="0"/>
                <w:sz w:val="18"/>
                <w:szCs w:val="18"/>
                <w:lang w:eastAsia="pl-PL"/>
              </w:rPr>
              <w:t>3411</w:t>
            </w:r>
          </w:p>
        </w:tc>
        <w:tc>
          <w:tcPr>
            <w:tcW w:w="946" w:type="dxa"/>
            <w:shd w:val="clear" w:color="auto" w:fill="auto"/>
            <w:noWrap/>
            <w:vAlign w:val="center"/>
            <w:hideMark/>
          </w:tcPr>
          <w:p w:rsidR="003F2B0C" w:rsidRPr="00093BFF" w:rsidRDefault="003F2B0C" w:rsidP="0084338D">
            <w:pPr>
              <w:spacing w:after="0" w:line="240" w:lineRule="auto"/>
              <w:jc w:val="center"/>
              <w:rPr>
                <w:rFonts w:eastAsia="Times New Roman" w:cs="Calibri"/>
                <w:kern w:val="0"/>
                <w:sz w:val="18"/>
                <w:szCs w:val="18"/>
                <w:lang w:eastAsia="pl-PL"/>
              </w:rPr>
            </w:pPr>
            <w:r w:rsidRPr="00093BFF">
              <w:rPr>
                <w:rFonts w:eastAsia="Times New Roman" w:cs="Calibri"/>
                <w:kern w:val="0"/>
                <w:sz w:val="18"/>
                <w:szCs w:val="18"/>
                <w:lang w:eastAsia="pl-PL"/>
              </w:rPr>
              <w:t>3891</w:t>
            </w:r>
          </w:p>
        </w:tc>
      </w:tr>
      <w:tr w:rsidR="003F2B0C" w:rsidRPr="00093BFF" w:rsidTr="0084338D">
        <w:trPr>
          <w:trHeight w:val="340"/>
        </w:trPr>
        <w:tc>
          <w:tcPr>
            <w:tcW w:w="9044" w:type="dxa"/>
            <w:gridSpan w:val="7"/>
            <w:shd w:val="clear" w:color="auto" w:fill="FFC000"/>
            <w:noWrap/>
            <w:vAlign w:val="bottom"/>
            <w:hideMark/>
          </w:tcPr>
          <w:p w:rsidR="003F2B0C" w:rsidRPr="00093BFF" w:rsidRDefault="003F2B0C" w:rsidP="0084338D">
            <w:pPr>
              <w:spacing w:after="0" w:line="240" w:lineRule="auto"/>
              <w:jc w:val="center"/>
              <w:rPr>
                <w:rFonts w:eastAsia="Times New Roman" w:cs="Calibri"/>
                <w:b/>
                <w:bCs/>
                <w:color w:val="000000"/>
                <w:kern w:val="0"/>
                <w:sz w:val="18"/>
                <w:szCs w:val="18"/>
                <w:lang w:eastAsia="pl-PL"/>
              </w:rPr>
            </w:pPr>
            <w:r w:rsidRPr="00093BFF">
              <w:rPr>
                <w:rFonts w:eastAsia="Times New Roman" w:cs="Calibri"/>
                <w:b/>
                <w:bCs/>
                <w:color w:val="000000"/>
                <w:kern w:val="0"/>
                <w:sz w:val="18"/>
                <w:szCs w:val="18"/>
                <w:lang w:eastAsia="pl-PL"/>
              </w:rPr>
              <w:t>saldo migracji zagranicznych</w:t>
            </w:r>
          </w:p>
        </w:tc>
      </w:tr>
      <w:tr w:rsidR="003F2B0C" w:rsidRPr="00093BFF" w:rsidTr="0084338D">
        <w:trPr>
          <w:trHeight w:val="340"/>
        </w:trPr>
        <w:tc>
          <w:tcPr>
            <w:tcW w:w="3393" w:type="dxa"/>
            <w:shd w:val="clear" w:color="auto" w:fill="FFC000"/>
            <w:noWrap/>
            <w:vAlign w:val="bottom"/>
            <w:hideMark/>
          </w:tcPr>
          <w:p w:rsidR="003F2B0C" w:rsidRPr="00093BFF" w:rsidRDefault="003F2B0C" w:rsidP="0084338D">
            <w:pPr>
              <w:spacing w:after="0" w:line="240" w:lineRule="auto"/>
              <w:jc w:val="center"/>
              <w:rPr>
                <w:rFonts w:eastAsia="Times New Roman" w:cs="Calibri"/>
                <w:b/>
                <w:bCs/>
                <w:color w:val="000000"/>
                <w:kern w:val="0"/>
                <w:sz w:val="18"/>
                <w:szCs w:val="18"/>
                <w:lang w:eastAsia="pl-PL"/>
              </w:rPr>
            </w:pPr>
          </w:p>
        </w:tc>
        <w:tc>
          <w:tcPr>
            <w:tcW w:w="941" w:type="dxa"/>
            <w:shd w:val="clear" w:color="auto" w:fill="FFC000"/>
            <w:vAlign w:val="center"/>
            <w:hideMark/>
          </w:tcPr>
          <w:p w:rsidR="003F2B0C" w:rsidRPr="00093BFF" w:rsidRDefault="003F2B0C" w:rsidP="0084338D">
            <w:pPr>
              <w:spacing w:after="0" w:line="240" w:lineRule="auto"/>
              <w:jc w:val="center"/>
              <w:rPr>
                <w:rFonts w:eastAsia="Times New Roman" w:cs="Calibri"/>
                <w:b/>
                <w:bCs/>
                <w:color w:val="000000"/>
                <w:kern w:val="0"/>
                <w:sz w:val="18"/>
                <w:szCs w:val="18"/>
                <w:lang w:eastAsia="pl-PL"/>
              </w:rPr>
            </w:pPr>
            <w:r w:rsidRPr="00093BFF">
              <w:rPr>
                <w:rFonts w:eastAsia="Times New Roman" w:cs="Calibri"/>
                <w:b/>
                <w:bCs/>
                <w:color w:val="000000"/>
                <w:kern w:val="0"/>
                <w:sz w:val="18"/>
                <w:szCs w:val="18"/>
                <w:lang w:eastAsia="pl-PL"/>
              </w:rPr>
              <w:t>2018</w:t>
            </w:r>
          </w:p>
        </w:tc>
        <w:tc>
          <w:tcPr>
            <w:tcW w:w="941" w:type="dxa"/>
            <w:shd w:val="clear" w:color="auto" w:fill="FFC000"/>
            <w:vAlign w:val="center"/>
            <w:hideMark/>
          </w:tcPr>
          <w:p w:rsidR="003F2B0C" w:rsidRPr="00093BFF" w:rsidRDefault="003F2B0C" w:rsidP="0084338D">
            <w:pPr>
              <w:spacing w:after="0" w:line="240" w:lineRule="auto"/>
              <w:jc w:val="center"/>
              <w:rPr>
                <w:rFonts w:eastAsia="Times New Roman" w:cs="Calibri"/>
                <w:b/>
                <w:bCs/>
                <w:color w:val="000000"/>
                <w:kern w:val="0"/>
                <w:sz w:val="18"/>
                <w:szCs w:val="18"/>
                <w:lang w:eastAsia="pl-PL"/>
              </w:rPr>
            </w:pPr>
            <w:r w:rsidRPr="00093BFF">
              <w:rPr>
                <w:rFonts w:eastAsia="Times New Roman" w:cs="Calibri"/>
                <w:b/>
                <w:bCs/>
                <w:color w:val="000000"/>
                <w:kern w:val="0"/>
                <w:sz w:val="18"/>
                <w:szCs w:val="18"/>
                <w:lang w:eastAsia="pl-PL"/>
              </w:rPr>
              <w:t>2019</w:t>
            </w:r>
          </w:p>
        </w:tc>
        <w:tc>
          <w:tcPr>
            <w:tcW w:w="941" w:type="dxa"/>
            <w:shd w:val="clear" w:color="auto" w:fill="FFC000"/>
            <w:vAlign w:val="center"/>
            <w:hideMark/>
          </w:tcPr>
          <w:p w:rsidR="003F2B0C" w:rsidRPr="00093BFF" w:rsidRDefault="003F2B0C" w:rsidP="0084338D">
            <w:pPr>
              <w:spacing w:after="0" w:line="240" w:lineRule="auto"/>
              <w:jc w:val="center"/>
              <w:rPr>
                <w:rFonts w:eastAsia="Times New Roman" w:cs="Calibri"/>
                <w:b/>
                <w:bCs/>
                <w:color w:val="000000"/>
                <w:kern w:val="0"/>
                <w:sz w:val="18"/>
                <w:szCs w:val="18"/>
                <w:lang w:eastAsia="pl-PL"/>
              </w:rPr>
            </w:pPr>
            <w:r w:rsidRPr="00093BFF">
              <w:rPr>
                <w:rFonts w:eastAsia="Times New Roman" w:cs="Calibri"/>
                <w:b/>
                <w:bCs/>
                <w:color w:val="000000"/>
                <w:kern w:val="0"/>
                <w:sz w:val="18"/>
                <w:szCs w:val="18"/>
                <w:lang w:eastAsia="pl-PL"/>
              </w:rPr>
              <w:t>2020</w:t>
            </w:r>
          </w:p>
        </w:tc>
        <w:tc>
          <w:tcPr>
            <w:tcW w:w="941" w:type="dxa"/>
            <w:shd w:val="clear" w:color="auto" w:fill="FFC000"/>
            <w:vAlign w:val="center"/>
            <w:hideMark/>
          </w:tcPr>
          <w:p w:rsidR="003F2B0C" w:rsidRPr="00093BFF" w:rsidRDefault="003F2B0C" w:rsidP="0084338D">
            <w:pPr>
              <w:spacing w:after="0" w:line="240" w:lineRule="auto"/>
              <w:jc w:val="center"/>
              <w:rPr>
                <w:rFonts w:eastAsia="Times New Roman" w:cs="Calibri"/>
                <w:b/>
                <w:bCs/>
                <w:color w:val="000000"/>
                <w:kern w:val="0"/>
                <w:sz w:val="18"/>
                <w:szCs w:val="18"/>
                <w:lang w:eastAsia="pl-PL"/>
              </w:rPr>
            </w:pPr>
            <w:r w:rsidRPr="00093BFF">
              <w:rPr>
                <w:rFonts w:eastAsia="Times New Roman" w:cs="Calibri"/>
                <w:b/>
                <w:bCs/>
                <w:color w:val="000000"/>
                <w:kern w:val="0"/>
                <w:sz w:val="18"/>
                <w:szCs w:val="18"/>
                <w:lang w:eastAsia="pl-PL"/>
              </w:rPr>
              <w:t>2021</w:t>
            </w:r>
          </w:p>
        </w:tc>
        <w:tc>
          <w:tcPr>
            <w:tcW w:w="941" w:type="dxa"/>
            <w:shd w:val="clear" w:color="auto" w:fill="FFC000"/>
            <w:vAlign w:val="center"/>
            <w:hideMark/>
          </w:tcPr>
          <w:p w:rsidR="003F2B0C" w:rsidRPr="00093BFF" w:rsidRDefault="003F2B0C" w:rsidP="0084338D">
            <w:pPr>
              <w:spacing w:after="0" w:line="240" w:lineRule="auto"/>
              <w:jc w:val="center"/>
              <w:rPr>
                <w:rFonts w:eastAsia="Times New Roman" w:cs="Calibri"/>
                <w:b/>
                <w:bCs/>
                <w:color w:val="000000"/>
                <w:kern w:val="0"/>
                <w:sz w:val="18"/>
                <w:szCs w:val="18"/>
                <w:lang w:eastAsia="pl-PL"/>
              </w:rPr>
            </w:pPr>
            <w:r w:rsidRPr="00093BFF">
              <w:rPr>
                <w:rFonts w:eastAsia="Times New Roman" w:cs="Calibri"/>
                <w:b/>
                <w:bCs/>
                <w:color w:val="000000"/>
                <w:kern w:val="0"/>
                <w:sz w:val="18"/>
                <w:szCs w:val="18"/>
                <w:lang w:eastAsia="pl-PL"/>
              </w:rPr>
              <w:t>2022</w:t>
            </w:r>
          </w:p>
        </w:tc>
        <w:tc>
          <w:tcPr>
            <w:tcW w:w="946" w:type="dxa"/>
            <w:shd w:val="clear" w:color="auto" w:fill="FFC000"/>
            <w:vAlign w:val="center"/>
            <w:hideMark/>
          </w:tcPr>
          <w:p w:rsidR="003F2B0C" w:rsidRPr="00093BFF" w:rsidRDefault="003F2B0C" w:rsidP="0084338D">
            <w:pPr>
              <w:spacing w:after="0" w:line="240" w:lineRule="auto"/>
              <w:jc w:val="center"/>
              <w:rPr>
                <w:rFonts w:eastAsia="Times New Roman" w:cs="Calibri"/>
                <w:b/>
                <w:bCs/>
                <w:color w:val="000000"/>
                <w:kern w:val="0"/>
                <w:sz w:val="18"/>
                <w:szCs w:val="18"/>
                <w:lang w:eastAsia="pl-PL"/>
              </w:rPr>
            </w:pPr>
            <w:r w:rsidRPr="00093BFF">
              <w:rPr>
                <w:rFonts w:eastAsia="Times New Roman" w:cs="Calibri"/>
                <w:b/>
                <w:bCs/>
                <w:color w:val="000000"/>
                <w:kern w:val="0"/>
                <w:sz w:val="18"/>
                <w:szCs w:val="18"/>
                <w:lang w:eastAsia="pl-PL"/>
              </w:rPr>
              <w:t>2023</w:t>
            </w:r>
          </w:p>
        </w:tc>
      </w:tr>
      <w:tr w:rsidR="003F2B0C" w:rsidRPr="00093BFF" w:rsidTr="0084338D">
        <w:trPr>
          <w:trHeight w:val="340"/>
        </w:trPr>
        <w:tc>
          <w:tcPr>
            <w:tcW w:w="3393" w:type="dxa"/>
            <w:shd w:val="clear" w:color="auto" w:fill="auto"/>
            <w:vAlign w:val="center"/>
            <w:hideMark/>
          </w:tcPr>
          <w:p w:rsidR="003F2B0C" w:rsidRPr="00093BFF" w:rsidRDefault="003F2B0C" w:rsidP="0084338D">
            <w:pPr>
              <w:spacing w:after="0" w:line="240" w:lineRule="auto"/>
              <w:jc w:val="left"/>
              <w:rPr>
                <w:rFonts w:eastAsia="Times New Roman" w:cs="Calibri"/>
                <w:kern w:val="0"/>
                <w:sz w:val="18"/>
                <w:szCs w:val="18"/>
                <w:lang w:eastAsia="pl-PL"/>
              </w:rPr>
            </w:pPr>
            <w:r w:rsidRPr="00093BFF">
              <w:rPr>
                <w:rFonts w:eastAsia="Times New Roman" w:cs="Calibri"/>
                <w:kern w:val="0"/>
                <w:sz w:val="18"/>
                <w:szCs w:val="18"/>
                <w:lang w:eastAsia="pl-PL"/>
              </w:rPr>
              <w:t>Wrocławski Obszar Funkcjonalny</w:t>
            </w:r>
          </w:p>
        </w:tc>
        <w:tc>
          <w:tcPr>
            <w:tcW w:w="941" w:type="dxa"/>
            <w:shd w:val="clear" w:color="auto" w:fill="auto"/>
            <w:noWrap/>
            <w:vAlign w:val="center"/>
            <w:hideMark/>
          </w:tcPr>
          <w:p w:rsidR="003F2B0C" w:rsidRPr="00093BFF" w:rsidRDefault="003F2B0C" w:rsidP="0084338D">
            <w:pPr>
              <w:spacing w:after="0" w:line="240" w:lineRule="auto"/>
              <w:jc w:val="center"/>
              <w:rPr>
                <w:rFonts w:eastAsia="Times New Roman" w:cs="Calibri"/>
                <w:kern w:val="0"/>
                <w:sz w:val="18"/>
                <w:szCs w:val="18"/>
                <w:lang w:eastAsia="pl-PL"/>
              </w:rPr>
            </w:pPr>
            <w:r w:rsidRPr="00093BFF">
              <w:rPr>
                <w:rFonts w:eastAsia="Times New Roman" w:cs="Calibri"/>
                <w:kern w:val="0"/>
                <w:sz w:val="18"/>
                <w:szCs w:val="18"/>
                <w:lang w:eastAsia="pl-PL"/>
              </w:rPr>
              <w:t>624</w:t>
            </w:r>
          </w:p>
        </w:tc>
        <w:tc>
          <w:tcPr>
            <w:tcW w:w="941" w:type="dxa"/>
            <w:shd w:val="clear" w:color="auto" w:fill="auto"/>
            <w:noWrap/>
            <w:vAlign w:val="center"/>
            <w:hideMark/>
          </w:tcPr>
          <w:p w:rsidR="003F2B0C" w:rsidRPr="00093BFF" w:rsidRDefault="003F2B0C" w:rsidP="0084338D">
            <w:pPr>
              <w:spacing w:after="0" w:line="240" w:lineRule="auto"/>
              <w:jc w:val="center"/>
              <w:rPr>
                <w:rFonts w:eastAsia="Times New Roman" w:cs="Calibri"/>
                <w:kern w:val="0"/>
                <w:sz w:val="18"/>
                <w:szCs w:val="18"/>
                <w:lang w:eastAsia="pl-PL"/>
              </w:rPr>
            </w:pPr>
            <w:r w:rsidRPr="00093BFF">
              <w:rPr>
                <w:rFonts w:eastAsia="Times New Roman" w:cs="Calibri"/>
                <w:kern w:val="0"/>
                <w:sz w:val="18"/>
                <w:szCs w:val="18"/>
                <w:lang w:eastAsia="pl-PL"/>
              </w:rPr>
              <w:t>547</w:t>
            </w:r>
          </w:p>
        </w:tc>
        <w:tc>
          <w:tcPr>
            <w:tcW w:w="941" w:type="dxa"/>
            <w:shd w:val="clear" w:color="auto" w:fill="auto"/>
            <w:noWrap/>
            <w:vAlign w:val="center"/>
            <w:hideMark/>
          </w:tcPr>
          <w:p w:rsidR="003F2B0C" w:rsidRPr="00093BFF" w:rsidRDefault="003F2B0C" w:rsidP="0084338D">
            <w:pPr>
              <w:spacing w:after="0" w:line="240" w:lineRule="auto"/>
              <w:jc w:val="center"/>
              <w:rPr>
                <w:rFonts w:eastAsia="Times New Roman" w:cs="Calibri"/>
                <w:kern w:val="0"/>
                <w:sz w:val="18"/>
                <w:szCs w:val="18"/>
                <w:lang w:eastAsia="pl-PL"/>
              </w:rPr>
            </w:pPr>
            <w:r w:rsidRPr="00093BFF">
              <w:rPr>
                <w:rFonts w:eastAsia="Times New Roman" w:cs="Calibri"/>
                <w:kern w:val="0"/>
                <w:sz w:val="18"/>
                <w:szCs w:val="18"/>
                <w:lang w:eastAsia="pl-PL"/>
              </w:rPr>
              <w:t>417</w:t>
            </w:r>
          </w:p>
        </w:tc>
        <w:tc>
          <w:tcPr>
            <w:tcW w:w="941" w:type="dxa"/>
            <w:shd w:val="clear" w:color="auto" w:fill="auto"/>
            <w:noWrap/>
            <w:vAlign w:val="center"/>
            <w:hideMark/>
          </w:tcPr>
          <w:p w:rsidR="003F2B0C" w:rsidRPr="00093BFF" w:rsidRDefault="003F2B0C" w:rsidP="0084338D">
            <w:pPr>
              <w:spacing w:after="0" w:line="240" w:lineRule="auto"/>
              <w:jc w:val="center"/>
              <w:rPr>
                <w:rFonts w:eastAsia="Times New Roman" w:cs="Calibri"/>
                <w:kern w:val="0"/>
                <w:sz w:val="18"/>
                <w:szCs w:val="18"/>
                <w:lang w:eastAsia="pl-PL"/>
              </w:rPr>
            </w:pPr>
            <w:r w:rsidRPr="00093BFF">
              <w:rPr>
                <w:rFonts w:eastAsia="Times New Roman" w:cs="Calibri"/>
                <w:kern w:val="0"/>
                <w:sz w:val="18"/>
                <w:szCs w:val="18"/>
                <w:lang w:eastAsia="pl-PL"/>
              </w:rPr>
              <w:t>365</w:t>
            </w:r>
          </w:p>
        </w:tc>
        <w:tc>
          <w:tcPr>
            <w:tcW w:w="941" w:type="dxa"/>
            <w:shd w:val="clear" w:color="auto" w:fill="auto"/>
            <w:noWrap/>
            <w:vAlign w:val="center"/>
            <w:hideMark/>
          </w:tcPr>
          <w:p w:rsidR="003F2B0C" w:rsidRPr="00093BFF" w:rsidRDefault="003F2B0C" w:rsidP="0084338D">
            <w:pPr>
              <w:spacing w:after="0" w:line="240" w:lineRule="auto"/>
              <w:jc w:val="center"/>
              <w:rPr>
                <w:rFonts w:eastAsia="Times New Roman" w:cs="Calibri"/>
                <w:kern w:val="0"/>
                <w:sz w:val="18"/>
                <w:szCs w:val="18"/>
                <w:lang w:eastAsia="pl-PL"/>
              </w:rPr>
            </w:pPr>
            <w:r w:rsidRPr="00093BFF">
              <w:rPr>
                <w:rFonts w:eastAsia="Times New Roman" w:cs="Calibri"/>
                <w:kern w:val="0"/>
                <w:sz w:val="18"/>
                <w:szCs w:val="18"/>
                <w:lang w:eastAsia="pl-PL"/>
              </w:rPr>
              <w:t>185</w:t>
            </w:r>
          </w:p>
        </w:tc>
        <w:tc>
          <w:tcPr>
            <w:tcW w:w="946" w:type="dxa"/>
            <w:shd w:val="clear" w:color="auto" w:fill="auto"/>
            <w:noWrap/>
            <w:vAlign w:val="center"/>
            <w:hideMark/>
          </w:tcPr>
          <w:p w:rsidR="003F2B0C" w:rsidRPr="00093BFF" w:rsidRDefault="003F2B0C" w:rsidP="0084338D">
            <w:pPr>
              <w:spacing w:after="0" w:line="240" w:lineRule="auto"/>
              <w:jc w:val="center"/>
              <w:rPr>
                <w:rFonts w:eastAsia="Times New Roman" w:cs="Calibri"/>
                <w:kern w:val="0"/>
                <w:sz w:val="18"/>
                <w:szCs w:val="18"/>
                <w:lang w:eastAsia="pl-PL"/>
              </w:rPr>
            </w:pPr>
            <w:r w:rsidRPr="00093BFF">
              <w:rPr>
                <w:rFonts w:eastAsia="Times New Roman" w:cs="Calibri"/>
                <w:kern w:val="0"/>
                <w:sz w:val="18"/>
                <w:szCs w:val="18"/>
                <w:lang w:eastAsia="pl-PL"/>
              </w:rPr>
              <w:t>359</w:t>
            </w:r>
          </w:p>
        </w:tc>
      </w:tr>
      <w:tr w:rsidR="003F2B0C" w:rsidRPr="00093BFF" w:rsidTr="0084338D">
        <w:trPr>
          <w:trHeight w:val="340"/>
        </w:trPr>
        <w:tc>
          <w:tcPr>
            <w:tcW w:w="3393" w:type="dxa"/>
            <w:shd w:val="clear" w:color="auto" w:fill="auto"/>
            <w:vAlign w:val="center"/>
            <w:hideMark/>
          </w:tcPr>
          <w:p w:rsidR="003F2B0C" w:rsidRPr="00093BFF" w:rsidRDefault="003F2B0C" w:rsidP="0084338D">
            <w:pPr>
              <w:spacing w:after="0" w:line="240" w:lineRule="auto"/>
              <w:jc w:val="left"/>
              <w:rPr>
                <w:rFonts w:eastAsia="Times New Roman" w:cs="Calibri"/>
                <w:kern w:val="0"/>
                <w:sz w:val="18"/>
                <w:szCs w:val="18"/>
                <w:lang w:eastAsia="pl-PL"/>
              </w:rPr>
            </w:pPr>
            <w:r w:rsidRPr="00093BFF">
              <w:rPr>
                <w:rFonts w:eastAsia="Times New Roman" w:cs="Calibri"/>
                <w:kern w:val="0"/>
                <w:sz w:val="18"/>
                <w:szCs w:val="18"/>
                <w:lang w:eastAsia="pl-PL"/>
              </w:rPr>
              <w:t>Metropolia Krakowska</w:t>
            </w:r>
          </w:p>
        </w:tc>
        <w:tc>
          <w:tcPr>
            <w:tcW w:w="941" w:type="dxa"/>
            <w:shd w:val="clear" w:color="auto" w:fill="auto"/>
            <w:noWrap/>
            <w:vAlign w:val="center"/>
            <w:hideMark/>
          </w:tcPr>
          <w:p w:rsidR="003F2B0C" w:rsidRPr="00093BFF" w:rsidRDefault="003F2B0C" w:rsidP="0084338D">
            <w:pPr>
              <w:spacing w:after="0" w:line="240" w:lineRule="auto"/>
              <w:jc w:val="center"/>
              <w:rPr>
                <w:rFonts w:eastAsia="Times New Roman" w:cs="Calibri"/>
                <w:kern w:val="0"/>
                <w:sz w:val="18"/>
                <w:szCs w:val="18"/>
                <w:lang w:eastAsia="pl-PL"/>
              </w:rPr>
            </w:pPr>
            <w:r w:rsidRPr="00093BFF">
              <w:rPr>
                <w:rFonts w:eastAsia="Times New Roman" w:cs="Calibri"/>
                <w:kern w:val="0"/>
                <w:sz w:val="18"/>
                <w:szCs w:val="18"/>
                <w:lang w:eastAsia="pl-PL"/>
              </w:rPr>
              <w:t>683</w:t>
            </w:r>
          </w:p>
        </w:tc>
        <w:tc>
          <w:tcPr>
            <w:tcW w:w="941" w:type="dxa"/>
            <w:shd w:val="clear" w:color="auto" w:fill="auto"/>
            <w:noWrap/>
            <w:vAlign w:val="center"/>
            <w:hideMark/>
          </w:tcPr>
          <w:p w:rsidR="003F2B0C" w:rsidRPr="00093BFF" w:rsidRDefault="003F2B0C" w:rsidP="0084338D">
            <w:pPr>
              <w:spacing w:after="0" w:line="240" w:lineRule="auto"/>
              <w:jc w:val="center"/>
              <w:rPr>
                <w:rFonts w:eastAsia="Times New Roman" w:cs="Calibri"/>
                <w:kern w:val="0"/>
                <w:sz w:val="18"/>
                <w:szCs w:val="18"/>
                <w:lang w:eastAsia="pl-PL"/>
              </w:rPr>
            </w:pPr>
            <w:r w:rsidRPr="00093BFF">
              <w:rPr>
                <w:rFonts w:eastAsia="Times New Roman" w:cs="Calibri"/>
                <w:kern w:val="0"/>
                <w:sz w:val="18"/>
                <w:szCs w:val="18"/>
                <w:lang w:eastAsia="pl-PL"/>
              </w:rPr>
              <w:t>786</w:t>
            </w:r>
          </w:p>
        </w:tc>
        <w:tc>
          <w:tcPr>
            <w:tcW w:w="941" w:type="dxa"/>
            <w:shd w:val="clear" w:color="auto" w:fill="auto"/>
            <w:noWrap/>
            <w:vAlign w:val="center"/>
            <w:hideMark/>
          </w:tcPr>
          <w:p w:rsidR="003F2B0C" w:rsidRPr="00093BFF" w:rsidRDefault="003F2B0C" w:rsidP="0084338D">
            <w:pPr>
              <w:spacing w:after="0" w:line="240" w:lineRule="auto"/>
              <w:jc w:val="center"/>
              <w:rPr>
                <w:rFonts w:eastAsia="Times New Roman" w:cs="Calibri"/>
                <w:kern w:val="0"/>
                <w:sz w:val="18"/>
                <w:szCs w:val="18"/>
                <w:lang w:eastAsia="pl-PL"/>
              </w:rPr>
            </w:pPr>
            <w:r w:rsidRPr="00093BFF">
              <w:rPr>
                <w:rFonts w:eastAsia="Times New Roman" w:cs="Calibri"/>
                <w:kern w:val="0"/>
                <w:sz w:val="18"/>
                <w:szCs w:val="18"/>
                <w:lang w:eastAsia="pl-PL"/>
              </w:rPr>
              <w:t>639</w:t>
            </w:r>
          </w:p>
        </w:tc>
        <w:tc>
          <w:tcPr>
            <w:tcW w:w="941" w:type="dxa"/>
            <w:shd w:val="clear" w:color="auto" w:fill="auto"/>
            <w:noWrap/>
            <w:vAlign w:val="center"/>
            <w:hideMark/>
          </w:tcPr>
          <w:p w:rsidR="003F2B0C" w:rsidRPr="00093BFF" w:rsidRDefault="003F2B0C" w:rsidP="0084338D">
            <w:pPr>
              <w:spacing w:after="0" w:line="240" w:lineRule="auto"/>
              <w:jc w:val="center"/>
              <w:rPr>
                <w:rFonts w:eastAsia="Times New Roman" w:cs="Calibri"/>
                <w:kern w:val="0"/>
                <w:sz w:val="18"/>
                <w:szCs w:val="18"/>
                <w:lang w:eastAsia="pl-PL"/>
              </w:rPr>
            </w:pPr>
            <w:r w:rsidRPr="00093BFF">
              <w:rPr>
                <w:rFonts w:eastAsia="Times New Roman" w:cs="Calibri"/>
                <w:kern w:val="0"/>
                <w:sz w:val="18"/>
                <w:szCs w:val="18"/>
                <w:lang w:eastAsia="pl-PL"/>
              </w:rPr>
              <w:t>884</w:t>
            </w:r>
          </w:p>
        </w:tc>
        <w:tc>
          <w:tcPr>
            <w:tcW w:w="941" w:type="dxa"/>
            <w:shd w:val="clear" w:color="auto" w:fill="auto"/>
            <w:noWrap/>
            <w:vAlign w:val="center"/>
            <w:hideMark/>
          </w:tcPr>
          <w:p w:rsidR="003F2B0C" w:rsidRPr="00093BFF" w:rsidRDefault="003F2B0C" w:rsidP="0084338D">
            <w:pPr>
              <w:spacing w:after="0" w:line="240" w:lineRule="auto"/>
              <w:jc w:val="center"/>
              <w:rPr>
                <w:rFonts w:eastAsia="Times New Roman" w:cs="Calibri"/>
                <w:kern w:val="0"/>
                <w:sz w:val="18"/>
                <w:szCs w:val="18"/>
                <w:lang w:eastAsia="pl-PL"/>
              </w:rPr>
            </w:pPr>
            <w:r w:rsidRPr="00093BFF">
              <w:rPr>
                <w:rFonts w:eastAsia="Times New Roman" w:cs="Calibri"/>
                <w:kern w:val="0"/>
                <w:sz w:val="18"/>
                <w:szCs w:val="18"/>
                <w:lang w:eastAsia="pl-PL"/>
              </w:rPr>
              <w:t>719</w:t>
            </w:r>
          </w:p>
        </w:tc>
        <w:tc>
          <w:tcPr>
            <w:tcW w:w="946" w:type="dxa"/>
            <w:shd w:val="clear" w:color="auto" w:fill="auto"/>
            <w:noWrap/>
            <w:vAlign w:val="center"/>
            <w:hideMark/>
          </w:tcPr>
          <w:p w:rsidR="003F2B0C" w:rsidRPr="00093BFF" w:rsidRDefault="003F2B0C" w:rsidP="0084338D">
            <w:pPr>
              <w:spacing w:after="0" w:line="240" w:lineRule="auto"/>
              <w:jc w:val="center"/>
              <w:rPr>
                <w:rFonts w:eastAsia="Times New Roman" w:cs="Calibri"/>
                <w:kern w:val="0"/>
                <w:sz w:val="18"/>
                <w:szCs w:val="18"/>
                <w:lang w:eastAsia="pl-PL"/>
              </w:rPr>
            </w:pPr>
            <w:r w:rsidRPr="00093BFF">
              <w:rPr>
                <w:rFonts w:eastAsia="Times New Roman" w:cs="Calibri"/>
                <w:kern w:val="0"/>
                <w:sz w:val="18"/>
                <w:szCs w:val="18"/>
                <w:lang w:eastAsia="pl-PL"/>
              </w:rPr>
              <w:t>1101</w:t>
            </w:r>
          </w:p>
        </w:tc>
      </w:tr>
      <w:tr w:rsidR="003F2B0C" w:rsidRPr="00093BFF" w:rsidTr="0084338D">
        <w:trPr>
          <w:trHeight w:val="340"/>
        </w:trPr>
        <w:tc>
          <w:tcPr>
            <w:tcW w:w="3393" w:type="dxa"/>
            <w:shd w:val="clear" w:color="auto" w:fill="auto"/>
            <w:vAlign w:val="center"/>
            <w:hideMark/>
          </w:tcPr>
          <w:p w:rsidR="003F2B0C" w:rsidRPr="00093BFF" w:rsidRDefault="003F2B0C" w:rsidP="0084338D">
            <w:pPr>
              <w:spacing w:after="0" w:line="240" w:lineRule="auto"/>
              <w:jc w:val="left"/>
              <w:rPr>
                <w:rFonts w:eastAsia="Times New Roman" w:cs="Calibri"/>
                <w:kern w:val="0"/>
                <w:sz w:val="18"/>
                <w:szCs w:val="18"/>
                <w:lang w:eastAsia="pl-PL"/>
              </w:rPr>
            </w:pPr>
            <w:r w:rsidRPr="00093BFF">
              <w:rPr>
                <w:rFonts w:eastAsia="Times New Roman" w:cs="Calibri"/>
                <w:kern w:val="0"/>
                <w:sz w:val="18"/>
                <w:szCs w:val="18"/>
                <w:lang w:eastAsia="pl-PL"/>
              </w:rPr>
              <w:t>Metropolia Poznań</w:t>
            </w:r>
          </w:p>
        </w:tc>
        <w:tc>
          <w:tcPr>
            <w:tcW w:w="941" w:type="dxa"/>
            <w:shd w:val="clear" w:color="auto" w:fill="auto"/>
            <w:noWrap/>
            <w:vAlign w:val="center"/>
            <w:hideMark/>
          </w:tcPr>
          <w:p w:rsidR="003F2B0C" w:rsidRPr="00093BFF" w:rsidRDefault="003F2B0C" w:rsidP="0084338D">
            <w:pPr>
              <w:spacing w:after="0" w:line="240" w:lineRule="auto"/>
              <w:jc w:val="center"/>
              <w:rPr>
                <w:rFonts w:eastAsia="Times New Roman" w:cs="Calibri"/>
                <w:kern w:val="0"/>
                <w:sz w:val="18"/>
                <w:szCs w:val="18"/>
                <w:lang w:eastAsia="pl-PL"/>
              </w:rPr>
            </w:pPr>
            <w:r w:rsidRPr="00093BFF">
              <w:rPr>
                <w:rFonts w:eastAsia="Times New Roman" w:cs="Calibri"/>
                <w:kern w:val="0"/>
                <w:sz w:val="18"/>
                <w:szCs w:val="18"/>
                <w:lang w:eastAsia="pl-PL"/>
              </w:rPr>
              <w:t>257</w:t>
            </w:r>
          </w:p>
        </w:tc>
        <w:tc>
          <w:tcPr>
            <w:tcW w:w="941" w:type="dxa"/>
            <w:shd w:val="clear" w:color="auto" w:fill="auto"/>
            <w:noWrap/>
            <w:vAlign w:val="center"/>
            <w:hideMark/>
          </w:tcPr>
          <w:p w:rsidR="003F2B0C" w:rsidRPr="00093BFF" w:rsidRDefault="003F2B0C" w:rsidP="0084338D">
            <w:pPr>
              <w:spacing w:after="0" w:line="240" w:lineRule="auto"/>
              <w:jc w:val="center"/>
              <w:rPr>
                <w:rFonts w:eastAsia="Times New Roman" w:cs="Calibri"/>
                <w:kern w:val="0"/>
                <w:sz w:val="18"/>
                <w:szCs w:val="18"/>
                <w:lang w:eastAsia="pl-PL"/>
              </w:rPr>
            </w:pPr>
            <w:r w:rsidRPr="00093BFF">
              <w:rPr>
                <w:rFonts w:eastAsia="Times New Roman" w:cs="Calibri"/>
                <w:kern w:val="0"/>
                <w:sz w:val="18"/>
                <w:szCs w:val="18"/>
                <w:lang w:eastAsia="pl-PL"/>
              </w:rPr>
              <w:t>264</w:t>
            </w:r>
          </w:p>
        </w:tc>
        <w:tc>
          <w:tcPr>
            <w:tcW w:w="941" w:type="dxa"/>
            <w:shd w:val="clear" w:color="auto" w:fill="auto"/>
            <w:noWrap/>
            <w:vAlign w:val="center"/>
            <w:hideMark/>
          </w:tcPr>
          <w:p w:rsidR="003F2B0C" w:rsidRPr="00093BFF" w:rsidRDefault="003F2B0C" w:rsidP="0084338D">
            <w:pPr>
              <w:spacing w:after="0" w:line="240" w:lineRule="auto"/>
              <w:jc w:val="center"/>
              <w:rPr>
                <w:rFonts w:eastAsia="Times New Roman" w:cs="Calibri"/>
                <w:kern w:val="0"/>
                <w:sz w:val="18"/>
                <w:szCs w:val="18"/>
                <w:lang w:eastAsia="pl-PL"/>
              </w:rPr>
            </w:pPr>
            <w:r w:rsidRPr="00093BFF">
              <w:rPr>
                <w:rFonts w:eastAsia="Times New Roman" w:cs="Calibri"/>
                <w:kern w:val="0"/>
                <w:sz w:val="18"/>
                <w:szCs w:val="18"/>
                <w:lang w:eastAsia="pl-PL"/>
              </w:rPr>
              <w:t>273</w:t>
            </w:r>
          </w:p>
        </w:tc>
        <w:tc>
          <w:tcPr>
            <w:tcW w:w="941" w:type="dxa"/>
            <w:shd w:val="clear" w:color="auto" w:fill="auto"/>
            <w:noWrap/>
            <w:vAlign w:val="center"/>
            <w:hideMark/>
          </w:tcPr>
          <w:p w:rsidR="003F2B0C" w:rsidRPr="00093BFF" w:rsidRDefault="003F2B0C" w:rsidP="0084338D">
            <w:pPr>
              <w:spacing w:after="0" w:line="240" w:lineRule="auto"/>
              <w:jc w:val="center"/>
              <w:rPr>
                <w:rFonts w:eastAsia="Times New Roman" w:cs="Calibri"/>
                <w:kern w:val="0"/>
                <w:sz w:val="18"/>
                <w:szCs w:val="18"/>
                <w:lang w:eastAsia="pl-PL"/>
              </w:rPr>
            </w:pPr>
            <w:r w:rsidRPr="00093BFF">
              <w:rPr>
                <w:rFonts w:eastAsia="Times New Roman" w:cs="Calibri"/>
                <w:kern w:val="0"/>
                <w:sz w:val="18"/>
                <w:szCs w:val="18"/>
                <w:lang w:eastAsia="pl-PL"/>
              </w:rPr>
              <w:t>335</w:t>
            </w:r>
          </w:p>
        </w:tc>
        <w:tc>
          <w:tcPr>
            <w:tcW w:w="941" w:type="dxa"/>
            <w:shd w:val="clear" w:color="auto" w:fill="auto"/>
            <w:noWrap/>
            <w:vAlign w:val="center"/>
            <w:hideMark/>
          </w:tcPr>
          <w:p w:rsidR="003F2B0C" w:rsidRPr="00093BFF" w:rsidRDefault="003F2B0C" w:rsidP="0084338D">
            <w:pPr>
              <w:spacing w:after="0" w:line="240" w:lineRule="auto"/>
              <w:jc w:val="center"/>
              <w:rPr>
                <w:rFonts w:eastAsia="Times New Roman" w:cs="Calibri"/>
                <w:kern w:val="0"/>
                <w:sz w:val="18"/>
                <w:szCs w:val="18"/>
                <w:lang w:eastAsia="pl-PL"/>
              </w:rPr>
            </w:pPr>
            <w:r w:rsidRPr="00093BFF">
              <w:rPr>
                <w:rFonts w:eastAsia="Times New Roman" w:cs="Calibri"/>
                <w:kern w:val="0"/>
                <w:sz w:val="18"/>
                <w:szCs w:val="18"/>
                <w:lang w:eastAsia="pl-PL"/>
              </w:rPr>
              <w:t>329</w:t>
            </w:r>
          </w:p>
        </w:tc>
        <w:tc>
          <w:tcPr>
            <w:tcW w:w="946" w:type="dxa"/>
            <w:shd w:val="clear" w:color="auto" w:fill="auto"/>
            <w:noWrap/>
            <w:vAlign w:val="center"/>
            <w:hideMark/>
          </w:tcPr>
          <w:p w:rsidR="003F2B0C" w:rsidRPr="00093BFF" w:rsidRDefault="003F2B0C" w:rsidP="0084338D">
            <w:pPr>
              <w:spacing w:after="0" w:line="240" w:lineRule="auto"/>
              <w:jc w:val="center"/>
              <w:rPr>
                <w:rFonts w:eastAsia="Times New Roman" w:cs="Calibri"/>
                <w:kern w:val="0"/>
                <w:sz w:val="18"/>
                <w:szCs w:val="18"/>
                <w:lang w:eastAsia="pl-PL"/>
              </w:rPr>
            </w:pPr>
            <w:r w:rsidRPr="00093BFF">
              <w:rPr>
                <w:rFonts w:eastAsia="Times New Roman" w:cs="Calibri"/>
                <w:kern w:val="0"/>
                <w:sz w:val="18"/>
                <w:szCs w:val="18"/>
                <w:lang w:eastAsia="pl-PL"/>
              </w:rPr>
              <w:t>472</w:t>
            </w:r>
          </w:p>
        </w:tc>
      </w:tr>
    </w:tbl>
    <w:p w:rsidR="003F2B0C" w:rsidRPr="002737CB" w:rsidRDefault="003F2B0C" w:rsidP="003F2B0C">
      <w:pPr>
        <w:spacing w:line="276" w:lineRule="auto"/>
        <w:rPr>
          <w:iCs/>
          <w:color w:val="363735" w:themeColor="accent3"/>
          <w:sz w:val="20"/>
          <w:szCs w:val="18"/>
        </w:rPr>
      </w:pPr>
      <w:r w:rsidRPr="002737CB">
        <w:rPr>
          <w:iCs/>
          <w:color w:val="363735" w:themeColor="accent3"/>
          <w:sz w:val="20"/>
          <w:szCs w:val="18"/>
        </w:rPr>
        <w:t xml:space="preserve">Źródło: opracowanie własne na podstawie danych GUS BDL, </w:t>
      </w:r>
      <w:r>
        <w:rPr>
          <w:iCs/>
          <w:color w:val="363735" w:themeColor="accent3"/>
          <w:sz w:val="20"/>
          <w:szCs w:val="18"/>
        </w:rPr>
        <w:t xml:space="preserve">dostęp </w:t>
      </w:r>
      <w:r w:rsidRPr="002737CB">
        <w:rPr>
          <w:iCs/>
          <w:color w:val="363735" w:themeColor="accent3"/>
          <w:sz w:val="20"/>
          <w:szCs w:val="18"/>
        </w:rPr>
        <w:t>30.01.2025</w:t>
      </w:r>
    </w:p>
    <w:p w:rsidR="003F2B0C" w:rsidRDefault="003F2B0C" w:rsidP="003F2B0C"/>
    <w:p w:rsidR="003F2B0C" w:rsidRDefault="003F2B0C" w:rsidP="003F2B0C">
      <w:r w:rsidRPr="00EC4C3C">
        <w:t>W kontekście migracji w obrębie B</w:t>
      </w:r>
      <w:r>
        <w:t xml:space="preserve">rneńskiego Obszaru Metropolitalnego </w:t>
      </w:r>
      <w:r w:rsidRPr="00EC4C3C">
        <w:t>coraz więcej mieszkańców przemieszcza</w:t>
      </w:r>
      <w:r>
        <w:t xml:space="preserve"> </w:t>
      </w:r>
      <w:r w:rsidRPr="00EC4C3C">
        <w:t>się z Brna do gmin</w:t>
      </w:r>
      <w:r>
        <w:t xml:space="preserve"> </w:t>
      </w:r>
      <w:r w:rsidRPr="00EC4C3C">
        <w:t xml:space="preserve">położonych w głębi </w:t>
      </w:r>
      <w:r>
        <w:t>obszaru</w:t>
      </w:r>
      <w:r w:rsidRPr="00EC4C3C">
        <w:t xml:space="preserve"> niż odwrotnie.</w:t>
      </w:r>
      <w:r>
        <w:t xml:space="preserve"> </w:t>
      </w:r>
      <w:r w:rsidRPr="00EC4C3C">
        <w:t xml:space="preserve">W 2022 roku do Brna przeprowadziło się 1805 osób z </w:t>
      </w:r>
      <w:r>
        <w:t xml:space="preserve">sąsiednich </w:t>
      </w:r>
      <w:r w:rsidRPr="00EC4C3C">
        <w:t>gmin</w:t>
      </w:r>
      <w:r>
        <w:t xml:space="preserve">, a </w:t>
      </w:r>
      <w:r w:rsidRPr="00EC4C3C">
        <w:t xml:space="preserve">3259 osób opuściło </w:t>
      </w:r>
      <w:r>
        <w:t>obszar metropolitalny</w:t>
      </w:r>
      <w:r w:rsidRPr="00EC4C3C">
        <w:t xml:space="preserve"> i Brno</w:t>
      </w:r>
      <w:r>
        <w:t xml:space="preserve">. </w:t>
      </w:r>
    </w:p>
    <w:p w:rsidR="003F2B0C" w:rsidRPr="00EC4C3C" w:rsidRDefault="003F2B0C" w:rsidP="003F2B0C">
      <w:r>
        <w:t xml:space="preserve">W przypadku aglomeracji Drezna nie ma dostępnych informacji dla wszystkich miast aglomeracji. Natomiast populacja samego Drezna zwiększyła się miedzy rokiem 2023, a 2024 o 1408 mieszkańców. </w:t>
      </w:r>
    </w:p>
    <w:p w:rsidR="003F2B0C" w:rsidRDefault="003F2B0C" w:rsidP="003F2B0C">
      <w:pPr>
        <w:rPr>
          <w:b/>
          <w:bCs/>
        </w:rPr>
      </w:pPr>
      <w:r w:rsidRPr="00776BD6">
        <w:rPr>
          <w:b/>
          <w:bCs/>
        </w:rPr>
        <w:t>4.Transport i komunikacja (główne elementy infrastruktury transportowej)</w:t>
      </w:r>
    </w:p>
    <w:p w:rsidR="003F2B0C" w:rsidRDefault="003F2B0C" w:rsidP="003F2B0C">
      <w:r w:rsidRPr="00BB5B7C">
        <w:t>Dostępność spójnej sieci komunikacyjnej, zapewniającej zrównoważoną mobilność, jest jednym z czynników wpływających na rozwój społeczno- gospodarczy obszar</w:t>
      </w:r>
      <w:r>
        <w:t>ów</w:t>
      </w:r>
      <w:r w:rsidRPr="00BB5B7C">
        <w:t xml:space="preserve"> funkcjonaln</w:t>
      </w:r>
      <w:r>
        <w:t>ych</w:t>
      </w:r>
      <w:r w:rsidRPr="00BB5B7C">
        <w:t>, przyczyniając się do rozwoju i wzmacniania powiązań między gminami.</w:t>
      </w:r>
      <w:r>
        <w:t xml:space="preserve"> Ze względu na dostępność danych na poziomie krajowym i unijnym postanowiono przeanalizować krajowe obszary funkcjonalne porównując dostępne dane statystyczne oraz główne dokumenty strategiczne jak plany mobilności miejskiej. Rozwój transportu i komunikacji na obszarze Brneńskiego Obszaru Metropolitalnego i Aglomeracji Drezna przeanalizowano pod katem jakościowym i dokumentów strategicznych. </w:t>
      </w:r>
    </w:p>
    <w:p w:rsidR="003F2B0C" w:rsidRDefault="003F2B0C" w:rsidP="003F2B0C">
      <w:r>
        <w:t xml:space="preserve">Ponieważ o poziomie rozwoju sieci komunikacyjnej i transportowej świadczy również stan dróg nie tylko krajowych, czy powiatowych ale również gminnych poniżej dokonano porównania między </w:t>
      </w:r>
      <w:r>
        <w:lastRenderedPageBreak/>
        <w:t xml:space="preserve">krajowymi obszarami funkcjonalnymi. Najwięcej dróg o nawierzchni twardej znajduje się w Metropolii Poznań (2268,1 km w 2023 roku). Na obszarze Wrocławskiego Obszaru Funkcjonalnego takich dróg było 1900,6 </w:t>
      </w:r>
      <w:proofErr w:type="spellStart"/>
      <w:r>
        <w:t>km</w:t>
      </w:r>
      <w:proofErr w:type="spellEnd"/>
      <w:r>
        <w:t xml:space="preserve">.  W Metropolii Krakowskiej długości sieci dróg gminnych o nawierzchni twardej wynosiła 2203,7 </w:t>
      </w:r>
      <w:proofErr w:type="spellStart"/>
      <w:r>
        <w:t>km</w:t>
      </w:r>
      <w:proofErr w:type="spellEnd"/>
      <w:r>
        <w:t>.</w:t>
      </w:r>
    </w:p>
    <w:p w:rsidR="003F2B0C" w:rsidRPr="00526461" w:rsidRDefault="003F2B0C" w:rsidP="003F2B0C">
      <w:pPr>
        <w:rPr>
          <w:iCs/>
          <w:color w:val="363735" w:themeColor="accent3"/>
          <w:sz w:val="20"/>
          <w:szCs w:val="18"/>
        </w:rPr>
      </w:pPr>
      <w:bookmarkStart w:id="83" w:name="_Toc196867065"/>
      <w:bookmarkStart w:id="84" w:name="_Toc196905077"/>
      <w:r w:rsidRPr="00526461">
        <w:rPr>
          <w:iCs/>
          <w:color w:val="363735" w:themeColor="accent3"/>
          <w:sz w:val="20"/>
          <w:szCs w:val="18"/>
        </w:rPr>
        <w:t xml:space="preserve">Tabela </w:t>
      </w:r>
      <w:r w:rsidR="00646D05" w:rsidRPr="00526461">
        <w:rPr>
          <w:iCs/>
          <w:color w:val="363735" w:themeColor="accent3"/>
          <w:sz w:val="20"/>
          <w:szCs w:val="18"/>
        </w:rPr>
        <w:fldChar w:fldCharType="begin"/>
      </w:r>
      <w:r w:rsidRPr="00526461">
        <w:rPr>
          <w:iCs/>
          <w:color w:val="363735" w:themeColor="accent3"/>
          <w:sz w:val="20"/>
          <w:szCs w:val="18"/>
        </w:rPr>
        <w:instrText xml:space="preserve"> SEQ Tabela \* ARABIC </w:instrText>
      </w:r>
      <w:r w:rsidR="00646D05" w:rsidRPr="00526461">
        <w:rPr>
          <w:iCs/>
          <w:color w:val="363735" w:themeColor="accent3"/>
          <w:sz w:val="20"/>
          <w:szCs w:val="18"/>
        </w:rPr>
        <w:fldChar w:fldCharType="separate"/>
      </w:r>
      <w:r w:rsidR="0084338D">
        <w:rPr>
          <w:iCs/>
          <w:noProof/>
          <w:color w:val="363735" w:themeColor="accent3"/>
          <w:sz w:val="20"/>
          <w:szCs w:val="18"/>
        </w:rPr>
        <w:t>13</w:t>
      </w:r>
      <w:r w:rsidR="00646D05" w:rsidRPr="00526461">
        <w:rPr>
          <w:iCs/>
          <w:color w:val="363735" w:themeColor="accent3"/>
          <w:sz w:val="20"/>
          <w:szCs w:val="18"/>
        </w:rPr>
        <w:fldChar w:fldCharType="end"/>
      </w:r>
      <w:r w:rsidRPr="00526461">
        <w:rPr>
          <w:iCs/>
          <w:color w:val="363735" w:themeColor="accent3"/>
          <w:sz w:val="20"/>
          <w:szCs w:val="18"/>
        </w:rPr>
        <w:t>. Charakterystyka dróg gminnych wg typu nawierzchni.</w:t>
      </w:r>
      <w:bookmarkEnd w:id="83"/>
      <w:bookmarkEnd w:id="84"/>
    </w:p>
    <w:tbl>
      <w:tblPr>
        <w:tblW w:w="9127" w:type="dxa"/>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CellMar>
          <w:left w:w="70" w:type="dxa"/>
          <w:right w:w="70" w:type="dxa"/>
        </w:tblCellMar>
        <w:tblLook w:val="04A0"/>
      </w:tblPr>
      <w:tblGrid>
        <w:gridCol w:w="1984"/>
        <w:gridCol w:w="1190"/>
        <w:gridCol w:w="1191"/>
        <w:gridCol w:w="1190"/>
        <w:gridCol w:w="1191"/>
        <w:gridCol w:w="1190"/>
        <w:gridCol w:w="1191"/>
      </w:tblGrid>
      <w:tr w:rsidR="003F2B0C" w:rsidRPr="00EF1C12" w:rsidTr="0084338D">
        <w:trPr>
          <w:trHeight w:val="758"/>
        </w:trPr>
        <w:tc>
          <w:tcPr>
            <w:tcW w:w="1984" w:type="dxa"/>
            <w:shd w:val="clear" w:color="auto" w:fill="FABE00"/>
            <w:noWrap/>
            <w:vAlign w:val="bottom"/>
            <w:hideMark/>
          </w:tcPr>
          <w:p w:rsidR="003F2B0C" w:rsidRPr="00EF1C12" w:rsidRDefault="003F2B0C" w:rsidP="0084338D">
            <w:pPr>
              <w:spacing w:after="0" w:line="240" w:lineRule="auto"/>
              <w:jc w:val="center"/>
              <w:rPr>
                <w:rFonts w:ascii="Aptos" w:eastAsia="Times New Roman" w:hAnsi="Aptos" w:cs="Times New Roman"/>
                <w:kern w:val="0"/>
                <w:sz w:val="20"/>
                <w:szCs w:val="20"/>
                <w:lang w:eastAsia="pl-PL"/>
              </w:rPr>
            </w:pPr>
          </w:p>
        </w:tc>
        <w:tc>
          <w:tcPr>
            <w:tcW w:w="2381" w:type="dxa"/>
            <w:gridSpan w:val="2"/>
            <w:shd w:val="clear" w:color="auto" w:fill="FABE00"/>
            <w:vAlign w:val="center"/>
            <w:hideMark/>
          </w:tcPr>
          <w:p w:rsidR="003F2B0C" w:rsidRPr="00EF1C12" w:rsidRDefault="003F2B0C" w:rsidP="0084338D">
            <w:pPr>
              <w:spacing w:after="0" w:line="240" w:lineRule="auto"/>
              <w:jc w:val="center"/>
              <w:rPr>
                <w:rFonts w:ascii="Aptos" w:eastAsia="Times New Roman" w:hAnsi="Aptos" w:cs="Calibri"/>
                <w:color w:val="000000"/>
                <w:kern w:val="0"/>
                <w:sz w:val="20"/>
                <w:szCs w:val="20"/>
                <w:lang w:eastAsia="pl-PL"/>
              </w:rPr>
            </w:pPr>
            <w:r w:rsidRPr="00EF1C12">
              <w:rPr>
                <w:rFonts w:ascii="Aptos" w:eastAsia="Times New Roman" w:hAnsi="Aptos" w:cs="Calibri"/>
                <w:color w:val="000000"/>
                <w:kern w:val="0"/>
                <w:sz w:val="20"/>
                <w:szCs w:val="20"/>
                <w:lang w:eastAsia="pl-PL"/>
              </w:rPr>
              <w:t>o nawierzchni twardej</w:t>
            </w:r>
          </w:p>
        </w:tc>
        <w:tc>
          <w:tcPr>
            <w:tcW w:w="2381" w:type="dxa"/>
            <w:gridSpan w:val="2"/>
            <w:shd w:val="clear" w:color="auto" w:fill="FABE00"/>
            <w:vAlign w:val="center"/>
            <w:hideMark/>
          </w:tcPr>
          <w:p w:rsidR="003F2B0C" w:rsidRPr="00EF1C12" w:rsidRDefault="003F2B0C" w:rsidP="0084338D">
            <w:pPr>
              <w:spacing w:after="0" w:line="240" w:lineRule="auto"/>
              <w:jc w:val="center"/>
              <w:rPr>
                <w:rFonts w:ascii="Aptos" w:eastAsia="Times New Roman" w:hAnsi="Aptos" w:cs="Calibri"/>
                <w:color w:val="000000"/>
                <w:kern w:val="0"/>
                <w:sz w:val="20"/>
                <w:szCs w:val="20"/>
                <w:lang w:eastAsia="pl-PL"/>
              </w:rPr>
            </w:pPr>
            <w:r w:rsidRPr="00EF1C12">
              <w:rPr>
                <w:rFonts w:ascii="Aptos" w:eastAsia="Times New Roman" w:hAnsi="Aptos" w:cs="Calibri"/>
                <w:color w:val="000000"/>
                <w:kern w:val="0"/>
                <w:sz w:val="20"/>
                <w:szCs w:val="20"/>
                <w:lang w:eastAsia="pl-PL"/>
              </w:rPr>
              <w:t>o nawierzchni twardej ulepszonej</w:t>
            </w:r>
          </w:p>
        </w:tc>
        <w:tc>
          <w:tcPr>
            <w:tcW w:w="2381" w:type="dxa"/>
            <w:gridSpan w:val="2"/>
            <w:shd w:val="clear" w:color="auto" w:fill="FABE00"/>
            <w:vAlign w:val="center"/>
            <w:hideMark/>
          </w:tcPr>
          <w:p w:rsidR="003F2B0C" w:rsidRPr="00EF1C12" w:rsidRDefault="003F2B0C" w:rsidP="0084338D">
            <w:pPr>
              <w:spacing w:after="0" w:line="240" w:lineRule="auto"/>
              <w:jc w:val="center"/>
              <w:rPr>
                <w:rFonts w:ascii="Aptos" w:eastAsia="Times New Roman" w:hAnsi="Aptos" w:cs="Calibri"/>
                <w:color w:val="000000"/>
                <w:kern w:val="0"/>
                <w:sz w:val="20"/>
                <w:szCs w:val="20"/>
                <w:lang w:eastAsia="pl-PL"/>
              </w:rPr>
            </w:pPr>
            <w:r w:rsidRPr="00EF1C12">
              <w:rPr>
                <w:rFonts w:ascii="Aptos" w:eastAsia="Times New Roman" w:hAnsi="Aptos" w:cs="Calibri"/>
                <w:color w:val="000000"/>
                <w:kern w:val="0"/>
                <w:sz w:val="20"/>
                <w:szCs w:val="20"/>
                <w:lang w:eastAsia="pl-PL"/>
              </w:rPr>
              <w:t>o nawierzchni gruntowej</w:t>
            </w:r>
          </w:p>
        </w:tc>
      </w:tr>
      <w:tr w:rsidR="003F2B0C" w:rsidRPr="00EF1C12" w:rsidTr="0084338D">
        <w:trPr>
          <w:trHeight w:val="270"/>
        </w:trPr>
        <w:tc>
          <w:tcPr>
            <w:tcW w:w="1984" w:type="dxa"/>
            <w:shd w:val="clear" w:color="auto" w:fill="FABE00"/>
            <w:noWrap/>
            <w:vAlign w:val="bottom"/>
            <w:hideMark/>
          </w:tcPr>
          <w:p w:rsidR="003F2B0C" w:rsidRPr="00EF1C12" w:rsidRDefault="003F2B0C" w:rsidP="0084338D">
            <w:pPr>
              <w:spacing w:after="0" w:line="240" w:lineRule="auto"/>
              <w:jc w:val="center"/>
              <w:rPr>
                <w:rFonts w:ascii="Aptos" w:eastAsia="Times New Roman" w:hAnsi="Aptos" w:cs="Calibri"/>
                <w:color w:val="000000"/>
                <w:kern w:val="0"/>
                <w:sz w:val="20"/>
                <w:szCs w:val="20"/>
                <w:lang w:eastAsia="pl-PL"/>
              </w:rPr>
            </w:pPr>
          </w:p>
        </w:tc>
        <w:tc>
          <w:tcPr>
            <w:tcW w:w="1190" w:type="dxa"/>
            <w:shd w:val="clear" w:color="auto" w:fill="FABE00"/>
            <w:vAlign w:val="center"/>
            <w:hideMark/>
          </w:tcPr>
          <w:p w:rsidR="003F2B0C" w:rsidRPr="00EF1C12" w:rsidRDefault="003F2B0C" w:rsidP="0084338D">
            <w:pPr>
              <w:spacing w:after="0" w:line="240" w:lineRule="auto"/>
              <w:jc w:val="center"/>
              <w:rPr>
                <w:rFonts w:ascii="Aptos" w:eastAsia="Times New Roman" w:hAnsi="Aptos" w:cs="Calibri"/>
                <w:color w:val="000000"/>
                <w:kern w:val="0"/>
                <w:sz w:val="20"/>
                <w:szCs w:val="20"/>
                <w:lang w:eastAsia="pl-PL"/>
              </w:rPr>
            </w:pPr>
            <w:r w:rsidRPr="00EF1C12">
              <w:rPr>
                <w:rFonts w:ascii="Aptos" w:eastAsia="Times New Roman" w:hAnsi="Aptos" w:cs="Calibri"/>
                <w:color w:val="000000"/>
                <w:kern w:val="0"/>
                <w:sz w:val="20"/>
                <w:szCs w:val="20"/>
                <w:lang w:eastAsia="pl-PL"/>
              </w:rPr>
              <w:t>2022</w:t>
            </w:r>
          </w:p>
        </w:tc>
        <w:tc>
          <w:tcPr>
            <w:tcW w:w="1191" w:type="dxa"/>
            <w:shd w:val="clear" w:color="auto" w:fill="FABE00"/>
            <w:vAlign w:val="center"/>
            <w:hideMark/>
          </w:tcPr>
          <w:p w:rsidR="003F2B0C" w:rsidRPr="00EF1C12" w:rsidRDefault="003F2B0C" w:rsidP="0084338D">
            <w:pPr>
              <w:spacing w:after="0" w:line="240" w:lineRule="auto"/>
              <w:jc w:val="center"/>
              <w:rPr>
                <w:rFonts w:ascii="Aptos" w:eastAsia="Times New Roman" w:hAnsi="Aptos" w:cs="Calibri"/>
                <w:color w:val="000000"/>
                <w:kern w:val="0"/>
                <w:sz w:val="20"/>
                <w:szCs w:val="20"/>
                <w:lang w:eastAsia="pl-PL"/>
              </w:rPr>
            </w:pPr>
            <w:r w:rsidRPr="00EF1C12">
              <w:rPr>
                <w:rFonts w:ascii="Aptos" w:eastAsia="Times New Roman" w:hAnsi="Aptos" w:cs="Calibri"/>
                <w:color w:val="000000"/>
                <w:kern w:val="0"/>
                <w:sz w:val="20"/>
                <w:szCs w:val="20"/>
                <w:lang w:eastAsia="pl-PL"/>
              </w:rPr>
              <w:t>2023</w:t>
            </w:r>
          </w:p>
        </w:tc>
        <w:tc>
          <w:tcPr>
            <w:tcW w:w="1190" w:type="dxa"/>
            <w:shd w:val="clear" w:color="auto" w:fill="FABE00"/>
            <w:vAlign w:val="center"/>
            <w:hideMark/>
          </w:tcPr>
          <w:p w:rsidR="003F2B0C" w:rsidRPr="00EF1C12" w:rsidRDefault="003F2B0C" w:rsidP="0084338D">
            <w:pPr>
              <w:spacing w:after="0" w:line="240" w:lineRule="auto"/>
              <w:jc w:val="center"/>
              <w:rPr>
                <w:rFonts w:ascii="Aptos" w:eastAsia="Times New Roman" w:hAnsi="Aptos" w:cs="Calibri"/>
                <w:color w:val="000000"/>
                <w:kern w:val="0"/>
                <w:sz w:val="20"/>
                <w:szCs w:val="20"/>
                <w:lang w:eastAsia="pl-PL"/>
              </w:rPr>
            </w:pPr>
            <w:r w:rsidRPr="00EF1C12">
              <w:rPr>
                <w:rFonts w:ascii="Aptos" w:eastAsia="Times New Roman" w:hAnsi="Aptos" w:cs="Calibri"/>
                <w:color w:val="000000"/>
                <w:kern w:val="0"/>
                <w:sz w:val="20"/>
                <w:szCs w:val="20"/>
                <w:lang w:eastAsia="pl-PL"/>
              </w:rPr>
              <w:t>2022</w:t>
            </w:r>
          </w:p>
        </w:tc>
        <w:tc>
          <w:tcPr>
            <w:tcW w:w="1191" w:type="dxa"/>
            <w:shd w:val="clear" w:color="auto" w:fill="FABE00"/>
            <w:vAlign w:val="center"/>
            <w:hideMark/>
          </w:tcPr>
          <w:p w:rsidR="003F2B0C" w:rsidRPr="00EF1C12" w:rsidRDefault="003F2B0C" w:rsidP="0084338D">
            <w:pPr>
              <w:spacing w:after="0" w:line="240" w:lineRule="auto"/>
              <w:jc w:val="center"/>
              <w:rPr>
                <w:rFonts w:ascii="Aptos" w:eastAsia="Times New Roman" w:hAnsi="Aptos" w:cs="Calibri"/>
                <w:color w:val="000000"/>
                <w:kern w:val="0"/>
                <w:sz w:val="20"/>
                <w:szCs w:val="20"/>
                <w:lang w:eastAsia="pl-PL"/>
              </w:rPr>
            </w:pPr>
            <w:r w:rsidRPr="00EF1C12">
              <w:rPr>
                <w:rFonts w:ascii="Aptos" w:eastAsia="Times New Roman" w:hAnsi="Aptos" w:cs="Calibri"/>
                <w:color w:val="000000"/>
                <w:kern w:val="0"/>
                <w:sz w:val="20"/>
                <w:szCs w:val="20"/>
                <w:lang w:eastAsia="pl-PL"/>
              </w:rPr>
              <w:t>2023</w:t>
            </w:r>
          </w:p>
        </w:tc>
        <w:tc>
          <w:tcPr>
            <w:tcW w:w="1190" w:type="dxa"/>
            <w:shd w:val="clear" w:color="auto" w:fill="FABE00"/>
            <w:vAlign w:val="center"/>
            <w:hideMark/>
          </w:tcPr>
          <w:p w:rsidR="003F2B0C" w:rsidRPr="00EF1C12" w:rsidRDefault="003F2B0C" w:rsidP="0084338D">
            <w:pPr>
              <w:spacing w:after="0" w:line="240" w:lineRule="auto"/>
              <w:jc w:val="center"/>
              <w:rPr>
                <w:rFonts w:ascii="Aptos" w:eastAsia="Times New Roman" w:hAnsi="Aptos" w:cs="Calibri"/>
                <w:color w:val="000000"/>
                <w:kern w:val="0"/>
                <w:sz w:val="20"/>
                <w:szCs w:val="20"/>
                <w:lang w:eastAsia="pl-PL"/>
              </w:rPr>
            </w:pPr>
            <w:r w:rsidRPr="00EF1C12">
              <w:rPr>
                <w:rFonts w:ascii="Aptos" w:eastAsia="Times New Roman" w:hAnsi="Aptos" w:cs="Calibri"/>
                <w:color w:val="000000"/>
                <w:kern w:val="0"/>
                <w:sz w:val="20"/>
                <w:szCs w:val="20"/>
                <w:lang w:eastAsia="pl-PL"/>
              </w:rPr>
              <w:t>2022</w:t>
            </w:r>
          </w:p>
        </w:tc>
        <w:tc>
          <w:tcPr>
            <w:tcW w:w="1191" w:type="dxa"/>
            <w:shd w:val="clear" w:color="auto" w:fill="FABE00"/>
            <w:vAlign w:val="center"/>
            <w:hideMark/>
          </w:tcPr>
          <w:p w:rsidR="003F2B0C" w:rsidRPr="00EF1C12" w:rsidRDefault="003F2B0C" w:rsidP="0084338D">
            <w:pPr>
              <w:spacing w:after="0" w:line="240" w:lineRule="auto"/>
              <w:jc w:val="center"/>
              <w:rPr>
                <w:rFonts w:ascii="Aptos" w:eastAsia="Times New Roman" w:hAnsi="Aptos" w:cs="Calibri"/>
                <w:color w:val="000000"/>
                <w:kern w:val="0"/>
                <w:sz w:val="20"/>
                <w:szCs w:val="20"/>
                <w:lang w:eastAsia="pl-PL"/>
              </w:rPr>
            </w:pPr>
            <w:r w:rsidRPr="00EF1C12">
              <w:rPr>
                <w:rFonts w:ascii="Aptos" w:eastAsia="Times New Roman" w:hAnsi="Aptos" w:cs="Calibri"/>
                <w:color w:val="000000"/>
                <w:kern w:val="0"/>
                <w:sz w:val="20"/>
                <w:szCs w:val="20"/>
                <w:lang w:eastAsia="pl-PL"/>
              </w:rPr>
              <w:t>2023</w:t>
            </w:r>
          </w:p>
        </w:tc>
      </w:tr>
      <w:tr w:rsidR="003F2B0C" w:rsidRPr="00EF1C12" w:rsidTr="0084338D">
        <w:trPr>
          <w:trHeight w:val="653"/>
        </w:trPr>
        <w:tc>
          <w:tcPr>
            <w:tcW w:w="1984" w:type="dxa"/>
            <w:shd w:val="clear" w:color="auto" w:fill="auto"/>
            <w:vAlign w:val="center"/>
            <w:hideMark/>
          </w:tcPr>
          <w:p w:rsidR="003F2B0C" w:rsidRPr="00EF1C12" w:rsidRDefault="003F2B0C" w:rsidP="0084338D">
            <w:pPr>
              <w:spacing w:after="0" w:line="240" w:lineRule="auto"/>
              <w:jc w:val="left"/>
              <w:rPr>
                <w:rFonts w:ascii="Aptos" w:eastAsia="Times New Roman" w:hAnsi="Aptos" w:cs="Calibri"/>
                <w:kern w:val="0"/>
                <w:sz w:val="20"/>
                <w:szCs w:val="20"/>
                <w:lang w:eastAsia="pl-PL"/>
              </w:rPr>
            </w:pPr>
            <w:r w:rsidRPr="00EF1C12">
              <w:rPr>
                <w:rFonts w:ascii="Aptos" w:eastAsia="Times New Roman" w:hAnsi="Aptos" w:cs="Calibri"/>
                <w:kern w:val="0"/>
                <w:sz w:val="20"/>
                <w:szCs w:val="20"/>
                <w:lang w:eastAsia="pl-PL"/>
              </w:rPr>
              <w:t>Wrocławski Obszar Funkcjonalny</w:t>
            </w:r>
          </w:p>
        </w:tc>
        <w:tc>
          <w:tcPr>
            <w:tcW w:w="1190" w:type="dxa"/>
            <w:shd w:val="clear" w:color="auto" w:fill="auto"/>
            <w:noWrap/>
            <w:vAlign w:val="center"/>
            <w:hideMark/>
          </w:tcPr>
          <w:p w:rsidR="003F2B0C" w:rsidRPr="00EF1C12" w:rsidRDefault="003F2B0C" w:rsidP="0084338D">
            <w:pPr>
              <w:spacing w:after="0" w:line="240" w:lineRule="auto"/>
              <w:jc w:val="center"/>
              <w:rPr>
                <w:rFonts w:ascii="Aptos" w:eastAsia="Times New Roman" w:hAnsi="Aptos" w:cs="Calibri"/>
                <w:kern w:val="0"/>
                <w:sz w:val="20"/>
                <w:szCs w:val="20"/>
                <w:lang w:eastAsia="pl-PL"/>
              </w:rPr>
            </w:pPr>
            <w:r w:rsidRPr="00EF1C12">
              <w:rPr>
                <w:rFonts w:ascii="Aptos" w:eastAsia="Times New Roman" w:hAnsi="Aptos" w:cs="Calibri"/>
                <w:kern w:val="0"/>
                <w:sz w:val="20"/>
                <w:szCs w:val="20"/>
                <w:lang w:eastAsia="pl-PL"/>
              </w:rPr>
              <w:t>1835,7</w:t>
            </w:r>
          </w:p>
        </w:tc>
        <w:tc>
          <w:tcPr>
            <w:tcW w:w="1191" w:type="dxa"/>
            <w:shd w:val="clear" w:color="auto" w:fill="auto"/>
            <w:noWrap/>
            <w:vAlign w:val="center"/>
            <w:hideMark/>
          </w:tcPr>
          <w:p w:rsidR="003F2B0C" w:rsidRPr="00EF1C12" w:rsidRDefault="003F2B0C" w:rsidP="0084338D">
            <w:pPr>
              <w:spacing w:after="0" w:line="240" w:lineRule="auto"/>
              <w:jc w:val="center"/>
              <w:rPr>
                <w:rFonts w:ascii="Aptos" w:eastAsia="Times New Roman" w:hAnsi="Aptos" w:cs="Calibri"/>
                <w:kern w:val="0"/>
                <w:sz w:val="20"/>
                <w:szCs w:val="20"/>
                <w:lang w:eastAsia="pl-PL"/>
              </w:rPr>
            </w:pPr>
            <w:r w:rsidRPr="00EF1C12">
              <w:rPr>
                <w:rFonts w:ascii="Aptos" w:eastAsia="Times New Roman" w:hAnsi="Aptos" w:cs="Calibri"/>
                <w:kern w:val="0"/>
                <w:sz w:val="20"/>
                <w:szCs w:val="20"/>
                <w:lang w:eastAsia="pl-PL"/>
              </w:rPr>
              <w:t>1900,6</w:t>
            </w:r>
          </w:p>
        </w:tc>
        <w:tc>
          <w:tcPr>
            <w:tcW w:w="1190" w:type="dxa"/>
            <w:shd w:val="clear" w:color="auto" w:fill="auto"/>
            <w:noWrap/>
            <w:vAlign w:val="center"/>
            <w:hideMark/>
          </w:tcPr>
          <w:p w:rsidR="003F2B0C" w:rsidRPr="00EF1C12" w:rsidRDefault="003F2B0C" w:rsidP="0084338D">
            <w:pPr>
              <w:spacing w:after="0" w:line="240" w:lineRule="auto"/>
              <w:jc w:val="center"/>
              <w:rPr>
                <w:rFonts w:ascii="Aptos" w:eastAsia="Times New Roman" w:hAnsi="Aptos" w:cs="Calibri"/>
                <w:kern w:val="0"/>
                <w:sz w:val="20"/>
                <w:szCs w:val="20"/>
                <w:lang w:eastAsia="pl-PL"/>
              </w:rPr>
            </w:pPr>
            <w:r w:rsidRPr="00EF1C12">
              <w:rPr>
                <w:rFonts w:ascii="Aptos" w:eastAsia="Times New Roman" w:hAnsi="Aptos" w:cs="Calibri"/>
                <w:kern w:val="0"/>
                <w:sz w:val="20"/>
                <w:szCs w:val="20"/>
                <w:lang w:eastAsia="pl-PL"/>
              </w:rPr>
              <w:t>1704,4</w:t>
            </w:r>
          </w:p>
        </w:tc>
        <w:tc>
          <w:tcPr>
            <w:tcW w:w="1191" w:type="dxa"/>
            <w:shd w:val="clear" w:color="auto" w:fill="auto"/>
            <w:noWrap/>
            <w:vAlign w:val="center"/>
            <w:hideMark/>
          </w:tcPr>
          <w:p w:rsidR="003F2B0C" w:rsidRPr="00EF1C12" w:rsidRDefault="003F2B0C" w:rsidP="0084338D">
            <w:pPr>
              <w:spacing w:after="0" w:line="240" w:lineRule="auto"/>
              <w:jc w:val="center"/>
              <w:rPr>
                <w:rFonts w:ascii="Aptos" w:eastAsia="Times New Roman" w:hAnsi="Aptos" w:cs="Calibri"/>
                <w:kern w:val="0"/>
                <w:sz w:val="20"/>
                <w:szCs w:val="20"/>
                <w:lang w:eastAsia="pl-PL"/>
              </w:rPr>
            </w:pPr>
            <w:r w:rsidRPr="00EF1C12">
              <w:rPr>
                <w:rFonts w:ascii="Aptos" w:eastAsia="Times New Roman" w:hAnsi="Aptos" w:cs="Calibri"/>
                <w:kern w:val="0"/>
                <w:sz w:val="20"/>
                <w:szCs w:val="20"/>
                <w:lang w:eastAsia="pl-PL"/>
              </w:rPr>
              <w:t>1743,5</w:t>
            </w:r>
          </w:p>
        </w:tc>
        <w:tc>
          <w:tcPr>
            <w:tcW w:w="1190" w:type="dxa"/>
            <w:shd w:val="clear" w:color="auto" w:fill="auto"/>
            <w:noWrap/>
            <w:vAlign w:val="center"/>
            <w:hideMark/>
          </w:tcPr>
          <w:p w:rsidR="003F2B0C" w:rsidRPr="00EF1C12" w:rsidRDefault="003F2B0C" w:rsidP="0084338D">
            <w:pPr>
              <w:spacing w:after="0" w:line="240" w:lineRule="auto"/>
              <w:jc w:val="center"/>
              <w:rPr>
                <w:rFonts w:ascii="Aptos" w:eastAsia="Times New Roman" w:hAnsi="Aptos" w:cs="Calibri"/>
                <w:kern w:val="0"/>
                <w:sz w:val="20"/>
                <w:szCs w:val="20"/>
                <w:lang w:eastAsia="pl-PL"/>
              </w:rPr>
            </w:pPr>
            <w:r w:rsidRPr="00EF1C12">
              <w:rPr>
                <w:rFonts w:ascii="Aptos" w:eastAsia="Times New Roman" w:hAnsi="Aptos" w:cs="Calibri"/>
                <w:kern w:val="0"/>
                <w:sz w:val="20"/>
                <w:szCs w:val="20"/>
                <w:lang w:eastAsia="pl-PL"/>
              </w:rPr>
              <w:t>471,3</w:t>
            </w:r>
          </w:p>
        </w:tc>
        <w:tc>
          <w:tcPr>
            <w:tcW w:w="1191" w:type="dxa"/>
            <w:shd w:val="clear" w:color="auto" w:fill="auto"/>
            <w:noWrap/>
            <w:vAlign w:val="center"/>
            <w:hideMark/>
          </w:tcPr>
          <w:p w:rsidR="003F2B0C" w:rsidRPr="00EF1C12" w:rsidRDefault="003F2B0C" w:rsidP="0084338D">
            <w:pPr>
              <w:spacing w:after="0" w:line="240" w:lineRule="auto"/>
              <w:jc w:val="center"/>
              <w:rPr>
                <w:rFonts w:ascii="Aptos" w:eastAsia="Times New Roman" w:hAnsi="Aptos" w:cs="Calibri"/>
                <w:kern w:val="0"/>
                <w:sz w:val="20"/>
                <w:szCs w:val="20"/>
                <w:lang w:eastAsia="pl-PL"/>
              </w:rPr>
            </w:pPr>
            <w:r w:rsidRPr="00EF1C12">
              <w:rPr>
                <w:rFonts w:ascii="Aptos" w:eastAsia="Times New Roman" w:hAnsi="Aptos" w:cs="Calibri"/>
                <w:kern w:val="0"/>
                <w:sz w:val="20"/>
                <w:szCs w:val="20"/>
                <w:lang w:eastAsia="pl-PL"/>
              </w:rPr>
              <w:t>468,4</w:t>
            </w:r>
          </w:p>
        </w:tc>
      </w:tr>
      <w:tr w:rsidR="003F2B0C" w:rsidRPr="00EF1C12" w:rsidTr="0084338D">
        <w:trPr>
          <w:trHeight w:val="541"/>
        </w:trPr>
        <w:tc>
          <w:tcPr>
            <w:tcW w:w="1984" w:type="dxa"/>
            <w:shd w:val="clear" w:color="auto" w:fill="auto"/>
            <w:vAlign w:val="center"/>
            <w:hideMark/>
          </w:tcPr>
          <w:p w:rsidR="003F2B0C" w:rsidRPr="00EF1C12" w:rsidRDefault="003F2B0C" w:rsidP="0084338D">
            <w:pPr>
              <w:spacing w:after="0" w:line="240" w:lineRule="auto"/>
              <w:jc w:val="left"/>
              <w:rPr>
                <w:rFonts w:ascii="Aptos" w:eastAsia="Times New Roman" w:hAnsi="Aptos" w:cs="Calibri"/>
                <w:kern w:val="0"/>
                <w:sz w:val="20"/>
                <w:szCs w:val="20"/>
                <w:lang w:eastAsia="pl-PL"/>
              </w:rPr>
            </w:pPr>
            <w:r w:rsidRPr="00EF1C12">
              <w:rPr>
                <w:rFonts w:ascii="Aptos" w:eastAsia="Times New Roman" w:hAnsi="Aptos" w:cs="Calibri"/>
                <w:kern w:val="0"/>
                <w:sz w:val="20"/>
                <w:szCs w:val="20"/>
                <w:lang w:eastAsia="pl-PL"/>
              </w:rPr>
              <w:t>Metropolia Krakowska</w:t>
            </w:r>
          </w:p>
        </w:tc>
        <w:tc>
          <w:tcPr>
            <w:tcW w:w="1190" w:type="dxa"/>
            <w:shd w:val="clear" w:color="auto" w:fill="auto"/>
            <w:noWrap/>
            <w:vAlign w:val="center"/>
            <w:hideMark/>
          </w:tcPr>
          <w:p w:rsidR="003F2B0C" w:rsidRPr="00EF1C12" w:rsidRDefault="003F2B0C" w:rsidP="0084338D">
            <w:pPr>
              <w:spacing w:after="0" w:line="240" w:lineRule="auto"/>
              <w:jc w:val="center"/>
              <w:rPr>
                <w:rFonts w:ascii="Aptos" w:eastAsia="Times New Roman" w:hAnsi="Aptos" w:cs="Calibri"/>
                <w:kern w:val="0"/>
                <w:sz w:val="20"/>
                <w:szCs w:val="20"/>
                <w:lang w:eastAsia="pl-PL"/>
              </w:rPr>
            </w:pPr>
            <w:r w:rsidRPr="00EF1C12">
              <w:rPr>
                <w:rFonts w:ascii="Aptos" w:eastAsia="Times New Roman" w:hAnsi="Aptos" w:cs="Calibri"/>
                <w:kern w:val="0"/>
                <w:sz w:val="20"/>
                <w:szCs w:val="20"/>
                <w:lang w:eastAsia="pl-PL"/>
              </w:rPr>
              <w:t>2148,2</w:t>
            </w:r>
          </w:p>
        </w:tc>
        <w:tc>
          <w:tcPr>
            <w:tcW w:w="1191" w:type="dxa"/>
            <w:shd w:val="clear" w:color="auto" w:fill="auto"/>
            <w:noWrap/>
            <w:vAlign w:val="center"/>
            <w:hideMark/>
          </w:tcPr>
          <w:p w:rsidR="003F2B0C" w:rsidRPr="00EF1C12" w:rsidRDefault="003F2B0C" w:rsidP="0084338D">
            <w:pPr>
              <w:spacing w:after="0" w:line="240" w:lineRule="auto"/>
              <w:jc w:val="center"/>
              <w:rPr>
                <w:rFonts w:ascii="Aptos" w:eastAsia="Times New Roman" w:hAnsi="Aptos" w:cs="Calibri"/>
                <w:kern w:val="0"/>
                <w:sz w:val="20"/>
                <w:szCs w:val="20"/>
                <w:lang w:eastAsia="pl-PL"/>
              </w:rPr>
            </w:pPr>
            <w:r w:rsidRPr="00EF1C12">
              <w:rPr>
                <w:rFonts w:ascii="Aptos" w:eastAsia="Times New Roman" w:hAnsi="Aptos" w:cs="Calibri"/>
                <w:kern w:val="0"/>
                <w:sz w:val="20"/>
                <w:szCs w:val="20"/>
                <w:lang w:eastAsia="pl-PL"/>
              </w:rPr>
              <w:t>2203,7</w:t>
            </w:r>
          </w:p>
        </w:tc>
        <w:tc>
          <w:tcPr>
            <w:tcW w:w="1190" w:type="dxa"/>
            <w:shd w:val="clear" w:color="auto" w:fill="auto"/>
            <w:noWrap/>
            <w:vAlign w:val="center"/>
            <w:hideMark/>
          </w:tcPr>
          <w:p w:rsidR="003F2B0C" w:rsidRPr="00EF1C12" w:rsidRDefault="003F2B0C" w:rsidP="0084338D">
            <w:pPr>
              <w:spacing w:after="0" w:line="240" w:lineRule="auto"/>
              <w:jc w:val="center"/>
              <w:rPr>
                <w:rFonts w:ascii="Aptos" w:eastAsia="Times New Roman" w:hAnsi="Aptos" w:cs="Calibri"/>
                <w:kern w:val="0"/>
                <w:sz w:val="20"/>
                <w:szCs w:val="20"/>
                <w:lang w:eastAsia="pl-PL"/>
              </w:rPr>
            </w:pPr>
            <w:r w:rsidRPr="00EF1C12">
              <w:rPr>
                <w:rFonts w:ascii="Aptos" w:eastAsia="Times New Roman" w:hAnsi="Aptos" w:cs="Calibri"/>
                <w:kern w:val="0"/>
                <w:sz w:val="20"/>
                <w:szCs w:val="20"/>
                <w:lang w:eastAsia="pl-PL"/>
              </w:rPr>
              <w:t>2012,9</w:t>
            </w:r>
          </w:p>
        </w:tc>
        <w:tc>
          <w:tcPr>
            <w:tcW w:w="1191" w:type="dxa"/>
            <w:shd w:val="clear" w:color="auto" w:fill="auto"/>
            <w:noWrap/>
            <w:vAlign w:val="center"/>
            <w:hideMark/>
          </w:tcPr>
          <w:p w:rsidR="003F2B0C" w:rsidRPr="00EF1C12" w:rsidRDefault="003F2B0C" w:rsidP="0084338D">
            <w:pPr>
              <w:spacing w:after="0" w:line="240" w:lineRule="auto"/>
              <w:jc w:val="center"/>
              <w:rPr>
                <w:rFonts w:ascii="Aptos" w:eastAsia="Times New Roman" w:hAnsi="Aptos" w:cs="Calibri"/>
                <w:kern w:val="0"/>
                <w:sz w:val="20"/>
                <w:szCs w:val="20"/>
                <w:lang w:eastAsia="pl-PL"/>
              </w:rPr>
            </w:pPr>
            <w:r w:rsidRPr="00EF1C12">
              <w:rPr>
                <w:rFonts w:ascii="Aptos" w:eastAsia="Times New Roman" w:hAnsi="Aptos" w:cs="Calibri"/>
                <w:kern w:val="0"/>
                <w:sz w:val="20"/>
                <w:szCs w:val="20"/>
                <w:lang w:eastAsia="pl-PL"/>
              </w:rPr>
              <w:t>2042,6</w:t>
            </w:r>
          </w:p>
        </w:tc>
        <w:tc>
          <w:tcPr>
            <w:tcW w:w="1190" w:type="dxa"/>
            <w:shd w:val="clear" w:color="auto" w:fill="auto"/>
            <w:noWrap/>
            <w:vAlign w:val="center"/>
            <w:hideMark/>
          </w:tcPr>
          <w:p w:rsidR="003F2B0C" w:rsidRPr="00EF1C12" w:rsidRDefault="003F2B0C" w:rsidP="0084338D">
            <w:pPr>
              <w:spacing w:after="0" w:line="240" w:lineRule="auto"/>
              <w:jc w:val="center"/>
              <w:rPr>
                <w:rFonts w:ascii="Aptos" w:eastAsia="Times New Roman" w:hAnsi="Aptos" w:cs="Calibri"/>
                <w:kern w:val="0"/>
                <w:sz w:val="20"/>
                <w:szCs w:val="20"/>
                <w:lang w:eastAsia="pl-PL"/>
              </w:rPr>
            </w:pPr>
            <w:r w:rsidRPr="00EF1C12">
              <w:rPr>
                <w:rFonts w:ascii="Aptos" w:eastAsia="Times New Roman" w:hAnsi="Aptos" w:cs="Calibri"/>
                <w:kern w:val="0"/>
                <w:sz w:val="20"/>
                <w:szCs w:val="20"/>
                <w:lang w:eastAsia="pl-PL"/>
              </w:rPr>
              <w:t>227,7</w:t>
            </w:r>
          </w:p>
        </w:tc>
        <w:tc>
          <w:tcPr>
            <w:tcW w:w="1191" w:type="dxa"/>
            <w:shd w:val="clear" w:color="auto" w:fill="auto"/>
            <w:noWrap/>
            <w:vAlign w:val="center"/>
            <w:hideMark/>
          </w:tcPr>
          <w:p w:rsidR="003F2B0C" w:rsidRPr="00EF1C12" w:rsidRDefault="003F2B0C" w:rsidP="0084338D">
            <w:pPr>
              <w:spacing w:after="0" w:line="240" w:lineRule="auto"/>
              <w:jc w:val="center"/>
              <w:rPr>
                <w:rFonts w:ascii="Aptos" w:eastAsia="Times New Roman" w:hAnsi="Aptos" w:cs="Calibri"/>
                <w:kern w:val="0"/>
                <w:sz w:val="20"/>
                <w:szCs w:val="20"/>
                <w:lang w:eastAsia="pl-PL"/>
              </w:rPr>
            </w:pPr>
            <w:r w:rsidRPr="00EF1C12">
              <w:rPr>
                <w:rFonts w:ascii="Aptos" w:eastAsia="Times New Roman" w:hAnsi="Aptos" w:cs="Calibri"/>
                <w:kern w:val="0"/>
                <w:sz w:val="20"/>
                <w:szCs w:val="20"/>
                <w:lang w:eastAsia="pl-PL"/>
              </w:rPr>
              <w:t>216,1</w:t>
            </w:r>
          </w:p>
        </w:tc>
      </w:tr>
      <w:tr w:rsidR="003F2B0C" w:rsidRPr="00EF1C12" w:rsidTr="0084338D">
        <w:trPr>
          <w:trHeight w:val="629"/>
        </w:trPr>
        <w:tc>
          <w:tcPr>
            <w:tcW w:w="1984" w:type="dxa"/>
            <w:shd w:val="clear" w:color="auto" w:fill="auto"/>
            <w:vAlign w:val="center"/>
            <w:hideMark/>
          </w:tcPr>
          <w:p w:rsidR="003F2B0C" w:rsidRPr="00EF1C12" w:rsidRDefault="003F2B0C" w:rsidP="0084338D">
            <w:pPr>
              <w:spacing w:after="0" w:line="240" w:lineRule="auto"/>
              <w:jc w:val="left"/>
              <w:rPr>
                <w:rFonts w:ascii="Aptos" w:eastAsia="Times New Roman" w:hAnsi="Aptos" w:cs="Calibri"/>
                <w:kern w:val="0"/>
                <w:sz w:val="20"/>
                <w:szCs w:val="20"/>
                <w:lang w:eastAsia="pl-PL"/>
              </w:rPr>
            </w:pPr>
            <w:r w:rsidRPr="00EF1C12">
              <w:rPr>
                <w:rFonts w:ascii="Aptos" w:eastAsia="Times New Roman" w:hAnsi="Aptos" w:cs="Calibri"/>
                <w:kern w:val="0"/>
                <w:sz w:val="20"/>
                <w:szCs w:val="20"/>
                <w:lang w:eastAsia="pl-PL"/>
              </w:rPr>
              <w:t>Metropolia Poznań</w:t>
            </w:r>
          </w:p>
        </w:tc>
        <w:tc>
          <w:tcPr>
            <w:tcW w:w="1190" w:type="dxa"/>
            <w:shd w:val="clear" w:color="auto" w:fill="auto"/>
            <w:noWrap/>
            <w:vAlign w:val="center"/>
            <w:hideMark/>
          </w:tcPr>
          <w:p w:rsidR="003F2B0C" w:rsidRPr="00EF1C12" w:rsidRDefault="003F2B0C" w:rsidP="0084338D">
            <w:pPr>
              <w:spacing w:after="0" w:line="240" w:lineRule="auto"/>
              <w:jc w:val="center"/>
              <w:rPr>
                <w:rFonts w:ascii="Aptos" w:eastAsia="Times New Roman" w:hAnsi="Aptos" w:cs="Calibri"/>
                <w:kern w:val="0"/>
                <w:sz w:val="20"/>
                <w:szCs w:val="20"/>
                <w:lang w:eastAsia="pl-PL"/>
              </w:rPr>
            </w:pPr>
            <w:r w:rsidRPr="00EF1C12">
              <w:rPr>
                <w:rFonts w:ascii="Aptos" w:eastAsia="Times New Roman" w:hAnsi="Aptos" w:cs="Calibri"/>
                <w:kern w:val="0"/>
                <w:sz w:val="20"/>
                <w:szCs w:val="20"/>
                <w:lang w:eastAsia="pl-PL"/>
              </w:rPr>
              <w:t>2248,6</w:t>
            </w:r>
          </w:p>
        </w:tc>
        <w:tc>
          <w:tcPr>
            <w:tcW w:w="1191" w:type="dxa"/>
            <w:shd w:val="clear" w:color="auto" w:fill="auto"/>
            <w:noWrap/>
            <w:vAlign w:val="center"/>
            <w:hideMark/>
          </w:tcPr>
          <w:p w:rsidR="003F2B0C" w:rsidRPr="00EF1C12" w:rsidRDefault="003F2B0C" w:rsidP="0084338D">
            <w:pPr>
              <w:spacing w:after="0" w:line="240" w:lineRule="auto"/>
              <w:jc w:val="center"/>
              <w:rPr>
                <w:rFonts w:ascii="Aptos" w:eastAsia="Times New Roman" w:hAnsi="Aptos" w:cs="Calibri"/>
                <w:kern w:val="0"/>
                <w:sz w:val="20"/>
                <w:szCs w:val="20"/>
                <w:lang w:eastAsia="pl-PL"/>
              </w:rPr>
            </w:pPr>
            <w:r w:rsidRPr="00EF1C12">
              <w:rPr>
                <w:rFonts w:ascii="Aptos" w:eastAsia="Times New Roman" w:hAnsi="Aptos" w:cs="Calibri"/>
                <w:kern w:val="0"/>
                <w:sz w:val="20"/>
                <w:szCs w:val="20"/>
                <w:lang w:eastAsia="pl-PL"/>
              </w:rPr>
              <w:t>2268,1</w:t>
            </w:r>
          </w:p>
        </w:tc>
        <w:tc>
          <w:tcPr>
            <w:tcW w:w="1190" w:type="dxa"/>
            <w:shd w:val="clear" w:color="auto" w:fill="auto"/>
            <w:noWrap/>
            <w:vAlign w:val="center"/>
            <w:hideMark/>
          </w:tcPr>
          <w:p w:rsidR="003F2B0C" w:rsidRPr="00EF1C12" w:rsidRDefault="003F2B0C" w:rsidP="0084338D">
            <w:pPr>
              <w:spacing w:after="0" w:line="240" w:lineRule="auto"/>
              <w:jc w:val="center"/>
              <w:rPr>
                <w:rFonts w:ascii="Aptos" w:eastAsia="Times New Roman" w:hAnsi="Aptos" w:cs="Calibri"/>
                <w:kern w:val="0"/>
                <w:sz w:val="20"/>
                <w:szCs w:val="20"/>
                <w:lang w:eastAsia="pl-PL"/>
              </w:rPr>
            </w:pPr>
            <w:r w:rsidRPr="00EF1C12">
              <w:rPr>
                <w:rFonts w:ascii="Aptos" w:eastAsia="Times New Roman" w:hAnsi="Aptos" w:cs="Calibri"/>
                <w:kern w:val="0"/>
                <w:sz w:val="20"/>
                <w:szCs w:val="20"/>
                <w:lang w:eastAsia="pl-PL"/>
              </w:rPr>
              <w:t>2009,7</w:t>
            </w:r>
          </w:p>
        </w:tc>
        <w:tc>
          <w:tcPr>
            <w:tcW w:w="1191" w:type="dxa"/>
            <w:shd w:val="clear" w:color="auto" w:fill="auto"/>
            <w:noWrap/>
            <w:vAlign w:val="center"/>
            <w:hideMark/>
          </w:tcPr>
          <w:p w:rsidR="003F2B0C" w:rsidRPr="00EF1C12" w:rsidRDefault="003F2B0C" w:rsidP="0084338D">
            <w:pPr>
              <w:spacing w:after="0" w:line="240" w:lineRule="auto"/>
              <w:jc w:val="center"/>
              <w:rPr>
                <w:rFonts w:ascii="Aptos" w:eastAsia="Times New Roman" w:hAnsi="Aptos" w:cs="Calibri"/>
                <w:kern w:val="0"/>
                <w:sz w:val="20"/>
                <w:szCs w:val="20"/>
                <w:lang w:eastAsia="pl-PL"/>
              </w:rPr>
            </w:pPr>
            <w:r w:rsidRPr="00EF1C12">
              <w:rPr>
                <w:rFonts w:ascii="Aptos" w:eastAsia="Times New Roman" w:hAnsi="Aptos" w:cs="Calibri"/>
                <w:kern w:val="0"/>
                <w:sz w:val="20"/>
                <w:szCs w:val="20"/>
                <w:lang w:eastAsia="pl-PL"/>
              </w:rPr>
              <w:t>2043,2</w:t>
            </w:r>
          </w:p>
        </w:tc>
        <w:tc>
          <w:tcPr>
            <w:tcW w:w="1190" w:type="dxa"/>
            <w:shd w:val="clear" w:color="auto" w:fill="auto"/>
            <w:noWrap/>
            <w:vAlign w:val="center"/>
            <w:hideMark/>
          </w:tcPr>
          <w:p w:rsidR="003F2B0C" w:rsidRPr="00EF1C12" w:rsidRDefault="003F2B0C" w:rsidP="0084338D">
            <w:pPr>
              <w:spacing w:after="0" w:line="240" w:lineRule="auto"/>
              <w:jc w:val="center"/>
              <w:rPr>
                <w:rFonts w:ascii="Aptos" w:eastAsia="Times New Roman" w:hAnsi="Aptos" w:cs="Calibri"/>
                <w:kern w:val="0"/>
                <w:sz w:val="20"/>
                <w:szCs w:val="20"/>
                <w:lang w:eastAsia="pl-PL"/>
              </w:rPr>
            </w:pPr>
            <w:r w:rsidRPr="00EF1C12">
              <w:rPr>
                <w:rFonts w:ascii="Aptos" w:eastAsia="Times New Roman" w:hAnsi="Aptos" w:cs="Calibri"/>
                <w:kern w:val="0"/>
                <w:sz w:val="20"/>
                <w:szCs w:val="20"/>
                <w:lang w:eastAsia="pl-PL"/>
              </w:rPr>
              <w:t>1495,2</w:t>
            </w:r>
          </w:p>
        </w:tc>
        <w:tc>
          <w:tcPr>
            <w:tcW w:w="1191" w:type="dxa"/>
            <w:shd w:val="clear" w:color="auto" w:fill="auto"/>
            <w:noWrap/>
            <w:vAlign w:val="center"/>
            <w:hideMark/>
          </w:tcPr>
          <w:p w:rsidR="003F2B0C" w:rsidRPr="00EF1C12" w:rsidRDefault="003F2B0C" w:rsidP="0084338D">
            <w:pPr>
              <w:spacing w:after="0" w:line="240" w:lineRule="auto"/>
              <w:jc w:val="center"/>
              <w:rPr>
                <w:rFonts w:ascii="Aptos" w:eastAsia="Times New Roman" w:hAnsi="Aptos" w:cs="Calibri"/>
                <w:kern w:val="0"/>
                <w:sz w:val="20"/>
                <w:szCs w:val="20"/>
                <w:lang w:eastAsia="pl-PL"/>
              </w:rPr>
            </w:pPr>
            <w:r w:rsidRPr="00EF1C12">
              <w:rPr>
                <w:rFonts w:ascii="Aptos" w:eastAsia="Times New Roman" w:hAnsi="Aptos" w:cs="Calibri"/>
                <w:kern w:val="0"/>
                <w:sz w:val="20"/>
                <w:szCs w:val="20"/>
                <w:lang w:eastAsia="pl-PL"/>
              </w:rPr>
              <w:t>1529,5</w:t>
            </w:r>
          </w:p>
        </w:tc>
      </w:tr>
    </w:tbl>
    <w:p w:rsidR="003F2B0C" w:rsidRPr="002737CB" w:rsidRDefault="003F2B0C" w:rsidP="003F2B0C">
      <w:pPr>
        <w:spacing w:line="276" w:lineRule="auto"/>
        <w:rPr>
          <w:iCs/>
          <w:color w:val="363735" w:themeColor="accent3"/>
          <w:sz w:val="20"/>
          <w:szCs w:val="18"/>
        </w:rPr>
      </w:pPr>
      <w:r w:rsidRPr="002737CB">
        <w:rPr>
          <w:iCs/>
          <w:color w:val="363735" w:themeColor="accent3"/>
          <w:sz w:val="20"/>
          <w:szCs w:val="18"/>
        </w:rPr>
        <w:t>Źródło: opracowanie własne na podstawie GUS BDL,</w:t>
      </w:r>
      <w:r>
        <w:rPr>
          <w:iCs/>
          <w:color w:val="363735" w:themeColor="accent3"/>
          <w:sz w:val="20"/>
          <w:szCs w:val="18"/>
        </w:rPr>
        <w:t xml:space="preserve"> dostęp</w:t>
      </w:r>
      <w:r w:rsidRPr="002737CB">
        <w:rPr>
          <w:iCs/>
          <w:color w:val="363735" w:themeColor="accent3"/>
          <w:sz w:val="20"/>
          <w:szCs w:val="18"/>
        </w:rPr>
        <w:t xml:space="preserve"> 30.01.2025</w:t>
      </w:r>
    </w:p>
    <w:p w:rsidR="003F2B0C" w:rsidRDefault="003F2B0C" w:rsidP="003F2B0C">
      <w:r>
        <w:t xml:space="preserve">Na terenie Wrocławskiego Obszaru Funkcjonalnego znajdują się 54 obiekty </w:t>
      </w:r>
      <w:proofErr w:type="spellStart"/>
      <w:r>
        <w:t>P&amp;R</w:t>
      </w:r>
      <w:proofErr w:type="spellEnd"/>
      <w:r>
        <w:t xml:space="preserve"> i 16 węzłów przesiadkowych, na terenie Metropolii Krakowskiej 33 parkingi </w:t>
      </w:r>
      <w:proofErr w:type="spellStart"/>
      <w:r>
        <w:t>P&amp;R</w:t>
      </w:r>
      <w:proofErr w:type="spellEnd"/>
      <w:r>
        <w:t xml:space="preserve"> i 41 węzłów przesiadkowych, a w Metropolii Poznań 40 obiektów </w:t>
      </w:r>
      <w:proofErr w:type="spellStart"/>
      <w:r>
        <w:t>P&amp;R</w:t>
      </w:r>
      <w:proofErr w:type="spellEnd"/>
      <w:r>
        <w:t xml:space="preserve"> i 59 węzłów przesiadkowych.</w:t>
      </w:r>
    </w:p>
    <w:p w:rsidR="003F2B0C" w:rsidRDefault="003F2B0C" w:rsidP="003F2B0C">
      <w:pPr>
        <w:pStyle w:val="Legenda"/>
      </w:pPr>
      <w:bookmarkStart w:id="85" w:name="_Toc196867066"/>
      <w:bookmarkStart w:id="86" w:name="_Toc196905078"/>
      <w:r>
        <w:t xml:space="preserve">Tabela </w:t>
      </w:r>
      <w:fldSimple w:instr=" SEQ Tabela \* ARABIC ">
        <w:r w:rsidR="0084338D">
          <w:rPr>
            <w:noProof/>
          </w:rPr>
          <w:t>14</w:t>
        </w:r>
      </w:fldSimple>
      <w:r>
        <w:t xml:space="preserve">. Liczba parkingów </w:t>
      </w:r>
      <w:proofErr w:type="spellStart"/>
      <w:r>
        <w:t>P&amp;R</w:t>
      </w:r>
      <w:proofErr w:type="spellEnd"/>
      <w:r>
        <w:t xml:space="preserve"> i węzłów przesiadkowych w obszarach funkcjonalnych w latach 2018-2023</w:t>
      </w:r>
      <w:bookmarkEnd w:id="85"/>
      <w:bookmarkEnd w:id="86"/>
    </w:p>
    <w:tbl>
      <w:tblPr>
        <w:tblW w:w="8983" w:type="dxa"/>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CellMar>
          <w:left w:w="70" w:type="dxa"/>
          <w:right w:w="70" w:type="dxa"/>
        </w:tblCellMar>
        <w:tblLook w:val="04A0"/>
      </w:tblPr>
      <w:tblGrid>
        <w:gridCol w:w="2800"/>
        <w:gridCol w:w="1123"/>
        <w:gridCol w:w="1123"/>
        <w:gridCol w:w="1123"/>
        <w:gridCol w:w="1123"/>
        <w:gridCol w:w="1123"/>
        <w:gridCol w:w="568"/>
      </w:tblGrid>
      <w:tr w:rsidR="003F2B0C" w:rsidRPr="00C57362" w:rsidTr="0084338D">
        <w:trPr>
          <w:trHeight w:val="20"/>
        </w:trPr>
        <w:tc>
          <w:tcPr>
            <w:tcW w:w="2800" w:type="dxa"/>
            <w:shd w:val="clear" w:color="auto" w:fill="FABE00"/>
            <w:noWrap/>
            <w:vAlign w:val="bottom"/>
            <w:hideMark/>
          </w:tcPr>
          <w:p w:rsidR="003F2B0C" w:rsidRPr="00C57362" w:rsidRDefault="003F2B0C" w:rsidP="0084338D">
            <w:pPr>
              <w:spacing w:after="0" w:line="240" w:lineRule="auto"/>
              <w:jc w:val="left"/>
              <w:rPr>
                <w:rFonts w:eastAsia="Times New Roman" w:cs="Times New Roman"/>
                <w:kern w:val="0"/>
                <w:sz w:val="20"/>
                <w:szCs w:val="20"/>
                <w:lang w:eastAsia="pl-PL"/>
              </w:rPr>
            </w:pPr>
          </w:p>
        </w:tc>
        <w:tc>
          <w:tcPr>
            <w:tcW w:w="1123" w:type="dxa"/>
            <w:shd w:val="clear" w:color="auto" w:fill="FABE00"/>
            <w:vAlign w:val="center"/>
            <w:hideMark/>
          </w:tcPr>
          <w:p w:rsidR="003F2B0C" w:rsidRPr="00C57362" w:rsidRDefault="003F2B0C" w:rsidP="0084338D">
            <w:pPr>
              <w:spacing w:after="0" w:line="240" w:lineRule="auto"/>
              <w:jc w:val="left"/>
              <w:rPr>
                <w:rFonts w:eastAsia="Times New Roman" w:cs="Calibri"/>
                <w:color w:val="000000"/>
                <w:kern w:val="0"/>
                <w:sz w:val="20"/>
                <w:szCs w:val="20"/>
                <w:lang w:eastAsia="pl-PL"/>
              </w:rPr>
            </w:pPr>
            <w:r w:rsidRPr="00C57362">
              <w:rPr>
                <w:rFonts w:eastAsia="Times New Roman" w:cs="Calibri"/>
                <w:color w:val="000000"/>
                <w:kern w:val="0"/>
                <w:sz w:val="20"/>
                <w:szCs w:val="20"/>
                <w:lang w:eastAsia="pl-PL"/>
              </w:rPr>
              <w:t>2018</w:t>
            </w:r>
          </w:p>
        </w:tc>
        <w:tc>
          <w:tcPr>
            <w:tcW w:w="1123" w:type="dxa"/>
            <w:shd w:val="clear" w:color="auto" w:fill="FABE00"/>
            <w:vAlign w:val="center"/>
            <w:hideMark/>
          </w:tcPr>
          <w:p w:rsidR="003F2B0C" w:rsidRPr="00C57362" w:rsidRDefault="003F2B0C" w:rsidP="0084338D">
            <w:pPr>
              <w:spacing w:after="0" w:line="240" w:lineRule="auto"/>
              <w:jc w:val="left"/>
              <w:rPr>
                <w:rFonts w:eastAsia="Times New Roman" w:cs="Calibri"/>
                <w:color w:val="000000"/>
                <w:kern w:val="0"/>
                <w:sz w:val="20"/>
                <w:szCs w:val="20"/>
                <w:lang w:eastAsia="pl-PL"/>
              </w:rPr>
            </w:pPr>
            <w:r w:rsidRPr="00C57362">
              <w:rPr>
                <w:rFonts w:eastAsia="Times New Roman" w:cs="Calibri"/>
                <w:color w:val="000000"/>
                <w:kern w:val="0"/>
                <w:sz w:val="20"/>
                <w:szCs w:val="20"/>
                <w:lang w:eastAsia="pl-PL"/>
              </w:rPr>
              <w:t>2019</w:t>
            </w:r>
          </w:p>
        </w:tc>
        <w:tc>
          <w:tcPr>
            <w:tcW w:w="1123" w:type="dxa"/>
            <w:shd w:val="clear" w:color="auto" w:fill="FABE00"/>
            <w:vAlign w:val="center"/>
            <w:hideMark/>
          </w:tcPr>
          <w:p w:rsidR="003F2B0C" w:rsidRPr="00C57362" w:rsidRDefault="003F2B0C" w:rsidP="0084338D">
            <w:pPr>
              <w:spacing w:after="0" w:line="240" w:lineRule="auto"/>
              <w:jc w:val="left"/>
              <w:rPr>
                <w:rFonts w:eastAsia="Times New Roman" w:cs="Calibri"/>
                <w:color w:val="000000"/>
                <w:kern w:val="0"/>
                <w:sz w:val="20"/>
                <w:szCs w:val="20"/>
                <w:lang w:eastAsia="pl-PL"/>
              </w:rPr>
            </w:pPr>
            <w:r w:rsidRPr="00C57362">
              <w:rPr>
                <w:rFonts w:eastAsia="Times New Roman" w:cs="Calibri"/>
                <w:color w:val="000000"/>
                <w:kern w:val="0"/>
                <w:sz w:val="20"/>
                <w:szCs w:val="20"/>
                <w:lang w:eastAsia="pl-PL"/>
              </w:rPr>
              <w:t>2020</w:t>
            </w:r>
          </w:p>
        </w:tc>
        <w:tc>
          <w:tcPr>
            <w:tcW w:w="1123" w:type="dxa"/>
            <w:shd w:val="clear" w:color="auto" w:fill="FABE00"/>
            <w:vAlign w:val="center"/>
            <w:hideMark/>
          </w:tcPr>
          <w:p w:rsidR="003F2B0C" w:rsidRPr="00C57362" w:rsidRDefault="003F2B0C" w:rsidP="0084338D">
            <w:pPr>
              <w:spacing w:after="0" w:line="240" w:lineRule="auto"/>
              <w:jc w:val="left"/>
              <w:rPr>
                <w:rFonts w:eastAsia="Times New Roman" w:cs="Calibri"/>
                <w:color w:val="000000"/>
                <w:kern w:val="0"/>
                <w:sz w:val="20"/>
                <w:szCs w:val="20"/>
                <w:lang w:eastAsia="pl-PL"/>
              </w:rPr>
            </w:pPr>
            <w:r w:rsidRPr="00C57362">
              <w:rPr>
                <w:rFonts w:eastAsia="Times New Roman" w:cs="Calibri"/>
                <w:color w:val="000000"/>
                <w:kern w:val="0"/>
                <w:sz w:val="20"/>
                <w:szCs w:val="20"/>
                <w:lang w:eastAsia="pl-PL"/>
              </w:rPr>
              <w:t>2021</w:t>
            </w:r>
          </w:p>
        </w:tc>
        <w:tc>
          <w:tcPr>
            <w:tcW w:w="1123" w:type="dxa"/>
            <w:shd w:val="clear" w:color="auto" w:fill="FABE00"/>
            <w:vAlign w:val="center"/>
            <w:hideMark/>
          </w:tcPr>
          <w:p w:rsidR="003F2B0C" w:rsidRPr="00C57362" w:rsidRDefault="003F2B0C" w:rsidP="0084338D">
            <w:pPr>
              <w:spacing w:after="0" w:line="240" w:lineRule="auto"/>
              <w:jc w:val="left"/>
              <w:rPr>
                <w:rFonts w:eastAsia="Times New Roman" w:cs="Calibri"/>
                <w:color w:val="000000"/>
                <w:kern w:val="0"/>
                <w:sz w:val="20"/>
                <w:szCs w:val="20"/>
                <w:lang w:eastAsia="pl-PL"/>
              </w:rPr>
            </w:pPr>
            <w:r w:rsidRPr="00C57362">
              <w:rPr>
                <w:rFonts w:eastAsia="Times New Roman" w:cs="Calibri"/>
                <w:color w:val="000000"/>
                <w:kern w:val="0"/>
                <w:sz w:val="20"/>
                <w:szCs w:val="20"/>
                <w:lang w:eastAsia="pl-PL"/>
              </w:rPr>
              <w:t>2022</w:t>
            </w:r>
          </w:p>
        </w:tc>
        <w:tc>
          <w:tcPr>
            <w:tcW w:w="568" w:type="dxa"/>
            <w:shd w:val="clear" w:color="auto" w:fill="FABE00"/>
            <w:vAlign w:val="center"/>
            <w:hideMark/>
          </w:tcPr>
          <w:p w:rsidR="003F2B0C" w:rsidRPr="00C57362" w:rsidRDefault="003F2B0C" w:rsidP="0084338D">
            <w:pPr>
              <w:spacing w:after="0" w:line="240" w:lineRule="auto"/>
              <w:jc w:val="left"/>
              <w:rPr>
                <w:rFonts w:eastAsia="Times New Roman" w:cs="Calibri"/>
                <w:color w:val="000000"/>
                <w:kern w:val="0"/>
                <w:sz w:val="20"/>
                <w:szCs w:val="20"/>
                <w:lang w:eastAsia="pl-PL"/>
              </w:rPr>
            </w:pPr>
            <w:r w:rsidRPr="00C57362">
              <w:rPr>
                <w:rFonts w:eastAsia="Times New Roman" w:cs="Calibri"/>
                <w:color w:val="000000"/>
                <w:kern w:val="0"/>
                <w:sz w:val="20"/>
                <w:szCs w:val="20"/>
                <w:lang w:eastAsia="pl-PL"/>
              </w:rPr>
              <w:t>2023</w:t>
            </w:r>
          </w:p>
        </w:tc>
      </w:tr>
      <w:tr w:rsidR="003F2B0C" w:rsidRPr="00C57362" w:rsidTr="0084338D">
        <w:trPr>
          <w:trHeight w:val="20"/>
        </w:trPr>
        <w:tc>
          <w:tcPr>
            <w:tcW w:w="8983" w:type="dxa"/>
            <w:gridSpan w:val="7"/>
            <w:shd w:val="clear" w:color="auto" w:fill="FABE00"/>
            <w:vAlign w:val="center"/>
            <w:hideMark/>
          </w:tcPr>
          <w:p w:rsidR="003F2B0C" w:rsidRPr="00C57362" w:rsidRDefault="003F2B0C" w:rsidP="0084338D">
            <w:pPr>
              <w:spacing w:after="0" w:line="240" w:lineRule="auto"/>
              <w:jc w:val="center"/>
              <w:rPr>
                <w:rFonts w:eastAsia="Times New Roman" w:cs="Calibri"/>
                <w:color w:val="000000"/>
                <w:kern w:val="0"/>
                <w:sz w:val="20"/>
                <w:szCs w:val="20"/>
                <w:lang w:eastAsia="pl-PL"/>
              </w:rPr>
            </w:pPr>
            <w:r w:rsidRPr="00C57362">
              <w:rPr>
                <w:rFonts w:eastAsia="Times New Roman" w:cs="Calibri"/>
                <w:color w:val="000000"/>
                <w:kern w:val="0"/>
                <w:sz w:val="20"/>
                <w:szCs w:val="20"/>
                <w:lang w:eastAsia="pl-PL"/>
              </w:rPr>
              <w:t>liczba parkingów</w:t>
            </w:r>
            <w:r>
              <w:rPr>
                <w:rFonts w:eastAsia="Times New Roman" w:cs="Calibri"/>
                <w:color w:val="000000"/>
                <w:kern w:val="0"/>
                <w:sz w:val="20"/>
                <w:szCs w:val="20"/>
                <w:lang w:eastAsia="pl-PL"/>
              </w:rPr>
              <w:t xml:space="preserve"> </w:t>
            </w:r>
            <w:proofErr w:type="spellStart"/>
            <w:r>
              <w:rPr>
                <w:rFonts w:eastAsia="Times New Roman" w:cs="Calibri"/>
                <w:color w:val="000000"/>
                <w:kern w:val="0"/>
                <w:sz w:val="20"/>
                <w:szCs w:val="20"/>
                <w:lang w:eastAsia="pl-PL"/>
              </w:rPr>
              <w:t>P&amp;R</w:t>
            </w:r>
            <w:proofErr w:type="spellEnd"/>
            <w:r w:rsidRPr="00C57362">
              <w:rPr>
                <w:rFonts w:eastAsia="Times New Roman" w:cs="Calibri"/>
                <w:color w:val="000000"/>
                <w:kern w:val="0"/>
                <w:sz w:val="20"/>
                <w:szCs w:val="20"/>
                <w:lang w:eastAsia="pl-PL"/>
              </w:rPr>
              <w:t xml:space="preserve"> ogółem</w:t>
            </w:r>
          </w:p>
        </w:tc>
      </w:tr>
      <w:tr w:rsidR="003F2B0C" w:rsidRPr="00C57362" w:rsidTr="0084338D">
        <w:trPr>
          <w:trHeight w:val="20"/>
        </w:trPr>
        <w:tc>
          <w:tcPr>
            <w:tcW w:w="2800" w:type="dxa"/>
            <w:shd w:val="clear" w:color="auto" w:fill="auto"/>
            <w:vAlign w:val="center"/>
            <w:hideMark/>
          </w:tcPr>
          <w:p w:rsidR="003F2B0C" w:rsidRPr="00C57362" w:rsidRDefault="003F2B0C" w:rsidP="0084338D">
            <w:pPr>
              <w:spacing w:after="0" w:line="240" w:lineRule="auto"/>
              <w:jc w:val="left"/>
              <w:rPr>
                <w:rFonts w:eastAsia="Times New Roman" w:cs="Calibri"/>
                <w:kern w:val="0"/>
                <w:sz w:val="20"/>
                <w:szCs w:val="20"/>
                <w:lang w:eastAsia="pl-PL"/>
              </w:rPr>
            </w:pPr>
            <w:r w:rsidRPr="00C57362">
              <w:rPr>
                <w:rFonts w:eastAsia="Times New Roman" w:cs="Calibri"/>
                <w:kern w:val="0"/>
                <w:sz w:val="20"/>
                <w:szCs w:val="20"/>
                <w:lang w:eastAsia="pl-PL"/>
              </w:rPr>
              <w:t>Wrocławski Obszar Funkcjonalny</w:t>
            </w:r>
          </w:p>
        </w:tc>
        <w:tc>
          <w:tcPr>
            <w:tcW w:w="1123" w:type="dxa"/>
            <w:shd w:val="clear" w:color="auto" w:fill="auto"/>
            <w:noWrap/>
            <w:vAlign w:val="center"/>
            <w:hideMark/>
          </w:tcPr>
          <w:p w:rsidR="003F2B0C" w:rsidRPr="00C57362" w:rsidRDefault="003F2B0C" w:rsidP="0084338D">
            <w:pPr>
              <w:spacing w:after="0" w:line="240" w:lineRule="auto"/>
              <w:jc w:val="center"/>
              <w:rPr>
                <w:rFonts w:eastAsia="Times New Roman" w:cs="Calibri"/>
                <w:kern w:val="0"/>
                <w:sz w:val="20"/>
                <w:szCs w:val="20"/>
                <w:lang w:eastAsia="pl-PL"/>
              </w:rPr>
            </w:pPr>
            <w:r w:rsidRPr="00C57362">
              <w:rPr>
                <w:rFonts w:eastAsia="Times New Roman" w:cs="Calibri"/>
                <w:kern w:val="0"/>
                <w:sz w:val="20"/>
                <w:szCs w:val="20"/>
                <w:lang w:eastAsia="pl-PL"/>
              </w:rPr>
              <w:t>20</w:t>
            </w:r>
          </w:p>
        </w:tc>
        <w:tc>
          <w:tcPr>
            <w:tcW w:w="1123" w:type="dxa"/>
            <w:shd w:val="clear" w:color="auto" w:fill="auto"/>
            <w:noWrap/>
            <w:vAlign w:val="center"/>
            <w:hideMark/>
          </w:tcPr>
          <w:p w:rsidR="003F2B0C" w:rsidRPr="00C57362" w:rsidRDefault="003F2B0C" w:rsidP="0084338D">
            <w:pPr>
              <w:spacing w:after="0" w:line="240" w:lineRule="auto"/>
              <w:jc w:val="center"/>
              <w:rPr>
                <w:rFonts w:eastAsia="Times New Roman" w:cs="Calibri"/>
                <w:kern w:val="0"/>
                <w:sz w:val="20"/>
                <w:szCs w:val="20"/>
                <w:lang w:eastAsia="pl-PL"/>
              </w:rPr>
            </w:pPr>
            <w:r w:rsidRPr="00C57362">
              <w:rPr>
                <w:rFonts w:eastAsia="Times New Roman" w:cs="Calibri"/>
                <w:kern w:val="0"/>
                <w:sz w:val="20"/>
                <w:szCs w:val="20"/>
                <w:lang w:eastAsia="pl-PL"/>
              </w:rPr>
              <w:t>34</w:t>
            </w:r>
          </w:p>
        </w:tc>
        <w:tc>
          <w:tcPr>
            <w:tcW w:w="1123" w:type="dxa"/>
            <w:shd w:val="clear" w:color="auto" w:fill="auto"/>
            <w:noWrap/>
            <w:vAlign w:val="center"/>
            <w:hideMark/>
          </w:tcPr>
          <w:p w:rsidR="003F2B0C" w:rsidRPr="00C57362" w:rsidRDefault="003F2B0C" w:rsidP="0084338D">
            <w:pPr>
              <w:spacing w:after="0" w:line="240" w:lineRule="auto"/>
              <w:jc w:val="center"/>
              <w:rPr>
                <w:rFonts w:eastAsia="Times New Roman" w:cs="Calibri"/>
                <w:kern w:val="0"/>
                <w:sz w:val="20"/>
                <w:szCs w:val="20"/>
                <w:lang w:eastAsia="pl-PL"/>
              </w:rPr>
            </w:pPr>
            <w:r w:rsidRPr="00C57362">
              <w:rPr>
                <w:rFonts w:eastAsia="Times New Roman" w:cs="Calibri"/>
                <w:kern w:val="0"/>
                <w:sz w:val="20"/>
                <w:szCs w:val="20"/>
                <w:lang w:eastAsia="pl-PL"/>
              </w:rPr>
              <w:t>35</w:t>
            </w:r>
          </w:p>
        </w:tc>
        <w:tc>
          <w:tcPr>
            <w:tcW w:w="1123" w:type="dxa"/>
            <w:shd w:val="clear" w:color="auto" w:fill="auto"/>
            <w:noWrap/>
            <w:vAlign w:val="center"/>
            <w:hideMark/>
          </w:tcPr>
          <w:p w:rsidR="003F2B0C" w:rsidRPr="00C57362" w:rsidRDefault="003F2B0C" w:rsidP="0084338D">
            <w:pPr>
              <w:spacing w:after="0" w:line="240" w:lineRule="auto"/>
              <w:jc w:val="center"/>
              <w:rPr>
                <w:rFonts w:eastAsia="Times New Roman" w:cs="Calibri"/>
                <w:kern w:val="0"/>
                <w:sz w:val="20"/>
                <w:szCs w:val="20"/>
                <w:lang w:eastAsia="pl-PL"/>
              </w:rPr>
            </w:pPr>
            <w:r w:rsidRPr="00C57362">
              <w:rPr>
                <w:rFonts w:eastAsia="Times New Roman" w:cs="Calibri"/>
                <w:kern w:val="0"/>
                <w:sz w:val="20"/>
                <w:szCs w:val="20"/>
                <w:lang w:eastAsia="pl-PL"/>
              </w:rPr>
              <w:t>45</w:t>
            </w:r>
          </w:p>
        </w:tc>
        <w:tc>
          <w:tcPr>
            <w:tcW w:w="1123" w:type="dxa"/>
            <w:shd w:val="clear" w:color="auto" w:fill="auto"/>
            <w:noWrap/>
            <w:vAlign w:val="center"/>
            <w:hideMark/>
          </w:tcPr>
          <w:p w:rsidR="003F2B0C" w:rsidRPr="00C57362" w:rsidRDefault="003F2B0C" w:rsidP="0084338D">
            <w:pPr>
              <w:spacing w:after="0" w:line="240" w:lineRule="auto"/>
              <w:jc w:val="center"/>
              <w:rPr>
                <w:rFonts w:eastAsia="Times New Roman" w:cs="Calibri"/>
                <w:kern w:val="0"/>
                <w:sz w:val="20"/>
                <w:szCs w:val="20"/>
                <w:lang w:eastAsia="pl-PL"/>
              </w:rPr>
            </w:pPr>
            <w:r w:rsidRPr="00C57362">
              <w:rPr>
                <w:rFonts w:eastAsia="Times New Roman" w:cs="Calibri"/>
                <w:kern w:val="0"/>
                <w:sz w:val="20"/>
                <w:szCs w:val="20"/>
                <w:lang w:eastAsia="pl-PL"/>
              </w:rPr>
              <w:t>47</w:t>
            </w:r>
          </w:p>
        </w:tc>
        <w:tc>
          <w:tcPr>
            <w:tcW w:w="568" w:type="dxa"/>
            <w:shd w:val="clear" w:color="auto" w:fill="auto"/>
            <w:noWrap/>
            <w:vAlign w:val="center"/>
            <w:hideMark/>
          </w:tcPr>
          <w:p w:rsidR="003F2B0C" w:rsidRPr="00C57362" w:rsidRDefault="003F2B0C" w:rsidP="0084338D">
            <w:pPr>
              <w:spacing w:after="0" w:line="240" w:lineRule="auto"/>
              <w:jc w:val="center"/>
              <w:rPr>
                <w:rFonts w:eastAsia="Times New Roman" w:cs="Calibri"/>
                <w:kern w:val="0"/>
                <w:sz w:val="20"/>
                <w:szCs w:val="20"/>
                <w:lang w:eastAsia="pl-PL"/>
              </w:rPr>
            </w:pPr>
            <w:r w:rsidRPr="00C57362">
              <w:rPr>
                <w:rFonts w:eastAsia="Times New Roman" w:cs="Calibri"/>
                <w:kern w:val="0"/>
                <w:sz w:val="20"/>
                <w:szCs w:val="20"/>
                <w:lang w:eastAsia="pl-PL"/>
              </w:rPr>
              <w:t>54</w:t>
            </w:r>
          </w:p>
        </w:tc>
      </w:tr>
      <w:tr w:rsidR="003F2B0C" w:rsidRPr="00C57362" w:rsidTr="0084338D">
        <w:trPr>
          <w:trHeight w:val="20"/>
        </w:trPr>
        <w:tc>
          <w:tcPr>
            <w:tcW w:w="2800" w:type="dxa"/>
            <w:shd w:val="clear" w:color="auto" w:fill="auto"/>
            <w:vAlign w:val="center"/>
            <w:hideMark/>
          </w:tcPr>
          <w:p w:rsidR="003F2B0C" w:rsidRPr="00C57362" w:rsidRDefault="003F2B0C" w:rsidP="0084338D">
            <w:pPr>
              <w:spacing w:after="0" w:line="240" w:lineRule="auto"/>
              <w:jc w:val="left"/>
              <w:rPr>
                <w:rFonts w:eastAsia="Times New Roman" w:cs="Calibri"/>
                <w:kern w:val="0"/>
                <w:sz w:val="20"/>
                <w:szCs w:val="20"/>
                <w:lang w:eastAsia="pl-PL"/>
              </w:rPr>
            </w:pPr>
            <w:r w:rsidRPr="00C57362">
              <w:rPr>
                <w:rFonts w:eastAsia="Times New Roman" w:cs="Calibri"/>
                <w:kern w:val="0"/>
                <w:sz w:val="20"/>
                <w:szCs w:val="20"/>
                <w:lang w:eastAsia="pl-PL"/>
              </w:rPr>
              <w:t>Metropolia Krakowska</w:t>
            </w:r>
          </w:p>
        </w:tc>
        <w:tc>
          <w:tcPr>
            <w:tcW w:w="1123" w:type="dxa"/>
            <w:shd w:val="clear" w:color="auto" w:fill="auto"/>
            <w:noWrap/>
            <w:vAlign w:val="center"/>
            <w:hideMark/>
          </w:tcPr>
          <w:p w:rsidR="003F2B0C" w:rsidRPr="00C57362" w:rsidRDefault="003F2B0C" w:rsidP="0084338D">
            <w:pPr>
              <w:spacing w:after="0" w:line="240" w:lineRule="auto"/>
              <w:jc w:val="center"/>
              <w:rPr>
                <w:rFonts w:eastAsia="Times New Roman" w:cs="Calibri"/>
                <w:kern w:val="0"/>
                <w:sz w:val="20"/>
                <w:szCs w:val="20"/>
                <w:lang w:eastAsia="pl-PL"/>
              </w:rPr>
            </w:pPr>
            <w:r w:rsidRPr="00C57362">
              <w:rPr>
                <w:rFonts w:eastAsia="Times New Roman" w:cs="Calibri"/>
                <w:kern w:val="0"/>
                <w:sz w:val="20"/>
                <w:szCs w:val="20"/>
                <w:lang w:eastAsia="pl-PL"/>
              </w:rPr>
              <w:t>11</w:t>
            </w:r>
          </w:p>
        </w:tc>
        <w:tc>
          <w:tcPr>
            <w:tcW w:w="1123" w:type="dxa"/>
            <w:shd w:val="clear" w:color="auto" w:fill="auto"/>
            <w:noWrap/>
            <w:vAlign w:val="center"/>
            <w:hideMark/>
          </w:tcPr>
          <w:p w:rsidR="003F2B0C" w:rsidRPr="00C57362" w:rsidRDefault="003F2B0C" w:rsidP="0084338D">
            <w:pPr>
              <w:spacing w:after="0" w:line="240" w:lineRule="auto"/>
              <w:jc w:val="center"/>
              <w:rPr>
                <w:rFonts w:eastAsia="Times New Roman" w:cs="Calibri"/>
                <w:kern w:val="0"/>
                <w:sz w:val="20"/>
                <w:szCs w:val="20"/>
                <w:lang w:eastAsia="pl-PL"/>
              </w:rPr>
            </w:pPr>
            <w:r w:rsidRPr="00C57362">
              <w:rPr>
                <w:rFonts w:eastAsia="Times New Roman" w:cs="Calibri"/>
                <w:kern w:val="0"/>
                <w:sz w:val="20"/>
                <w:szCs w:val="20"/>
                <w:lang w:eastAsia="pl-PL"/>
              </w:rPr>
              <w:t>14</w:t>
            </w:r>
          </w:p>
        </w:tc>
        <w:tc>
          <w:tcPr>
            <w:tcW w:w="1123" w:type="dxa"/>
            <w:shd w:val="clear" w:color="auto" w:fill="auto"/>
            <w:noWrap/>
            <w:vAlign w:val="center"/>
            <w:hideMark/>
          </w:tcPr>
          <w:p w:rsidR="003F2B0C" w:rsidRPr="00C57362" w:rsidRDefault="003F2B0C" w:rsidP="0084338D">
            <w:pPr>
              <w:spacing w:after="0" w:line="240" w:lineRule="auto"/>
              <w:jc w:val="center"/>
              <w:rPr>
                <w:rFonts w:eastAsia="Times New Roman" w:cs="Calibri"/>
                <w:kern w:val="0"/>
                <w:sz w:val="20"/>
                <w:szCs w:val="20"/>
                <w:lang w:eastAsia="pl-PL"/>
              </w:rPr>
            </w:pPr>
            <w:r w:rsidRPr="00C57362">
              <w:rPr>
                <w:rFonts w:eastAsia="Times New Roman" w:cs="Calibri"/>
                <w:kern w:val="0"/>
                <w:sz w:val="20"/>
                <w:szCs w:val="20"/>
                <w:lang w:eastAsia="pl-PL"/>
              </w:rPr>
              <w:t>14</w:t>
            </w:r>
          </w:p>
        </w:tc>
        <w:tc>
          <w:tcPr>
            <w:tcW w:w="1123" w:type="dxa"/>
            <w:shd w:val="clear" w:color="auto" w:fill="auto"/>
            <w:noWrap/>
            <w:vAlign w:val="center"/>
            <w:hideMark/>
          </w:tcPr>
          <w:p w:rsidR="003F2B0C" w:rsidRPr="00C57362" w:rsidRDefault="003F2B0C" w:rsidP="0084338D">
            <w:pPr>
              <w:spacing w:after="0" w:line="240" w:lineRule="auto"/>
              <w:jc w:val="center"/>
              <w:rPr>
                <w:rFonts w:eastAsia="Times New Roman" w:cs="Calibri"/>
                <w:kern w:val="0"/>
                <w:sz w:val="20"/>
                <w:szCs w:val="20"/>
                <w:lang w:eastAsia="pl-PL"/>
              </w:rPr>
            </w:pPr>
            <w:r w:rsidRPr="00C57362">
              <w:rPr>
                <w:rFonts w:eastAsia="Times New Roman" w:cs="Calibri"/>
                <w:kern w:val="0"/>
                <w:sz w:val="20"/>
                <w:szCs w:val="20"/>
                <w:lang w:eastAsia="pl-PL"/>
              </w:rPr>
              <w:t>24</w:t>
            </w:r>
          </w:p>
        </w:tc>
        <w:tc>
          <w:tcPr>
            <w:tcW w:w="1123" w:type="dxa"/>
            <w:shd w:val="clear" w:color="auto" w:fill="auto"/>
            <w:noWrap/>
            <w:vAlign w:val="center"/>
            <w:hideMark/>
          </w:tcPr>
          <w:p w:rsidR="003F2B0C" w:rsidRPr="00C57362" w:rsidRDefault="003F2B0C" w:rsidP="0084338D">
            <w:pPr>
              <w:spacing w:after="0" w:line="240" w:lineRule="auto"/>
              <w:jc w:val="center"/>
              <w:rPr>
                <w:rFonts w:eastAsia="Times New Roman" w:cs="Calibri"/>
                <w:kern w:val="0"/>
                <w:sz w:val="20"/>
                <w:szCs w:val="20"/>
                <w:lang w:eastAsia="pl-PL"/>
              </w:rPr>
            </w:pPr>
            <w:r w:rsidRPr="00C57362">
              <w:rPr>
                <w:rFonts w:eastAsia="Times New Roman" w:cs="Calibri"/>
                <w:kern w:val="0"/>
                <w:sz w:val="20"/>
                <w:szCs w:val="20"/>
                <w:lang w:eastAsia="pl-PL"/>
              </w:rPr>
              <w:t>26</w:t>
            </w:r>
          </w:p>
        </w:tc>
        <w:tc>
          <w:tcPr>
            <w:tcW w:w="568" w:type="dxa"/>
            <w:shd w:val="clear" w:color="auto" w:fill="auto"/>
            <w:noWrap/>
            <w:vAlign w:val="center"/>
            <w:hideMark/>
          </w:tcPr>
          <w:p w:rsidR="003F2B0C" w:rsidRPr="00C57362" w:rsidRDefault="003F2B0C" w:rsidP="0084338D">
            <w:pPr>
              <w:spacing w:after="0" w:line="240" w:lineRule="auto"/>
              <w:jc w:val="center"/>
              <w:rPr>
                <w:rFonts w:eastAsia="Times New Roman" w:cs="Calibri"/>
                <w:kern w:val="0"/>
                <w:sz w:val="20"/>
                <w:szCs w:val="20"/>
                <w:lang w:eastAsia="pl-PL"/>
              </w:rPr>
            </w:pPr>
            <w:r w:rsidRPr="00C57362">
              <w:rPr>
                <w:rFonts w:eastAsia="Times New Roman" w:cs="Calibri"/>
                <w:kern w:val="0"/>
                <w:sz w:val="20"/>
                <w:szCs w:val="20"/>
                <w:lang w:eastAsia="pl-PL"/>
              </w:rPr>
              <w:t>33</w:t>
            </w:r>
          </w:p>
        </w:tc>
      </w:tr>
      <w:tr w:rsidR="003F2B0C" w:rsidRPr="00C57362" w:rsidTr="0084338D">
        <w:trPr>
          <w:trHeight w:val="20"/>
        </w:trPr>
        <w:tc>
          <w:tcPr>
            <w:tcW w:w="2800" w:type="dxa"/>
            <w:shd w:val="clear" w:color="auto" w:fill="auto"/>
            <w:vAlign w:val="center"/>
            <w:hideMark/>
          </w:tcPr>
          <w:p w:rsidR="003F2B0C" w:rsidRPr="00C57362" w:rsidRDefault="003F2B0C" w:rsidP="0084338D">
            <w:pPr>
              <w:spacing w:after="0" w:line="240" w:lineRule="auto"/>
              <w:jc w:val="left"/>
              <w:rPr>
                <w:rFonts w:eastAsia="Times New Roman" w:cs="Calibri"/>
                <w:kern w:val="0"/>
                <w:sz w:val="20"/>
                <w:szCs w:val="20"/>
                <w:lang w:eastAsia="pl-PL"/>
              </w:rPr>
            </w:pPr>
            <w:r w:rsidRPr="00C57362">
              <w:rPr>
                <w:rFonts w:eastAsia="Times New Roman" w:cs="Calibri"/>
                <w:kern w:val="0"/>
                <w:sz w:val="20"/>
                <w:szCs w:val="20"/>
                <w:lang w:eastAsia="pl-PL"/>
              </w:rPr>
              <w:t>Metropolia Poznań</w:t>
            </w:r>
          </w:p>
        </w:tc>
        <w:tc>
          <w:tcPr>
            <w:tcW w:w="1123" w:type="dxa"/>
            <w:shd w:val="clear" w:color="auto" w:fill="auto"/>
            <w:noWrap/>
            <w:vAlign w:val="bottom"/>
            <w:hideMark/>
          </w:tcPr>
          <w:p w:rsidR="003F2B0C" w:rsidRPr="00C57362" w:rsidRDefault="003F2B0C" w:rsidP="0084338D">
            <w:pPr>
              <w:spacing w:after="0" w:line="240" w:lineRule="auto"/>
              <w:jc w:val="center"/>
              <w:rPr>
                <w:rFonts w:eastAsia="Times New Roman" w:cs="Calibri"/>
                <w:kern w:val="0"/>
                <w:sz w:val="20"/>
                <w:szCs w:val="20"/>
                <w:lang w:eastAsia="pl-PL"/>
              </w:rPr>
            </w:pPr>
            <w:r w:rsidRPr="00180022">
              <w:rPr>
                <w:rFonts w:eastAsia="Times New Roman" w:cs="Calibri"/>
                <w:kern w:val="0"/>
                <w:sz w:val="20"/>
                <w:szCs w:val="20"/>
                <w:lang w:eastAsia="pl-PL"/>
              </w:rPr>
              <w:t>19</w:t>
            </w:r>
          </w:p>
        </w:tc>
        <w:tc>
          <w:tcPr>
            <w:tcW w:w="1123" w:type="dxa"/>
            <w:shd w:val="clear" w:color="auto" w:fill="auto"/>
            <w:noWrap/>
            <w:vAlign w:val="bottom"/>
            <w:hideMark/>
          </w:tcPr>
          <w:p w:rsidR="003F2B0C" w:rsidRPr="00C57362" w:rsidRDefault="003F2B0C" w:rsidP="0084338D">
            <w:pPr>
              <w:spacing w:after="0" w:line="240" w:lineRule="auto"/>
              <w:jc w:val="center"/>
              <w:rPr>
                <w:rFonts w:eastAsia="Times New Roman" w:cs="Calibri"/>
                <w:kern w:val="0"/>
                <w:sz w:val="20"/>
                <w:szCs w:val="20"/>
                <w:lang w:eastAsia="pl-PL"/>
              </w:rPr>
            </w:pPr>
            <w:r w:rsidRPr="00180022">
              <w:rPr>
                <w:rFonts w:eastAsia="Times New Roman" w:cs="Calibri"/>
                <w:kern w:val="0"/>
                <w:sz w:val="20"/>
                <w:szCs w:val="20"/>
                <w:lang w:eastAsia="pl-PL"/>
              </w:rPr>
              <w:t>26</w:t>
            </w:r>
          </w:p>
        </w:tc>
        <w:tc>
          <w:tcPr>
            <w:tcW w:w="1123" w:type="dxa"/>
            <w:shd w:val="clear" w:color="auto" w:fill="auto"/>
            <w:noWrap/>
            <w:vAlign w:val="bottom"/>
            <w:hideMark/>
          </w:tcPr>
          <w:p w:rsidR="003F2B0C" w:rsidRPr="00C57362" w:rsidRDefault="003F2B0C" w:rsidP="0084338D">
            <w:pPr>
              <w:spacing w:after="0" w:line="240" w:lineRule="auto"/>
              <w:jc w:val="center"/>
              <w:rPr>
                <w:rFonts w:eastAsia="Times New Roman" w:cs="Calibri"/>
                <w:kern w:val="0"/>
                <w:sz w:val="20"/>
                <w:szCs w:val="20"/>
                <w:lang w:eastAsia="pl-PL"/>
              </w:rPr>
            </w:pPr>
            <w:r w:rsidRPr="00180022">
              <w:rPr>
                <w:rFonts w:eastAsia="Times New Roman" w:cs="Calibri"/>
                <w:kern w:val="0"/>
                <w:sz w:val="20"/>
                <w:szCs w:val="20"/>
                <w:lang w:eastAsia="pl-PL"/>
              </w:rPr>
              <w:t>35</w:t>
            </w:r>
          </w:p>
        </w:tc>
        <w:tc>
          <w:tcPr>
            <w:tcW w:w="1123" w:type="dxa"/>
            <w:shd w:val="clear" w:color="auto" w:fill="auto"/>
            <w:noWrap/>
            <w:vAlign w:val="bottom"/>
            <w:hideMark/>
          </w:tcPr>
          <w:p w:rsidR="003F2B0C" w:rsidRPr="00C57362" w:rsidRDefault="003F2B0C" w:rsidP="0084338D">
            <w:pPr>
              <w:spacing w:after="0" w:line="240" w:lineRule="auto"/>
              <w:jc w:val="center"/>
              <w:rPr>
                <w:rFonts w:eastAsia="Times New Roman" w:cs="Calibri"/>
                <w:kern w:val="0"/>
                <w:sz w:val="20"/>
                <w:szCs w:val="20"/>
                <w:lang w:eastAsia="pl-PL"/>
              </w:rPr>
            </w:pPr>
            <w:r w:rsidRPr="00180022">
              <w:rPr>
                <w:rFonts w:eastAsia="Times New Roman" w:cs="Calibri"/>
                <w:kern w:val="0"/>
                <w:sz w:val="20"/>
                <w:szCs w:val="20"/>
                <w:lang w:eastAsia="pl-PL"/>
              </w:rPr>
              <w:t>37</w:t>
            </w:r>
          </w:p>
        </w:tc>
        <w:tc>
          <w:tcPr>
            <w:tcW w:w="1123" w:type="dxa"/>
            <w:shd w:val="clear" w:color="auto" w:fill="auto"/>
            <w:noWrap/>
            <w:vAlign w:val="bottom"/>
            <w:hideMark/>
          </w:tcPr>
          <w:p w:rsidR="003F2B0C" w:rsidRPr="00C57362" w:rsidRDefault="003F2B0C" w:rsidP="0084338D">
            <w:pPr>
              <w:spacing w:after="0" w:line="240" w:lineRule="auto"/>
              <w:jc w:val="center"/>
              <w:rPr>
                <w:rFonts w:eastAsia="Times New Roman" w:cs="Calibri"/>
                <w:kern w:val="0"/>
                <w:sz w:val="20"/>
                <w:szCs w:val="20"/>
                <w:lang w:eastAsia="pl-PL"/>
              </w:rPr>
            </w:pPr>
            <w:r w:rsidRPr="00180022">
              <w:rPr>
                <w:rFonts w:eastAsia="Times New Roman" w:cs="Calibri"/>
                <w:kern w:val="0"/>
                <w:sz w:val="20"/>
                <w:szCs w:val="20"/>
                <w:lang w:eastAsia="pl-PL"/>
              </w:rPr>
              <w:t>40</w:t>
            </w:r>
          </w:p>
        </w:tc>
        <w:tc>
          <w:tcPr>
            <w:tcW w:w="568" w:type="dxa"/>
            <w:shd w:val="clear" w:color="auto" w:fill="auto"/>
            <w:noWrap/>
            <w:vAlign w:val="bottom"/>
            <w:hideMark/>
          </w:tcPr>
          <w:p w:rsidR="003F2B0C" w:rsidRPr="00C57362" w:rsidRDefault="003F2B0C" w:rsidP="0084338D">
            <w:pPr>
              <w:spacing w:after="0" w:line="240" w:lineRule="auto"/>
              <w:jc w:val="center"/>
              <w:rPr>
                <w:rFonts w:eastAsia="Times New Roman" w:cs="Calibri"/>
                <w:kern w:val="0"/>
                <w:sz w:val="20"/>
                <w:szCs w:val="20"/>
                <w:lang w:eastAsia="pl-PL"/>
              </w:rPr>
            </w:pPr>
            <w:r w:rsidRPr="00180022">
              <w:rPr>
                <w:rFonts w:eastAsia="Times New Roman" w:cs="Calibri"/>
                <w:kern w:val="0"/>
                <w:sz w:val="20"/>
                <w:szCs w:val="20"/>
                <w:lang w:eastAsia="pl-PL"/>
              </w:rPr>
              <w:t>40</w:t>
            </w:r>
          </w:p>
        </w:tc>
      </w:tr>
      <w:tr w:rsidR="003F2B0C" w:rsidRPr="00C57362" w:rsidTr="0084338D">
        <w:trPr>
          <w:trHeight w:val="20"/>
        </w:trPr>
        <w:tc>
          <w:tcPr>
            <w:tcW w:w="8983" w:type="dxa"/>
            <w:gridSpan w:val="7"/>
            <w:shd w:val="clear" w:color="auto" w:fill="FABE00"/>
            <w:vAlign w:val="center"/>
            <w:hideMark/>
          </w:tcPr>
          <w:p w:rsidR="003F2B0C" w:rsidRPr="00C57362" w:rsidRDefault="003F2B0C" w:rsidP="0084338D">
            <w:pPr>
              <w:spacing w:after="0" w:line="240" w:lineRule="auto"/>
              <w:jc w:val="center"/>
              <w:rPr>
                <w:rFonts w:eastAsia="Times New Roman" w:cs="Calibri"/>
                <w:color w:val="000000"/>
                <w:kern w:val="0"/>
                <w:sz w:val="20"/>
                <w:szCs w:val="20"/>
                <w:lang w:eastAsia="pl-PL"/>
              </w:rPr>
            </w:pPr>
            <w:r w:rsidRPr="00C57362">
              <w:rPr>
                <w:rFonts w:eastAsia="Times New Roman" w:cs="Calibri"/>
                <w:color w:val="000000"/>
                <w:kern w:val="0"/>
                <w:sz w:val="20"/>
                <w:szCs w:val="20"/>
                <w:lang w:eastAsia="pl-PL"/>
              </w:rPr>
              <w:t>liczba węzłów przesiadkowych</w:t>
            </w:r>
          </w:p>
        </w:tc>
      </w:tr>
      <w:tr w:rsidR="003F2B0C" w:rsidRPr="00C57362" w:rsidTr="0084338D">
        <w:trPr>
          <w:trHeight w:val="20"/>
        </w:trPr>
        <w:tc>
          <w:tcPr>
            <w:tcW w:w="2800" w:type="dxa"/>
            <w:shd w:val="clear" w:color="auto" w:fill="auto"/>
            <w:vAlign w:val="center"/>
            <w:hideMark/>
          </w:tcPr>
          <w:p w:rsidR="003F2B0C" w:rsidRPr="00C57362" w:rsidRDefault="003F2B0C" w:rsidP="0084338D">
            <w:pPr>
              <w:spacing w:after="0" w:line="240" w:lineRule="auto"/>
              <w:jc w:val="left"/>
              <w:rPr>
                <w:rFonts w:eastAsia="Times New Roman" w:cs="Calibri"/>
                <w:kern w:val="0"/>
                <w:sz w:val="20"/>
                <w:szCs w:val="20"/>
                <w:lang w:eastAsia="pl-PL"/>
              </w:rPr>
            </w:pPr>
            <w:r w:rsidRPr="00C57362">
              <w:rPr>
                <w:rFonts w:eastAsia="Times New Roman" w:cs="Calibri"/>
                <w:kern w:val="0"/>
                <w:sz w:val="20"/>
                <w:szCs w:val="20"/>
                <w:lang w:eastAsia="pl-PL"/>
              </w:rPr>
              <w:t>Wrocławski Obszar Funkcjonalny</w:t>
            </w:r>
          </w:p>
        </w:tc>
        <w:tc>
          <w:tcPr>
            <w:tcW w:w="1123" w:type="dxa"/>
            <w:shd w:val="clear" w:color="auto" w:fill="auto"/>
            <w:noWrap/>
            <w:vAlign w:val="center"/>
            <w:hideMark/>
          </w:tcPr>
          <w:p w:rsidR="003F2B0C" w:rsidRPr="00C57362" w:rsidRDefault="003F2B0C" w:rsidP="0084338D">
            <w:pPr>
              <w:spacing w:after="0" w:line="240" w:lineRule="auto"/>
              <w:jc w:val="left"/>
              <w:rPr>
                <w:rFonts w:eastAsia="Times New Roman" w:cs="Calibri"/>
                <w:kern w:val="0"/>
                <w:sz w:val="20"/>
                <w:szCs w:val="20"/>
                <w:lang w:eastAsia="pl-PL"/>
              </w:rPr>
            </w:pPr>
            <w:r w:rsidRPr="00C57362">
              <w:rPr>
                <w:rFonts w:eastAsia="Times New Roman" w:cs="Calibri"/>
                <w:kern w:val="0"/>
                <w:sz w:val="20"/>
                <w:szCs w:val="20"/>
                <w:lang w:eastAsia="pl-PL"/>
              </w:rPr>
              <w:t>brak danych</w:t>
            </w:r>
          </w:p>
        </w:tc>
        <w:tc>
          <w:tcPr>
            <w:tcW w:w="1123" w:type="dxa"/>
            <w:shd w:val="clear" w:color="auto" w:fill="auto"/>
            <w:noWrap/>
            <w:vAlign w:val="center"/>
            <w:hideMark/>
          </w:tcPr>
          <w:p w:rsidR="003F2B0C" w:rsidRPr="00C57362" w:rsidRDefault="003F2B0C" w:rsidP="0084338D">
            <w:pPr>
              <w:spacing w:after="0" w:line="240" w:lineRule="auto"/>
              <w:jc w:val="left"/>
              <w:rPr>
                <w:rFonts w:eastAsia="Times New Roman" w:cs="Calibri"/>
                <w:kern w:val="0"/>
                <w:sz w:val="20"/>
                <w:szCs w:val="20"/>
                <w:lang w:eastAsia="pl-PL"/>
              </w:rPr>
            </w:pPr>
            <w:r w:rsidRPr="00C57362">
              <w:rPr>
                <w:rFonts w:eastAsia="Times New Roman" w:cs="Calibri"/>
                <w:kern w:val="0"/>
                <w:sz w:val="20"/>
                <w:szCs w:val="20"/>
                <w:lang w:eastAsia="pl-PL"/>
              </w:rPr>
              <w:t>brak danych</w:t>
            </w:r>
          </w:p>
        </w:tc>
        <w:tc>
          <w:tcPr>
            <w:tcW w:w="1123" w:type="dxa"/>
            <w:shd w:val="clear" w:color="auto" w:fill="auto"/>
            <w:noWrap/>
            <w:vAlign w:val="center"/>
            <w:hideMark/>
          </w:tcPr>
          <w:p w:rsidR="003F2B0C" w:rsidRPr="00C57362" w:rsidRDefault="003F2B0C" w:rsidP="0084338D">
            <w:pPr>
              <w:spacing w:after="0" w:line="240" w:lineRule="auto"/>
              <w:jc w:val="left"/>
              <w:rPr>
                <w:rFonts w:eastAsia="Times New Roman" w:cs="Calibri"/>
                <w:kern w:val="0"/>
                <w:sz w:val="20"/>
                <w:szCs w:val="20"/>
                <w:lang w:eastAsia="pl-PL"/>
              </w:rPr>
            </w:pPr>
            <w:r w:rsidRPr="00C57362">
              <w:rPr>
                <w:rFonts w:eastAsia="Times New Roman" w:cs="Calibri"/>
                <w:kern w:val="0"/>
                <w:sz w:val="20"/>
                <w:szCs w:val="20"/>
                <w:lang w:eastAsia="pl-PL"/>
              </w:rPr>
              <w:t>brak danych</w:t>
            </w:r>
          </w:p>
        </w:tc>
        <w:tc>
          <w:tcPr>
            <w:tcW w:w="1123" w:type="dxa"/>
            <w:shd w:val="clear" w:color="auto" w:fill="auto"/>
            <w:noWrap/>
            <w:vAlign w:val="center"/>
            <w:hideMark/>
          </w:tcPr>
          <w:p w:rsidR="003F2B0C" w:rsidRPr="00C57362" w:rsidRDefault="003F2B0C" w:rsidP="0084338D">
            <w:pPr>
              <w:spacing w:after="0" w:line="240" w:lineRule="auto"/>
              <w:jc w:val="left"/>
              <w:rPr>
                <w:rFonts w:eastAsia="Times New Roman" w:cs="Calibri"/>
                <w:kern w:val="0"/>
                <w:sz w:val="20"/>
                <w:szCs w:val="20"/>
                <w:lang w:eastAsia="pl-PL"/>
              </w:rPr>
            </w:pPr>
            <w:r w:rsidRPr="00C57362">
              <w:rPr>
                <w:rFonts w:eastAsia="Times New Roman" w:cs="Calibri"/>
                <w:kern w:val="0"/>
                <w:sz w:val="20"/>
                <w:szCs w:val="20"/>
                <w:lang w:eastAsia="pl-PL"/>
              </w:rPr>
              <w:t>brak danych</w:t>
            </w:r>
          </w:p>
        </w:tc>
        <w:tc>
          <w:tcPr>
            <w:tcW w:w="1123" w:type="dxa"/>
            <w:shd w:val="clear" w:color="auto" w:fill="auto"/>
            <w:noWrap/>
            <w:vAlign w:val="center"/>
            <w:hideMark/>
          </w:tcPr>
          <w:p w:rsidR="003F2B0C" w:rsidRPr="00C57362" w:rsidRDefault="003F2B0C" w:rsidP="0084338D">
            <w:pPr>
              <w:spacing w:after="0" w:line="240" w:lineRule="auto"/>
              <w:jc w:val="left"/>
              <w:rPr>
                <w:rFonts w:eastAsia="Times New Roman" w:cs="Calibri"/>
                <w:kern w:val="0"/>
                <w:sz w:val="20"/>
                <w:szCs w:val="20"/>
                <w:lang w:eastAsia="pl-PL"/>
              </w:rPr>
            </w:pPr>
            <w:r w:rsidRPr="00C57362">
              <w:rPr>
                <w:rFonts w:eastAsia="Times New Roman" w:cs="Calibri"/>
                <w:kern w:val="0"/>
                <w:sz w:val="20"/>
                <w:szCs w:val="20"/>
                <w:lang w:eastAsia="pl-PL"/>
              </w:rPr>
              <w:t>brak danych</w:t>
            </w:r>
          </w:p>
        </w:tc>
        <w:tc>
          <w:tcPr>
            <w:tcW w:w="568" w:type="dxa"/>
            <w:shd w:val="clear" w:color="auto" w:fill="auto"/>
            <w:noWrap/>
            <w:vAlign w:val="center"/>
            <w:hideMark/>
          </w:tcPr>
          <w:p w:rsidR="003F2B0C" w:rsidRPr="00C57362" w:rsidRDefault="003F2B0C" w:rsidP="0084338D">
            <w:pPr>
              <w:spacing w:after="0" w:line="240" w:lineRule="auto"/>
              <w:jc w:val="center"/>
              <w:rPr>
                <w:rFonts w:eastAsia="Times New Roman" w:cs="Calibri"/>
                <w:kern w:val="0"/>
                <w:sz w:val="20"/>
                <w:szCs w:val="20"/>
                <w:lang w:eastAsia="pl-PL"/>
              </w:rPr>
            </w:pPr>
            <w:r w:rsidRPr="00C57362">
              <w:rPr>
                <w:rFonts w:eastAsia="Times New Roman" w:cs="Calibri"/>
                <w:kern w:val="0"/>
                <w:sz w:val="20"/>
                <w:szCs w:val="20"/>
                <w:lang w:eastAsia="pl-PL"/>
              </w:rPr>
              <w:t>16</w:t>
            </w:r>
          </w:p>
        </w:tc>
      </w:tr>
      <w:tr w:rsidR="003F2B0C" w:rsidRPr="00C57362" w:rsidTr="0084338D">
        <w:trPr>
          <w:trHeight w:val="20"/>
        </w:trPr>
        <w:tc>
          <w:tcPr>
            <w:tcW w:w="2800" w:type="dxa"/>
            <w:shd w:val="clear" w:color="auto" w:fill="auto"/>
            <w:vAlign w:val="center"/>
            <w:hideMark/>
          </w:tcPr>
          <w:p w:rsidR="003F2B0C" w:rsidRPr="00C57362" w:rsidRDefault="003F2B0C" w:rsidP="0084338D">
            <w:pPr>
              <w:spacing w:after="0" w:line="240" w:lineRule="auto"/>
              <w:jc w:val="left"/>
              <w:rPr>
                <w:rFonts w:eastAsia="Times New Roman" w:cs="Calibri"/>
                <w:kern w:val="0"/>
                <w:sz w:val="20"/>
                <w:szCs w:val="20"/>
                <w:lang w:eastAsia="pl-PL"/>
              </w:rPr>
            </w:pPr>
            <w:r w:rsidRPr="00C57362">
              <w:rPr>
                <w:rFonts w:eastAsia="Times New Roman" w:cs="Calibri"/>
                <w:kern w:val="0"/>
                <w:sz w:val="20"/>
                <w:szCs w:val="20"/>
                <w:lang w:eastAsia="pl-PL"/>
              </w:rPr>
              <w:t>Metropolia Krakowska</w:t>
            </w:r>
          </w:p>
        </w:tc>
        <w:tc>
          <w:tcPr>
            <w:tcW w:w="1123" w:type="dxa"/>
            <w:shd w:val="clear" w:color="auto" w:fill="auto"/>
            <w:noWrap/>
            <w:vAlign w:val="center"/>
            <w:hideMark/>
          </w:tcPr>
          <w:p w:rsidR="003F2B0C" w:rsidRPr="00C57362" w:rsidRDefault="003F2B0C" w:rsidP="0084338D">
            <w:pPr>
              <w:spacing w:after="0" w:line="240" w:lineRule="auto"/>
              <w:jc w:val="left"/>
              <w:rPr>
                <w:rFonts w:eastAsia="Times New Roman" w:cs="Calibri"/>
                <w:kern w:val="0"/>
                <w:sz w:val="20"/>
                <w:szCs w:val="20"/>
                <w:lang w:eastAsia="pl-PL"/>
              </w:rPr>
            </w:pPr>
            <w:r w:rsidRPr="00C57362">
              <w:rPr>
                <w:rFonts w:eastAsia="Times New Roman" w:cs="Calibri"/>
                <w:kern w:val="0"/>
                <w:sz w:val="20"/>
                <w:szCs w:val="20"/>
                <w:lang w:eastAsia="pl-PL"/>
              </w:rPr>
              <w:t>brak danych</w:t>
            </w:r>
          </w:p>
        </w:tc>
        <w:tc>
          <w:tcPr>
            <w:tcW w:w="1123" w:type="dxa"/>
            <w:shd w:val="clear" w:color="auto" w:fill="auto"/>
            <w:noWrap/>
            <w:vAlign w:val="center"/>
            <w:hideMark/>
          </w:tcPr>
          <w:p w:rsidR="003F2B0C" w:rsidRPr="00C57362" w:rsidRDefault="003F2B0C" w:rsidP="0084338D">
            <w:pPr>
              <w:spacing w:after="0" w:line="240" w:lineRule="auto"/>
              <w:jc w:val="left"/>
              <w:rPr>
                <w:rFonts w:eastAsia="Times New Roman" w:cs="Calibri"/>
                <w:kern w:val="0"/>
                <w:sz w:val="20"/>
                <w:szCs w:val="20"/>
                <w:lang w:eastAsia="pl-PL"/>
              </w:rPr>
            </w:pPr>
            <w:r w:rsidRPr="00C57362">
              <w:rPr>
                <w:rFonts w:eastAsia="Times New Roman" w:cs="Calibri"/>
                <w:kern w:val="0"/>
                <w:sz w:val="20"/>
                <w:szCs w:val="20"/>
                <w:lang w:eastAsia="pl-PL"/>
              </w:rPr>
              <w:t>brak danych</w:t>
            </w:r>
          </w:p>
        </w:tc>
        <w:tc>
          <w:tcPr>
            <w:tcW w:w="1123" w:type="dxa"/>
            <w:shd w:val="clear" w:color="auto" w:fill="auto"/>
            <w:noWrap/>
            <w:vAlign w:val="center"/>
            <w:hideMark/>
          </w:tcPr>
          <w:p w:rsidR="003F2B0C" w:rsidRPr="00C57362" w:rsidRDefault="003F2B0C" w:rsidP="0084338D">
            <w:pPr>
              <w:spacing w:after="0" w:line="240" w:lineRule="auto"/>
              <w:jc w:val="left"/>
              <w:rPr>
                <w:rFonts w:eastAsia="Times New Roman" w:cs="Calibri"/>
                <w:kern w:val="0"/>
                <w:sz w:val="20"/>
                <w:szCs w:val="20"/>
                <w:lang w:eastAsia="pl-PL"/>
              </w:rPr>
            </w:pPr>
            <w:r w:rsidRPr="00C57362">
              <w:rPr>
                <w:rFonts w:eastAsia="Times New Roman" w:cs="Calibri"/>
                <w:kern w:val="0"/>
                <w:sz w:val="20"/>
                <w:szCs w:val="20"/>
                <w:lang w:eastAsia="pl-PL"/>
              </w:rPr>
              <w:t>brak danych</w:t>
            </w:r>
          </w:p>
        </w:tc>
        <w:tc>
          <w:tcPr>
            <w:tcW w:w="1123" w:type="dxa"/>
            <w:shd w:val="clear" w:color="auto" w:fill="auto"/>
            <w:noWrap/>
            <w:vAlign w:val="center"/>
            <w:hideMark/>
          </w:tcPr>
          <w:p w:rsidR="003F2B0C" w:rsidRPr="00C57362" w:rsidRDefault="003F2B0C" w:rsidP="0084338D">
            <w:pPr>
              <w:spacing w:after="0" w:line="240" w:lineRule="auto"/>
              <w:jc w:val="left"/>
              <w:rPr>
                <w:rFonts w:eastAsia="Times New Roman" w:cs="Calibri"/>
                <w:kern w:val="0"/>
                <w:sz w:val="20"/>
                <w:szCs w:val="20"/>
                <w:lang w:eastAsia="pl-PL"/>
              </w:rPr>
            </w:pPr>
            <w:r w:rsidRPr="00C57362">
              <w:rPr>
                <w:rFonts w:eastAsia="Times New Roman" w:cs="Calibri"/>
                <w:kern w:val="0"/>
                <w:sz w:val="20"/>
                <w:szCs w:val="20"/>
                <w:lang w:eastAsia="pl-PL"/>
              </w:rPr>
              <w:t>brak danych</w:t>
            </w:r>
          </w:p>
        </w:tc>
        <w:tc>
          <w:tcPr>
            <w:tcW w:w="1123" w:type="dxa"/>
            <w:shd w:val="clear" w:color="auto" w:fill="auto"/>
            <w:noWrap/>
            <w:vAlign w:val="center"/>
            <w:hideMark/>
          </w:tcPr>
          <w:p w:rsidR="003F2B0C" w:rsidRPr="00C57362" w:rsidRDefault="003F2B0C" w:rsidP="0084338D">
            <w:pPr>
              <w:spacing w:after="0" w:line="240" w:lineRule="auto"/>
              <w:jc w:val="left"/>
              <w:rPr>
                <w:rFonts w:eastAsia="Times New Roman" w:cs="Calibri"/>
                <w:kern w:val="0"/>
                <w:sz w:val="20"/>
                <w:szCs w:val="20"/>
                <w:lang w:eastAsia="pl-PL"/>
              </w:rPr>
            </w:pPr>
            <w:r w:rsidRPr="00C57362">
              <w:rPr>
                <w:rFonts w:eastAsia="Times New Roman" w:cs="Calibri"/>
                <w:kern w:val="0"/>
                <w:sz w:val="20"/>
                <w:szCs w:val="20"/>
                <w:lang w:eastAsia="pl-PL"/>
              </w:rPr>
              <w:t>brak danych</w:t>
            </w:r>
          </w:p>
        </w:tc>
        <w:tc>
          <w:tcPr>
            <w:tcW w:w="568" w:type="dxa"/>
            <w:shd w:val="clear" w:color="auto" w:fill="auto"/>
            <w:noWrap/>
            <w:vAlign w:val="center"/>
            <w:hideMark/>
          </w:tcPr>
          <w:p w:rsidR="003F2B0C" w:rsidRPr="00C57362" w:rsidRDefault="003F2B0C" w:rsidP="0084338D">
            <w:pPr>
              <w:spacing w:after="0" w:line="240" w:lineRule="auto"/>
              <w:jc w:val="center"/>
              <w:rPr>
                <w:rFonts w:eastAsia="Times New Roman" w:cs="Calibri"/>
                <w:kern w:val="0"/>
                <w:sz w:val="20"/>
                <w:szCs w:val="20"/>
                <w:lang w:eastAsia="pl-PL"/>
              </w:rPr>
            </w:pPr>
            <w:r w:rsidRPr="00C57362">
              <w:rPr>
                <w:rFonts w:eastAsia="Times New Roman" w:cs="Calibri"/>
                <w:kern w:val="0"/>
                <w:sz w:val="20"/>
                <w:szCs w:val="20"/>
                <w:lang w:eastAsia="pl-PL"/>
              </w:rPr>
              <w:t>41</w:t>
            </w:r>
          </w:p>
        </w:tc>
      </w:tr>
      <w:tr w:rsidR="003F2B0C" w:rsidRPr="00C57362" w:rsidTr="0084338D">
        <w:trPr>
          <w:trHeight w:val="20"/>
        </w:trPr>
        <w:tc>
          <w:tcPr>
            <w:tcW w:w="2800" w:type="dxa"/>
            <w:shd w:val="clear" w:color="auto" w:fill="auto"/>
            <w:vAlign w:val="center"/>
            <w:hideMark/>
          </w:tcPr>
          <w:p w:rsidR="003F2B0C" w:rsidRPr="00C57362" w:rsidRDefault="003F2B0C" w:rsidP="0084338D">
            <w:pPr>
              <w:spacing w:after="0" w:line="240" w:lineRule="auto"/>
              <w:jc w:val="left"/>
              <w:rPr>
                <w:rFonts w:eastAsia="Times New Roman" w:cs="Calibri"/>
                <w:kern w:val="0"/>
                <w:sz w:val="20"/>
                <w:szCs w:val="20"/>
                <w:lang w:eastAsia="pl-PL"/>
              </w:rPr>
            </w:pPr>
            <w:r w:rsidRPr="00C57362">
              <w:rPr>
                <w:rFonts w:eastAsia="Times New Roman" w:cs="Calibri"/>
                <w:kern w:val="0"/>
                <w:sz w:val="20"/>
                <w:szCs w:val="20"/>
                <w:lang w:eastAsia="pl-PL"/>
              </w:rPr>
              <w:t>Metropolia Poznań</w:t>
            </w:r>
          </w:p>
        </w:tc>
        <w:tc>
          <w:tcPr>
            <w:tcW w:w="1123" w:type="dxa"/>
            <w:shd w:val="clear" w:color="auto" w:fill="auto"/>
            <w:noWrap/>
            <w:vAlign w:val="center"/>
            <w:hideMark/>
          </w:tcPr>
          <w:p w:rsidR="003F2B0C" w:rsidRPr="00C57362" w:rsidRDefault="003F2B0C" w:rsidP="0084338D">
            <w:pPr>
              <w:spacing w:after="0" w:line="240" w:lineRule="auto"/>
              <w:jc w:val="left"/>
              <w:rPr>
                <w:rFonts w:eastAsia="Times New Roman" w:cs="Calibri"/>
                <w:kern w:val="0"/>
                <w:sz w:val="20"/>
                <w:szCs w:val="20"/>
                <w:lang w:eastAsia="pl-PL"/>
              </w:rPr>
            </w:pPr>
            <w:r w:rsidRPr="00C57362">
              <w:rPr>
                <w:rFonts w:eastAsia="Times New Roman" w:cs="Calibri"/>
                <w:kern w:val="0"/>
                <w:sz w:val="20"/>
                <w:szCs w:val="20"/>
                <w:lang w:eastAsia="pl-PL"/>
              </w:rPr>
              <w:t>brak danych</w:t>
            </w:r>
          </w:p>
        </w:tc>
        <w:tc>
          <w:tcPr>
            <w:tcW w:w="1123" w:type="dxa"/>
            <w:shd w:val="clear" w:color="auto" w:fill="auto"/>
            <w:noWrap/>
            <w:vAlign w:val="center"/>
            <w:hideMark/>
          </w:tcPr>
          <w:p w:rsidR="003F2B0C" w:rsidRPr="00C57362" w:rsidRDefault="003F2B0C" w:rsidP="0084338D">
            <w:pPr>
              <w:spacing w:after="0" w:line="240" w:lineRule="auto"/>
              <w:jc w:val="left"/>
              <w:rPr>
                <w:rFonts w:eastAsia="Times New Roman" w:cs="Calibri"/>
                <w:kern w:val="0"/>
                <w:sz w:val="20"/>
                <w:szCs w:val="20"/>
                <w:lang w:eastAsia="pl-PL"/>
              </w:rPr>
            </w:pPr>
            <w:r w:rsidRPr="00C57362">
              <w:rPr>
                <w:rFonts w:eastAsia="Times New Roman" w:cs="Calibri"/>
                <w:kern w:val="0"/>
                <w:sz w:val="20"/>
                <w:szCs w:val="20"/>
                <w:lang w:eastAsia="pl-PL"/>
              </w:rPr>
              <w:t>brak danych</w:t>
            </w:r>
          </w:p>
        </w:tc>
        <w:tc>
          <w:tcPr>
            <w:tcW w:w="1123" w:type="dxa"/>
            <w:shd w:val="clear" w:color="auto" w:fill="auto"/>
            <w:noWrap/>
            <w:vAlign w:val="center"/>
            <w:hideMark/>
          </w:tcPr>
          <w:p w:rsidR="003F2B0C" w:rsidRPr="00C57362" w:rsidRDefault="003F2B0C" w:rsidP="0084338D">
            <w:pPr>
              <w:spacing w:after="0" w:line="240" w:lineRule="auto"/>
              <w:jc w:val="left"/>
              <w:rPr>
                <w:rFonts w:eastAsia="Times New Roman" w:cs="Calibri"/>
                <w:kern w:val="0"/>
                <w:sz w:val="20"/>
                <w:szCs w:val="20"/>
                <w:lang w:eastAsia="pl-PL"/>
              </w:rPr>
            </w:pPr>
            <w:r w:rsidRPr="00C57362">
              <w:rPr>
                <w:rFonts w:eastAsia="Times New Roman" w:cs="Calibri"/>
                <w:kern w:val="0"/>
                <w:sz w:val="20"/>
                <w:szCs w:val="20"/>
                <w:lang w:eastAsia="pl-PL"/>
              </w:rPr>
              <w:t>brak danych</w:t>
            </w:r>
          </w:p>
        </w:tc>
        <w:tc>
          <w:tcPr>
            <w:tcW w:w="1123" w:type="dxa"/>
            <w:shd w:val="clear" w:color="auto" w:fill="auto"/>
            <w:noWrap/>
            <w:vAlign w:val="center"/>
            <w:hideMark/>
          </w:tcPr>
          <w:p w:rsidR="003F2B0C" w:rsidRPr="00C57362" w:rsidRDefault="003F2B0C" w:rsidP="0084338D">
            <w:pPr>
              <w:spacing w:after="0" w:line="240" w:lineRule="auto"/>
              <w:jc w:val="left"/>
              <w:rPr>
                <w:rFonts w:eastAsia="Times New Roman" w:cs="Calibri"/>
                <w:kern w:val="0"/>
                <w:sz w:val="20"/>
                <w:szCs w:val="20"/>
                <w:lang w:eastAsia="pl-PL"/>
              </w:rPr>
            </w:pPr>
            <w:r w:rsidRPr="00C57362">
              <w:rPr>
                <w:rFonts w:eastAsia="Times New Roman" w:cs="Calibri"/>
                <w:kern w:val="0"/>
                <w:sz w:val="20"/>
                <w:szCs w:val="20"/>
                <w:lang w:eastAsia="pl-PL"/>
              </w:rPr>
              <w:t>brak danych</w:t>
            </w:r>
          </w:p>
        </w:tc>
        <w:tc>
          <w:tcPr>
            <w:tcW w:w="1123" w:type="dxa"/>
            <w:shd w:val="clear" w:color="auto" w:fill="auto"/>
            <w:noWrap/>
            <w:vAlign w:val="center"/>
            <w:hideMark/>
          </w:tcPr>
          <w:p w:rsidR="003F2B0C" w:rsidRPr="00C57362" w:rsidRDefault="003F2B0C" w:rsidP="0084338D">
            <w:pPr>
              <w:spacing w:after="0" w:line="240" w:lineRule="auto"/>
              <w:jc w:val="left"/>
              <w:rPr>
                <w:rFonts w:eastAsia="Times New Roman" w:cs="Calibri"/>
                <w:kern w:val="0"/>
                <w:sz w:val="20"/>
                <w:szCs w:val="20"/>
                <w:lang w:eastAsia="pl-PL"/>
              </w:rPr>
            </w:pPr>
            <w:r w:rsidRPr="00C57362">
              <w:rPr>
                <w:rFonts w:eastAsia="Times New Roman" w:cs="Calibri"/>
                <w:kern w:val="0"/>
                <w:sz w:val="20"/>
                <w:szCs w:val="20"/>
                <w:lang w:eastAsia="pl-PL"/>
              </w:rPr>
              <w:t>brak danych</w:t>
            </w:r>
          </w:p>
        </w:tc>
        <w:tc>
          <w:tcPr>
            <w:tcW w:w="568" w:type="dxa"/>
            <w:shd w:val="clear" w:color="auto" w:fill="auto"/>
            <w:noWrap/>
            <w:vAlign w:val="center"/>
            <w:hideMark/>
          </w:tcPr>
          <w:p w:rsidR="003F2B0C" w:rsidRPr="00C57362" w:rsidRDefault="003F2B0C" w:rsidP="0084338D">
            <w:pPr>
              <w:spacing w:after="0" w:line="240" w:lineRule="auto"/>
              <w:jc w:val="center"/>
              <w:rPr>
                <w:rFonts w:eastAsia="Times New Roman" w:cs="Calibri"/>
                <w:kern w:val="0"/>
                <w:sz w:val="20"/>
                <w:szCs w:val="20"/>
                <w:lang w:eastAsia="pl-PL"/>
              </w:rPr>
            </w:pPr>
            <w:r>
              <w:rPr>
                <w:rFonts w:eastAsia="Times New Roman" w:cs="Calibri"/>
                <w:kern w:val="0"/>
                <w:sz w:val="20"/>
                <w:szCs w:val="20"/>
                <w:lang w:eastAsia="pl-PL"/>
              </w:rPr>
              <w:t>59</w:t>
            </w:r>
          </w:p>
        </w:tc>
      </w:tr>
    </w:tbl>
    <w:p w:rsidR="003F2B0C" w:rsidRPr="002737CB" w:rsidRDefault="003F2B0C" w:rsidP="003F2B0C">
      <w:pPr>
        <w:spacing w:line="276" w:lineRule="auto"/>
        <w:rPr>
          <w:iCs/>
          <w:color w:val="363735" w:themeColor="accent3"/>
          <w:sz w:val="20"/>
          <w:szCs w:val="18"/>
        </w:rPr>
      </w:pPr>
      <w:r w:rsidRPr="002737CB">
        <w:rPr>
          <w:iCs/>
          <w:color w:val="363735" w:themeColor="accent3"/>
          <w:sz w:val="20"/>
          <w:szCs w:val="18"/>
        </w:rPr>
        <w:t xml:space="preserve">Źródło: opracowanie własne na podstawie GUS BDL, </w:t>
      </w:r>
      <w:r>
        <w:rPr>
          <w:iCs/>
          <w:color w:val="363735" w:themeColor="accent3"/>
          <w:sz w:val="20"/>
          <w:szCs w:val="18"/>
        </w:rPr>
        <w:t>dostęp</w:t>
      </w:r>
      <w:r w:rsidRPr="002737CB">
        <w:rPr>
          <w:iCs/>
          <w:color w:val="363735" w:themeColor="accent3"/>
          <w:sz w:val="20"/>
          <w:szCs w:val="18"/>
        </w:rPr>
        <w:t xml:space="preserve"> 30.01.2025</w:t>
      </w:r>
    </w:p>
    <w:p w:rsidR="003F2B0C" w:rsidRPr="007F3F59" w:rsidRDefault="003F2B0C" w:rsidP="003F2B0C">
      <w:r w:rsidRPr="007F3F59">
        <w:t xml:space="preserve">W zakresie infrastruktury przystankowej </w:t>
      </w:r>
      <w:r>
        <w:t xml:space="preserve">najwięcej przystanków autobusowych i tramwajowych znajdowało się w </w:t>
      </w:r>
      <w:r w:rsidRPr="007F3F59">
        <w:t xml:space="preserve"> Metropoli</w:t>
      </w:r>
      <w:r>
        <w:t>i</w:t>
      </w:r>
      <w:r w:rsidRPr="007F3F59">
        <w:t xml:space="preserve"> </w:t>
      </w:r>
      <w:r>
        <w:t>K</w:t>
      </w:r>
      <w:r w:rsidRPr="007F3F59">
        <w:t>rakowsk</w:t>
      </w:r>
      <w:r>
        <w:t>iej</w:t>
      </w:r>
      <w:r w:rsidRPr="007F3F59">
        <w:t xml:space="preserve">, która w 2023 roku posiadała 3 932 </w:t>
      </w:r>
      <w:r>
        <w:t xml:space="preserve">takie </w:t>
      </w:r>
      <w:r w:rsidRPr="007F3F59">
        <w:t>przystanki, a</w:t>
      </w:r>
      <w:r>
        <w:t> </w:t>
      </w:r>
      <w:r w:rsidRPr="007F3F59">
        <w:t>ich liczba od roku 2018 wzrosła o</w:t>
      </w:r>
      <w:r>
        <w:t> </w:t>
      </w:r>
      <w:r w:rsidRPr="007F3F59">
        <w:t xml:space="preserve">1 032. </w:t>
      </w:r>
      <w:r>
        <w:t xml:space="preserve">Na terenie Wrocławskiego Obszaru Funkcjonalnego odnotowano w latach 2018-2023 systematyczny wzrost liczby przystanków z 3287 w 2028 do 3612 w roku 2023. </w:t>
      </w:r>
    </w:p>
    <w:p w:rsidR="003F2B0C" w:rsidRDefault="003F2B0C" w:rsidP="003F2B0C">
      <w:pPr>
        <w:pStyle w:val="Legenda"/>
      </w:pPr>
      <w:bookmarkStart w:id="87" w:name="_Toc196867067"/>
      <w:bookmarkStart w:id="88" w:name="_Toc196905079"/>
      <w:r>
        <w:t xml:space="preserve">Tabela </w:t>
      </w:r>
      <w:fldSimple w:instr=" SEQ Tabela \* ARABIC ">
        <w:r w:rsidR="0084338D">
          <w:rPr>
            <w:noProof/>
          </w:rPr>
          <w:t>15</w:t>
        </w:r>
      </w:fldSimple>
      <w:r>
        <w:t>. Infrastruktura przystankowa w latach 2018-2023</w:t>
      </w:r>
      <w:bookmarkEnd w:id="87"/>
      <w:bookmarkEnd w:id="88"/>
    </w:p>
    <w:tbl>
      <w:tblPr>
        <w:tblStyle w:val="Tabela-Siatka"/>
        <w:tblW w:w="9021" w:type="dxa"/>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Look w:val="04A0"/>
      </w:tblPr>
      <w:tblGrid>
        <w:gridCol w:w="1825"/>
        <w:gridCol w:w="1199"/>
        <w:gridCol w:w="1199"/>
        <w:gridCol w:w="1199"/>
        <w:gridCol w:w="1199"/>
        <w:gridCol w:w="1199"/>
        <w:gridCol w:w="1201"/>
      </w:tblGrid>
      <w:tr w:rsidR="003F2B0C" w:rsidRPr="007F3F59" w:rsidTr="0084338D">
        <w:trPr>
          <w:trHeight w:val="20"/>
        </w:trPr>
        <w:tc>
          <w:tcPr>
            <w:tcW w:w="1825" w:type="dxa"/>
            <w:shd w:val="clear" w:color="auto" w:fill="FABE00"/>
            <w:noWrap/>
            <w:vAlign w:val="center"/>
            <w:hideMark/>
          </w:tcPr>
          <w:p w:rsidR="003F2B0C" w:rsidRPr="007F3F59" w:rsidRDefault="003F2B0C" w:rsidP="0084338D">
            <w:pPr>
              <w:spacing w:after="0" w:line="240" w:lineRule="auto"/>
              <w:jc w:val="center"/>
              <w:rPr>
                <w:rFonts w:eastAsia="Times New Roman" w:cs="Times New Roman"/>
                <w:kern w:val="0"/>
                <w:sz w:val="20"/>
                <w:szCs w:val="20"/>
                <w:lang w:eastAsia="pl-PL"/>
              </w:rPr>
            </w:pPr>
          </w:p>
        </w:tc>
        <w:tc>
          <w:tcPr>
            <w:tcW w:w="7196" w:type="dxa"/>
            <w:gridSpan w:val="6"/>
            <w:shd w:val="clear" w:color="auto" w:fill="FABE00"/>
            <w:vAlign w:val="center"/>
            <w:hideMark/>
          </w:tcPr>
          <w:p w:rsidR="003F2B0C" w:rsidRPr="007F3F59" w:rsidRDefault="003F2B0C" w:rsidP="0084338D">
            <w:pPr>
              <w:spacing w:after="0" w:line="240" w:lineRule="auto"/>
              <w:jc w:val="center"/>
              <w:rPr>
                <w:rFonts w:eastAsia="Times New Roman" w:cs="Calibri"/>
                <w:color w:val="000000"/>
                <w:kern w:val="0"/>
                <w:sz w:val="20"/>
                <w:szCs w:val="20"/>
                <w:lang w:eastAsia="pl-PL"/>
              </w:rPr>
            </w:pPr>
            <w:r w:rsidRPr="007F3F59">
              <w:rPr>
                <w:rFonts w:eastAsia="Times New Roman" w:cs="Calibri"/>
                <w:color w:val="000000"/>
                <w:kern w:val="0"/>
                <w:sz w:val="20"/>
                <w:szCs w:val="20"/>
                <w:lang w:eastAsia="pl-PL"/>
              </w:rPr>
              <w:t>przystanki autobusowe (z trolejbusowymi) i tramwajowe</w:t>
            </w:r>
          </w:p>
        </w:tc>
      </w:tr>
      <w:tr w:rsidR="003F2B0C" w:rsidRPr="007F3F59" w:rsidTr="0084338D">
        <w:trPr>
          <w:trHeight w:val="20"/>
        </w:trPr>
        <w:tc>
          <w:tcPr>
            <w:tcW w:w="1825" w:type="dxa"/>
            <w:shd w:val="clear" w:color="auto" w:fill="FABE00"/>
            <w:noWrap/>
            <w:vAlign w:val="center"/>
            <w:hideMark/>
          </w:tcPr>
          <w:p w:rsidR="003F2B0C" w:rsidRPr="007F3F59" w:rsidRDefault="003F2B0C" w:rsidP="0084338D">
            <w:pPr>
              <w:spacing w:after="0" w:line="240" w:lineRule="auto"/>
              <w:jc w:val="center"/>
              <w:rPr>
                <w:rFonts w:eastAsia="Times New Roman" w:cs="Calibri"/>
                <w:color w:val="000000"/>
                <w:kern w:val="0"/>
                <w:sz w:val="20"/>
                <w:szCs w:val="20"/>
                <w:lang w:eastAsia="pl-PL"/>
              </w:rPr>
            </w:pPr>
          </w:p>
        </w:tc>
        <w:tc>
          <w:tcPr>
            <w:tcW w:w="1199" w:type="dxa"/>
            <w:shd w:val="clear" w:color="auto" w:fill="FABE00"/>
            <w:vAlign w:val="center"/>
            <w:hideMark/>
          </w:tcPr>
          <w:p w:rsidR="003F2B0C" w:rsidRPr="007F3F59" w:rsidRDefault="003F2B0C" w:rsidP="0084338D">
            <w:pPr>
              <w:spacing w:after="0" w:line="240" w:lineRule="auto"/>
              <w:jc w:val="center"/>
              <w:rPr>
                <w:rFonts w:eastAsia="Times New Roman" w:cs="Calibri"/>
                <w:color w:val="000000"/>
                <w:kern w:val="0"/>
                <w:sz w:val="20"/>
                <w:szCs w:val="20"/>
                <w:lang w:eastAsia="pl-PL"/>
              </w:rPr>
            </w:pPr>
            <w:r w:rsidRPr="007F3F59">
              <w:rPr>
                <w:rFonts w:eastAsia="Times New Roman" w:cs="Calibri"/>
                <w:color w:val="000000"/>
                <w:kern w:val="0"/>
                <w:sz w:val="20"/>
                <w:szCs w:val="20"/>
                <w:lang w:eastAsia="pl-PL"/>
              </w:rPr>
              <w:t>2018</w:t>
            </w:r>
          </w:p>
        </w:tc>
        <w:tc>
          <w:tcPr>
            <w:tcW w:w="1199" w:type="dxa"/>
            <w:shd w:val="clear" w:color="auto" w:fill="FABE00"/>
            <w:vAlign w:val="center"/>
            <w:hideMark/>
          </w:tcPr>
          <w:p w:rsidR="003F2B0C" w:rsidRPr="007F3F59" w:rsidRDefault="003F2B0C" w:rsidP="0084338D">
            <w:pPr>
              <w:spacing w:after="0" w:line="240" w:lineRule="auto"/>
              <w:jc w:val="center"/>
              <w:rPr>
                <w:rFonts w:eastAsia="Times New Roman" w:cs="Calibri"/>
                <w:color w:val="000000"/>
                <w:kern w:val="0"/>
                <w:sz w:val="20"/>
                <w:szCs w:val="20"/>
                <w:lang w:eastAsia="pl-PL"/>
              </w:rPr>
            </w:pPr>
            <w:r w:rsidRPr="007F3F59">
              <w:rPr>
                <w:rFonts w:eastAsia="Times New Roman" w:cs="Calibri"/>
                <w:color w:val="000000"/>
                <w:kern w:val="0"/>
                <w:sz w:val="20"/>
                <w:szCs w:val="20"/>
                <w:lang w:eastAsia="pl-PL"/>
              </w:rPr>
              <w:t>2019</w:t>
            </w:r>
          </w:p>
        </w:tc>
        <w:tc>
          <w:tcPr>
            <w:tcW w:w="1199" w:type="dxa"/>
            <w:shd w:val="clear" w:color="auto" w:fill="FABE00"/>
            <w:vAlign w:val="center"/>
            <w:hideMark/>
          </w:tcPr>
          <w:p w:rsidR="003F2B0C" w:rsidRPr="007F3F59" w:rsidRDefault="003F2B0C" w:rsidP="0084338D">
            <w:pPr>
              <w:spacing w:after="0" w:line="240" w:lineRule="auto"/>
              <w:jc w:val="center"/>
              <w:rPr>
                <w:rFonts w:eastAsia="Times New Roman" w:cs="Calibri"/>
                <w:color w:val="000000"/>
                <w:kern w:val="0"/>
                <w:sz w:val="20"/>
                <w:szCs w:val="20"/>
                <w:lang w:eastAsia="pl-PL"/>
              </w:rPr>
            </w:pPr>
            <w:r w:rsidRPr="007F3F59">
              <w:rPr>
                <w:rFonts w:eastAsia="Times New Roman" w:cs="Calibri"/>
                <w:color w:val="000000"/>
                <w:kern w:val="0"/>
                <w:sz w:val="20"/>
                <w:szCs w:val="20"/>
                <w:lang w:eastAsia="pl-PL"/>
              </w:rPr>
              <w:t>2020</w:t>
            </w:r>
          </w:p>
        </w:tc>
        <w:tc>
          <w:tcPr>
            <w:tcW w:w="1199" w:type="dxa"/>
            <w:shd w:val="clear" w:color="auto" w:fill="FABE00"/>
            <w:vAlign w:val="center"/>
            <w:hideMark/>
          </w:tcPr>
          <w:p w:rsidR="003F2B0C" w:rsidRPr="007F3F59" w:rsidRDefault="003F2B0C" w:rsidP="0084338D">
            <w:pPr>
              <w:spacing w:after="0" w:line="240" w:lineRule="auto"/>
              <w:jc w:val="center"/>
              <w:rPr>
                <w:rFonts w:eastAsia="Times New Roman" w:cs="Calibri"/>
                <w:color w:val="000000"/>
                <w:kern w:val="0"/>
                <w:sz w:val="20"/>
                <w:szCs w:val="20"/>
                <w:lang w:eastAsia="pl-PL"/>
              </w:rPr>
            </w:pPr>
            <w:r w:rsidRPr="007F3F59">
              <w:rPr>
                <w:rFonts w:eastAsia="Times New Roman" w:cs="Calibri"/>
                <w:color w:val="000000"/>
                <w:kern w:val="0"/>
                <w:sz w:val="20"/>
                <w:szCs w:val="20"/>
                <w:lang w:eastAsia="pl-PL"/>
              </w:rPr>
              <w:t>2021</w:t>
            </w:r>
          </w:p>
        </w:tc>
        <w:tc>
          <w:tcPr>
            <w:tcW w:w="1199" w:type="dxa"/>
            <w:shd w:val="clear" w:color="auto" w:fill="FABE00"/>
            <w:vAlign w:val="center"/>
            <w:hideMark/>
          </w:tcPr>
          <w:p w:rsidR="003F2B0C" w:rsidRPr="007F3F59" w:rsidRDefault="003F2B0C" w:rsidP="0084338D">
            <w:pPr>
              <w:spacing w:after="0" w:line="240" w:lineRule="auto"/>
              <w:jc w:val="center"/>
              <w:rPr>
                <w:rFonts w:eastAsia="Times New Roman" w:cs="Calibri"/>
                <w:color w:val="000000"/>
                <w:kern w:val="0"/>
                <w:sz w:val="20"/>
                <w:szCs w:val="20"/>
                <w:lang w:eastAsia="pl-PL"/>
              </w:rPr>
            </w:pPr>
            <w:r w:rsidRPr="007F3F59">
              <w:rPr>
                <w:rFonts w:eastAsia="Times New Roman" w:cs="Calibri"/>
                <w:color w:val="000000"/>
                <w:kern w:val="0"/>
                <w:sz w:val="20"/>
                <w:szCs w:val="20"/>
                <w:lang w:eastAsia="pl-PL"/>
              </w:rPr>
              <w:t>2022</w:t>
            </w:r>
          </w:p>
        </w:tc>
        <w:tc>
          <w:tcPr>
            <w:tcW w:w="1201" w:type="dxa"/>
            <w:shd w:val="clear" w:color="auto" w:fill="FABE00"/>
            <w:vAlign w:val="center"/>
            <w:hideMark/>
          </w:tcPr>
          <w:p w:rsidR="003F2B0C" w:rsidRPr="007F3F59" w:rsidRDefault="003F2B0C" w:rsidP="0084338D">
            <w:pPr>
              <w:spacing w:after="0" w:line="240" w:lineRule="auto"/>
              <w:jc w:val="center"/>
              <w:rPr>
                <w:rFonts w:eastAsia="Times New Roman" w:cs="Calibri"/>
                <w:color w:val="000000"/>
                <w:kern w:val="0"/>
                <w:sz w:val="20"/>
                <w:szCs w:val="20"/>
                <w:lang w:eastAsia="pl-PL"/>
              </w:rPr>
            </w:pPr>
            <w:r w:rsidRPr="007F3F59">
              <w:rPr>
                <w:rFonts w:eastAsia="Times New Roman" w:cs="Calibri"/>
                <w:color w:val="000000"/>
                <w:kern w:val="0"/>
                <w:sz w:val="20"/>
                <w:szCs w:val="20"/>
                <w:lang w:eastAsia="pl-PL"/>
              </w:rPr>
              <w:t>2023</w:t>
            </w:r>
          </w:p>
        </w:tc>
      </w:tr>
      <w:tr w:rsidR="003F2B0C" w:rsidRPr="007F3F59" w:rsidTr="0084338D">
        <w:trPr>
          <w:trHeight w:val="20"/>
        </w:trPr>
        <w:tc>
          <w:tcPr>
            <w:tcW w:w="1825" w:type="dxa"/>
            <w:vAlign w:val="center"/>
            <w:hideMark/>
          </w:tcPr>
          <w:p w:rsidR="003F2B0C" w:rsidRPr="007F3F59" w:rsidRDefault="003F2B0C" w:rsidP="0084338D">
            <w:pPr>
              <w:spacing w:after="0" w:line="240" w:lineRule="auto"/>
              <w:jc w:val="left"/>
              <w:rPr>
                <w:rFonts w:eastAsia="Times New Roman" w:cs="Calibri"/>
                <w:kern w:val="0"/>
                <w:sz w:val="20"/>
                <w:szCs w:val="20"/>
                <w:lang w:eastAsia="pl-PL"/>
              </w:rPr>
            </w:pPr>
            <w:r w:rsidRPr="007F3F59">
              <w:rPr>
                <w:rFonts w:eastAsia="Times New Roman" w:cs="Calibri"/>
                <w:kern w:val="0"/>
                <w:sz w:val="20"/>
                <w:szCs w:val="20"/>
                <w:lang w:eastAsia="pl-PL"/>
              </w:rPr>
              <w:lastRenderedPageBreak/>
              <w:t>Wrocławski Obszar Funkcjonalny</w:t>
            </w:r>
          </w:p>
        </w:tc>
        <w:tc>
          <w:tcPr>
            <w:tcW w:w="1199" w:type="dxa"/>
            <w:noWrap/>
            <w:vAlign w:val="center"/>
            <w:hideMark/>
          </w:tcPr>
          <w:p w:rsidR="003F2B0C" w:rsidRPr="007F3F59" w:rsidRDefault="003F2B0C" w:rsidP="0084338D">
            <w:pPr>
              <w:spacing w:after="0" w:line="240" w:lineRule="auto"/>
              <w:jc w:val="center"/>
              <w:rPr>
                <w:rFonts w:eastAsia="Times New Roman" w:cs="Calibri"/>
                <w:kern w:val="0"/>
                <w:sz w:val="20"/>
                <w:szCs w:val="20"/>
                <w:lang w:eastAsia="pl-PL"/>
              </w:rPr>
            </w:pPr>
            <w:r w:rsidRPr="007F3F59">
              <w:rPr>
                <w:rFonts w:eastAsia="Times New Roman" w:cs="Calibri"/>
                <w:kern w:val="0"/>
                <w:sz w:val="20"/>
                <w:szCs w:val="20"/>
                <w:lang w:eastAsia="pl-PL"/>
              </w:rPr>
              <w:t>3287</w:t>
            </w:r>
          </w:p>
        </w:tc>
        <w:tc>
          <w:tcPr>
            <w:tcW w:w="1199" w:type="dxa"/>
            <w:noWrap/>
            <w:vAlign w:val="center"/>
            <w:hideMark/>
          </w:tcPr>
          <w:p w:rsidR="003F2B0C" w:rsidRPr="007F3F59" w:rsidRDefault="003F2B0C" w:rsidP="0084338D">
            <w:pPr>
              <w:spacing w:after="0" w:line="240" w:lineRule="auto"/>
              <w:jc w:val="center"/>
              <w:rPr>
                <w:rFonts w:eastAsia="Times New Roman" w:cs="Calibri"/>
                <w:kern w:val="0"/>
                <w:sz w:val="20"/>
                <w:szCs w:val="20"/>
                <w:lang w:eastAsia="pl-PL"/>
              </w:rPr>
            </w:pPr>
            <w:r w:rsidRPr="007F3F59">
              <w:rPr>
                <w:rFonts w:eastAsia="Times New Roman" w:cs="Calibri"/>
                <w:kern w:val="0"/>
                <w:sz w:val="20"/>
                <w:szCs w:val="20"/>
                <w:lang w:eastAsia="pl-PL"/>
              </w:rPr>
              <w:t>3340</w:t>
            </w:r>
          </w:p>
        </w:tc>
        <w:tc>
          <w:tcPr>
            <w:tcW w:w="1199" w:type="dxa"/>
            <w:noWrap/>
            <w:vAlign w:val="center"/>
            <w:hideMark/>
          </w:tcPr>
          <w:p w:rsidR="003F2B0C" w:rsidRPr="007F3F59" w:rsidRDefault="003F2B0C" w:rsidP="0084338D">
            <w:pPr>
              <w:spacing w:after="0" w:line="240" w:lineRule="auto"/>
              <w:jc w:val="center"/>
              <w:rPr>
                <w:rFonts w:eastAsia="Times New Roman" w:cs="Calibri"/>
                <w:kern w:val="0"/>
                <w:sz w:val="20"/>
                <w:szCs w:val="20"/>
                <w:lang w:eastAsia="pl-PL"/>
              </w:rPr>
            </w:pPr>
            <w:r w:rsidRPr="007F3F59">
              <w:rPr>
                <w:rFonts w:eastAsia="Times New Roman" w:cs="Calibri"/>
                <w:kern w:val="0"/>
                <w:sz w:val="20"/>
                <w:szCs w:val="20"/>
                <w:lang w:eastAsia="pl-PL"/>
              </w:rPr>
              <w:t>3512</w:t>
            </w:r>
          </w:p>
        </w:tc>
        <w:tc>
          <w:tcPr>
            <w:tcW w:w="1199" w:type="dxa"/>
            <w:noWrap/>
            <w:vAlign w:val="center"/>
            <w:hideMark/>
          </w:tcPr>
          <w:p w:rsidR="003F2B0C" w:rsidRPr="007F3F59" w:rsidRDefault="003F2B0C" w:rsidP="0084338D">
            <w:pPr>
              <w:spacing w:after="0" w:line="240" w:lineRule="auto"/>
              <w:jc w:val="center"/>
              <w:rPr>
                <w:rFonts w:eastAsia="Times New Roman" w:cs="Calibri"/>
                <w:kern w:val="0"/>
                <w:sz w:val="20"/>
                <w:szCs w:val="20"/>
                <w:lang w:eastAsia="pl-PL"/>
              </w:rPr>
            </w:pPr>
            <w:r w:rsidRPr="007F3F59">
              <w:rPr>
                <w:rFonts w:eastAsia="Times New Roman" w:cs="Calibri"/>
                <w:kern w:val="0"/>
                <w:sz w:val="20"/>
                <w:szCs w:val="20"/>
                <w:lang w:eastAsia="pl-PL"/>
              </w:rPr>
              <w:t>3684</w:t>
            </w:r>
          </w:p>
        </w:tc>
        <w:tc>
          <w:tcPr>
            <w:tcW w:w="1199" w:type="dxa"/>
            <w:noWrap/>
            <w:vAlign w:val="center"/>
            <w:hideMark/>
          </w:tcPr>
          <w:p w:rsidR="003F2B0C" w:rsidRPr="007F3F59" w:rsidRDefault="003F2B0C" w:rsidP="0084338D">
            <w:pPr>
              <w:spacing w:after="0" w:line="240" w:lineRule="auto"/>
              <w:jc w:val="center"/>
              <w:rPr>
                <w:rFonts w:eastAsia="Times New Roman" w:cs="Calibri"/>
                <w:kern w:val="0"/>
                <w:sz w:val="20"/>
                <w:szCs w:val="20"/>
                <w:lang w:eastAsia="pl-PL"/>
              </w:rPr>
            </w:pPr>
            <w:r w:rsidRPr="007F3F59">
              <w:rPr>
                <w:rFonts w:eastAsia="Times New Roman" w:cs="Calibri"/>
                <w:kern w:val="0"/>
                <w:sz w:val="20"/>
                <w:szCs w:val="20"/>
                <w:lang w:eastAsia="pl-PL"/>
              </w:rPr>
              <w:t>3656</w:t>
            </w:r>
          </w:p>
        </w:tc>
        <w:tc>
          <w:tcPr>
            <w:tcW w:w="1201" w:type="dxa"/>
            <w:noWrap/>
            <w:vAlign w:val="center"/>
            <w:hideMark/>
          </w:tcPr>
          <w:p w:rsidR="003F2B0C" w:rsidRPr="007F3F59" w:rsidRDefault="003F2B0C" w:rsidP="0084338D">
            <w:pPr>
              <w:spacing w:after="0" w:line="240" w:lineRule="auto"/>
              <w:jc w:val="center"/>
              <w:rPr>
                <w:rFonts w:eastAsia="Times New Roman" w:cs="Calibri"/>
                <w:kern w:val="0"/>
                <w:sz w:val="20"/>
                <w:szCs w:val="20"/>
                <w:lang w:eastAsia="pl-PL"/>
              </w:rPr>
            </w:pPr>
            <w:r w:rsidRPr="007F3F59">
              <w:rPr>
                <w:rFonts w:eastAsia="Times New Roman" w:cs="Calibri"/>
                <w:kern w:val="0"/>
                <w:sz w:val="20"/>
                <w:szCs w:val="20"/>
                <w:lang w:eastAsia="pl-PL"/>
              </w:rPr>
              <w:t>3612</w:t>
            </w:r>
          </w:p>
        </w:tc>
      </w:tr>
      <w:tr w:rsidR="003F2B0C" w:rsidRPr="007F3F59" w:rsidTr="0084338D">
        <w:trPr>
          <w:trHeight w:val="20"/>
        </w:trPr>
        <w:tc>
          <w:tcPr>
            <w:tcW w:w="1825" w:type="dxa"/>
            <w:vAlign w:val="center"/>
            <w:hideMark/>
          </w:tcPr>
          <w:p w:rsidR="003F2B0C" w:rsidRPr="007F3F59" w:rsidRDefault="003F2B0C" w:rsidP="0084338D">
            <w:pPr>
              <w:spacing w:after="0" w:line="240" w:lineRule="auto"/>
              <w:jc w:val="left"/>
              <w:rPr>
                <w:rFonts w:eastAsia="Times New Roman" w:cs="Calibri"/>
                <w:kern w:val="0"/>
                <w:sz w:val="20"/>
                <w:szCs w:val="20"/>
                <w:lang w:eastAsia="pl-PL"/>
              </w:rPr>
            </w:pPr>
            <w:r w:rsidRPr="007F3F59">
              <w:rPr>
                <w:rFonts w:eastAsia="Times New Roman" w:cs="Calibri"/>
                <w:kern w:val="0"/>
                <w:sz w:val="20"/>
                <w:szCs w:val="20"/>
                <w:lang w:eastAsia="pl-PL"/>
              </w:rPr>
              <w:t>Metropolia Krakowska</w:t>
            </w:r>
          </w:p>
        </w:tc>
        <w:tc>
          <w:tcPr>
            <w:tcW w:w="1199" w:type="dxa"/>
            <w:noWrap/>
            <w:vAlign w:val="center"/>
            <w:hideMark/>
          </w:tcPr>
          <w:p w:rsidR="003F2B0C" w:rsidRPr="007F3F59" w:rsidRDefault="003F2B0C" w:rsidP="0084338D">
            <w:pPr>
              <w:spacing w:after="0" w:line="240" w:lineRule="auto"/>
              <w:jc w:val="center"/>
              <w:rPr>
                <w:rFonts w:eastAsia="Times New Roman" w:cs="Calibri"/>
                <w:kern w:val="0"/>
                <w:sz w:val="20"/>
                <w:szCs w:val="20"/>
                <w:lang w:eastAsia="pl-PL"/>
              </w:rPr>
            </w:pPr>
            <w:r w:rsidRPr="007F3F59">
              <w:rPr>
                <w:rFonts w:eastAsia="Times New Roman" w:cs="Calibri"/>
                <w:kern w:val="0"/>
                <w:sz w:val="20"/>
                <w:szCs w:val="20"/>
                <w:lang w:eastAsia="pl-PL"/>
              </w:rPr>
              <w:t>2900</w:t>
            </w:r>
          </w:p>
        </w:tc>
        <w:tc>
          <w:tcPr>
            <w:tcW w:w="1199" w:type="dxa"/>
            <w:noWrap/>
            <w:vAlign w:val="center"/>
            <w:hideMark/>
          </w:tcPr>
          <w:p w:rsidR="003F2B0C" w:rsidRPr="007F3F59" w:rsidRDefault="003F2B0C" w:rsidP="0084338D">
            <w:pPr>
              <w:spacing w:after="0" w:line="240" w:lineRule="auto"/>
              <w:jc w:val="center"/>
              <w:rPr>
                <w:rFonts w:eastAsia="Times New Roman" w:cs="Calibri"/>
                <w:kern w:val="0"/>
                <w:sz w:val="20"/>
                <w:szCs w:val="20"/>
                <w:lang w:eastAsia="pl-PL"/>
              </w:rPr>
            </w:pPr>
            <w:r w:rsidRPr="007F3F59">
              <w:rPr>
                <w:rFonts w:eastAsia="Times New Roman" w:cs="Calibri"/>
                <w:kern w:val="0"/>
                <w:sz w:val="20"/>
                <w:szCs w:val="20"/>
                <w:lang w:eastAsia="pl-PL"/>
              </w:rPr>
              <w:t>2909</w:t>
            </w:r>
          </w:p>
        </w:tc>
        <w:tc>
          <w:tcPr>
            <w:tcW w:w="1199" w:type="dxa"/>
            <w:noWrap/>
            <w:vAlign w:val="center"/>
            <w:hideMark/>
          </w:tcPr>
          <w:p w:rsidR="003F2B0C" w:rsidRPr="007F3F59" w:rsidRDefault="003F2B0C" w:rsidP="0084338D">
            <w:pPr>
              <w:spacing w:after="0" w:line="240" w:lineRule="auto"/>
              <w:jc w:val="center"/>
              <w:rPr>
                <w:rFonts w:eastAsia="Times New Roman" w:cs="Calibri"/>
                <w:kern w:val="0"/>
                <w:sz w:val="20"/>
                <w:szCs w:val="20"/>
                <w:lang w:eastAsia="pl-PL"/>
              </w:rPr>
            </w:pPr>
            <w:r w:rsidRPr="007F3F59">
              <w:rPr>
                <w:rFonts w:eastAsia="Times New Roman" w:cs="Calibri"/>
                <w:kern w:val="0"/>
                <w:sz w:val="20"/>
                <w:szCs w:val="20"/>
                <w:lang w:eastAsia="pl-PL"/>
              </w:rPr>
              <w:t>3258</w:t>
            </w:r>
          </w:p>
        </w:tc>
        <w:tc>
          <w:tcPr>
            <w:tcW w:w="1199" w:type="dxa"/>
            <w:noWrap/>
            <w:vAlign w:val="center"/>
            <w:hideMark/>
          </w:tcPr>
          <w:p w:rsidR="003F2B0C" w:rsidRPr="007F3F59" w:rsidRDefault="003F2B0C" w:rsidP="0084338D">
            <w:pPr>
              <w:spacing w:after="0" w:line="240" w:lineRule="auto"/>
              <w:jc w:val="center"/>
              <w:rPr>
                <w:rFonts w:eastAsia="Times New Roman" w:cs="Calibri"/>
                <w:kern w:val="0"/>
                <w:sz w:val="20"/>
                <w:szCs w:val="20"/>
                <w:lang w:eastAsia="pl-PL"/>
              </w:rPr>
            </w:pPr>
            <w:r w:rsidRPr="007F3F59">
              <w:rPr>
                <w:rFonts w:eastAsia="Times New Roman" w:cs="Calibri"/>
                <w:kern w:val="0"/>
                <w:sz w:val="20"/>
                <w:szCs w:val="20"/>
                <w:lang w:eastAsia="pl-PL"/>
              </w:rPr>
              <w:t>3338</w:t>
            </w:r>
          </w:p>
        </w:tc>
        <w:tc>
          <w:tcPr>
            <w:tcW w:w="1199" w:type="dxa"/>
            <w:noWrap/>
            <w:vAlign w:val="center"/>
            <w:hideMark/>
          </w:tcPr>
          <w:p w:rsidR="003F2B0C" w:rsidRPr="007F3F59" w:rsidRDefault="003F2B0C" w:rsidP="0084338D">
            <w:pPr>
              <w:spacing w:after="0" w:line="240" w:lineRule="auto"/>
              <w:jc w:val="center"/>
              <w:rPr>
                <w:rFonts w:eastAsia="Times New Roman" w:cs="Calibri"/>
                <w:kern w:val="0"/>
                <w:sz w:val="20"/>
                <w:szCs w:val="20"/>
                <w:lang w:eastAsia="pl-PL"/>
              </w:rPr>
            </w:pPr>
            <w:r w:rsidRPr="007F3F59">
              <w:rPr>
                <w:rFonts w:eastAsia="Times New Roman" w:cs="Calibri"/>
                <w:kern w:val="0"/>
                <w:sz w:val="20"/>
                <w:szCs w:val="20"/>
                <w:lang w:eastAsia="pl-PL"/>
              </w:rPr>
              <w:t>3417</w:t>
            </w:r>
          </w:p>
        </w:tc>
        <w:tc>
          <w:tcPr>
            <w:tcW w:w="1201" w:type="dxa"/>
            <w:noWrap/>
            <w:vAlign w:val="center"/>
            <w:hideMark/>
          </w:tcPr>
          <w:p w:rsidR="003F2B0C" w:rsidRPr="007F3F59" w:rsidRDefault="003F2B0C" w:rsidP="0084338D">
            <w:pPr>
              <w:spacing w:after="0" w:line="240" w:lineRule="auto"/>
              <w:jc w:val="center"/>
              <w:rPr>
                <w:rFonts w:eastAsia="Times New Roman" w:cs="Calibri"/>
                <w:kern w:val="0"/>
                <w:sz w:val="20"/>
                <w:szCs w:val="20"/>
                <w:lang w:eastAsia="pl-PL"/>
              </w:rPr>
            </w:pPr>
            <w:r w:rsidRPr="007F3F59">
              <w:rPr>
                <w:rFonts w:eastAsia="Times New Roman" w:cs="Calibri"/>
                <w:kern w:val="0"/>
                <w:sz w:val="20"/>
                <w:szCs w:val="20"/>
                <w:lang w:eastAsia="pl-PL"/>
              </w:rPr>
              <w:t>3932</w:t>
            </w:r>
          </w:p>
        </w:tc>
      </w:tr>
      <w:tr w:rsidR="003F2B0C" w:rsidRPr="007F3F59" w:rsidTr="0084338D">
        <w:trPr>
          <w:trHeight w:val="20"/>
        </w:trPr>
        <w:tc>
          <w:tcPr>
            <w:tcW w:w="1825" w:type="dxa"/>
            <w:vAlign w:val="center"/>
            <w:hideMark/>
          </w:tcPr>
          <w:p w:rsidR="003F2B0C" w:rsidRPr="007F3F59" w:rsidRDefault="003F2B0C" w:rsidP="0084338D">
            <w:pPr>
              <w:spacing w:after="0" w:line="240" w:lineRule="auto"/>
              <w:jc w:val="left"/>
              <w:rPr>
                <w:rFonts w:eastAsia="Times New Roman" w:cs="Calibri"/>
                <w:kern w:val="0"/>
                <w:sz w:val="20"/>
                <w:szCs w:val="20"/>
                <w:lang w:eastAsia="pl-PL"/>
              </w:rPr>
            </w:pPr>
            <w:r w:rsidRPr="007F3F59">
              <w:rPr>
                <w:rFonts w:eastAsia="Times New Roman" w:cs="Calibri"/>
                <w:kern w:val="0"/>
                <w:sz w:val="20"/>
                <w:szCs w:val="20"/>
                <w:lang w:eastAsia="pl-PL"/>
              </w:rPr>
              <w:t>Metropolia Poznań</w:t>
            </w:r>
          </w:p>
        </w:tc>
        <w:tc>
          <w:tcPr>
            <w:tcW w:w="1199" w:type="dxa"/>
            <w:noWrap/>
            <w:vAlign w:val="center"/>
            <w:hideMark/>
          </w:tcPr>
          <w:p w:rsidR="003F2B0C" w:rsidRPr="007F3F59" w:rsidRDefault="003F2B0C" w:rsidP="0084338D">
            <w:pPr>
              <w:spacing w:after="0" w:line="240" w:lineRule="auto"/>
              <w:jc w:val="center"/>
              <w:rPr>
                <w:rFonts w:eastAsia="Times New Roman" w:cs="Calibri"/>
                <w:kern w:val="0"/>
                <w:sz w:val="20"/>
                <w:szCs w:val="20"/>
                <w:lang w:eastAsia="pl-PL"/>
              </w:rPr>
            </w:pPr>
            <w:r w:rsidRPr="007F3F59">
              <w:rPr>
                <w:rFonts w:eastAsia="Times New Roman" w:cs="Calibri"/>
                <w:kern w:val="0"/>
                <w:sz w:val="20"/>
                <w:szCs w:val="20"/>
                <w:lang w:eastAsia="pl-PL"/>
              </w:rPr>
              <w:t>3508</w:t>
            </w:r>
          </w:p>
        </w:tc>
        <w:tc>
          <w:tcPr>
            <w:tcW w:w="1199" w:type="dxa"/>
            <w:noWrap/>
            <w:vAlign w:val="center"/>
            <w:hideMark/>
          </w:tcPr>
          <w:p w:rsidR="003F2B0C" w:rsidRPr="007F3F59" w:rsidRDefault="003F2B0C" w:rsidP="0084338D">
            <w:pPr>
              <w:spacing w:after="0" w:line="240" w:lineRule="auto"/>
              <w:jc w:val="center"/>
              <w:rPr>
                <w:rFonts w:eastAsia="Times New Roman" w:cs="Calibri"/>
                <w:kern w:val="0"/>
                <w:sz w:val="20"/>
                <w:szCs w:val="20"/>
                <w:lang w:eastAsia="pl-PL"/>
              </w:rPr>
            </w:pPr>
            <w:r w:rsidRPr="007F3F59">
              <w:rPr>
                <w:rFonts w:eastAsia="Times New Roman" w:cs="Calibri"/>
                <w:kern w:val="0"/>
                <w:sz w:val="20"/>
                <w:szCs w:val="20"/>
                <w:lang w:eastAsia="pl-PL"/>
              </w:rPr>
              <w:t>3682</w:t>
            </w:r>
          </w:p>
        </w:tc>
        <w:tc>
          <w:tcPr>
            <w:tcW w:w="1199" w:type="dxa"/>
            <w:noWrap/>
            <w:vAlign w:val="center"/>
            <w:hideMark/>
          </w:tcPr>
          <w:p w:rsidR="003F2B0C" w:rsidRPr="007F3F59" w:rsidRDefault="003F2B0C" w:rsidP="0084338D">
            <w:pPr>
              <w:spacing w:after="0" w:line="240" w:lineRule="auto"/>
              <w:jc w:val="center"/>
              <w:rPr>
                <w:rFonts w:eastAsia="Times New Roman" w:cs="Calibri"/>
                <w:kern w:val="0"/>
                <w:sz w:val="20"/>
                <w:szCs w:val="20"/>
                <w:lang w:eastAsia="pl-PL"/>
              </w:rPr>
            </w:pPr>
            <w:r w:rsidRPr="007F3F59">
              <w:rPr>
                <w:rFonts w:eastAsia="Times New Roman" w:cs="Calibri"/>
                <w:kern w:val="0"/>
                <w:sz w:val="20"/>
                <w:szCs w:val="20"/>
                <w:lang w:eastAsia="pl-PL"/>
              </w:rPr>
              <w:t>3754</w:t>
            </w:r>
          </w:p>
        </w:tc>
        <w:tc>
          <w:tcPr>
            <w:tcW w:w="1199" w:type="dxa"/>
            <w:noWrap/>
            <w:vAlign w:val="center"/>
            <w:hideMark/>
          </w:tcPr>
          <w:p w:rsidR="003F2B0C" w:rsidRPr="007F3F59" w:rsidRDefault="003F2B0C" w:rsidP="0084338D">
            <w:pPr>
              <w:spacing w:after="0" w:line="240" w:lineRule="auto"/>
              <w:jc w:val="center"/>
              <w:rPr>
                <w:rFonts w:eastAsia="Times New Roman" w:cs="Calibri"/>
                <w:kern w:val="0"/>
                <w:sz w:val="20"/>
                <w:szCs w:val="20"/>
                <w:lang w:eastAsia="pl-PL"/>
              </w:rPr>
            </w:pPr>
            <w:r w:rsidRPr="007F3F59">
              <w:rPr>
                <w:rFonts w:eastAsia="Times New Roman" w:cs="Calibri"/>
                <w:kern w:val="0"/>
                <w:sz w:val="20"/>
                <w:szCs w:val="20"/>
                <w:lang w:eastAsia="pl-PL"/>
              </w:rPr>
              <w:t>3800</w:t>
            </w:r>
          </w:p>
        </w:tc>
        <w:tc>
          <w:tcPr>
            <w:tcW w:w="1199" w:type="dxa"/>
            <w:noWrap/>
            <w:vAlign w:val="center"/>
            <w:hideMark/>
          </w:tcPr>
          <w:p w:rsidR="003F2B0C" w:rsidRPr="007F3F59" w:rsidRDefault="003F2B0C" w:rsidP="0084338D">
            <w:pPr>
              <w:spacing w:after="0" w:line="240" w:lineRule="auto"/>
              <w:jc w:val="center"/>
              <w:rPr>
                <w:rFonts w:eastAsia="Times New Roman" w:cs="Calibri"/>
                <w:kern w:val="0"/>
                <w:sz w:val="20"/>
                <w:szCs w:val="20"/>
                <w:lang w:eastAsia="pl-PL"/>
              </w:rPr>
            </w:pPr>
            <w:r w:rsidRPr="007F3F59">
              <w:rPr>
                <w:rFonts w:eastAsia="Times New Roman" w:cs="Calibri"/>
                <w:kern w:val="0"/>
                <w:sz w:val="20"/>
                <w:szCs w:val="20"/>
                <w:lang w:eastAsia="pl-PL"/>
              </w:rPr>
              <w:t>3839</w:t>
            </w:r>
          </w:p>
        </w:tc>
        <w:tc>
          <w:tcPr>
            <w:tcW w:w="1201" w:type="dxa"/>
            <w:noWrap/>
            <w:vAlign w:val="center"/>
            <w:hideMark/>
          </w:tcPr>
          <w:p w:rsidR="003F2B0C" w:rsidRPr="007F3F59" w:rsidRDefault="003F2B0C" w:rsidP="0084338D">
            <w:pPr>
              <w:spacing w:after="0" w:line="240" w:lineRule="auto"/>
              <w:jc w:val="center"/>
              <w:rPr>
                <w:rFonts w:eastAsia="Times New Roman" w:cs="Calibri"/>
                <w:kern w:val="0"/>
                <w:sz w:val="20"/>
                <w:szCs w:val="20"/>
                <w:lang w:eastAsia="pl-PL"/>
              </w:rPr>
            </w:pPr>
            <w:r w:rsidRPr="007F3F59">
              <w:rPr>
                <w:rFonts w:eastAsia="Times New Roman" w:cs="Calibri"/>
                <w:kern w:val="0"/>
                <w:sz w:val="20"/>
                <w:szCs w:val="20"/>
                <w:lang w:eastAsia="pl-PL"/>
              </w:rPr>
              <w:t>3880</w:t>
            </w:r>
          </w:p>
        </w:tc>
      </w:tr>
    </w:tbl>
    <w:p w:rsidR="003F2B0C" w:rsidRPr="002737CB" w:rsidRDefault="003F2B0C" w:rsidP="003F2B0C">
      <w:pPr>
        <w:spacing w:line="276" w:lineRule="auto"/>
        <w:rPr>
          <w:iCs/>
          <w:color w:val="363735" w:themeColor="accent3"/>
          <w:sz w:val="20"/>
          <w:szCs w:val="18"/>
        </w:rPr>
      </w:pPr>
      <w:r w:rsidRPr="002737CB">
        <w:rPr>
          <w:iCs/>
          <w:color w:val="363735" w:themeColor="accent3"/>
          <w:sz w:val="20"/>
          <w:szCs w:val="18"/>
        </w:rPr>
        <w:t xml:space="preserve">Źródło: opracowanie własne na podstawie GUS BDL, </w:t>
      </w:r>
      <w:r>
        <w:rPr>
          <w:iCs/>
          <w:color w:val="363735" w:themeColor="accent3"/>
          <w:sz w:val="20"/>
          <w:szCs w:val="18"/>
        </w:rPr>
        <w:t>dostęp</w:t>
      </w:r>
      <w:r w:rsidRPr="002737CB">
        <w:rPr>
          <w:iCs/>
          <w:color w:val="363735" w:themeColor="accent3"/>
          <w:sz w:val="20"/>
          <w:szCs w:val="18"/>
        </w:rPr>
        <w:t xml:space="preserve"> 30.01.2025</w:t>
      </w:r>
    </w:p>
    <w:p w:rsidR="003F2B0C" w:rsidRDefault="003F2B0C" w:rsidP="003F2B0C">
      <w:r>
        <w:t xml:space="preserve">Pod względem długości dróg dla rowerów najlepiej wypada Metropolia Poznań, która posiada 733,6 km dróg, a na 10 tyś. mieszkańców przypada 160,48 km dróg. Wrocławski Obszar Funkcjonalny posiada 560,4 km dróg , a na 10 tys. mieszkańców przypada 78,37 </w:t>
      </w:r>
      <w:proofErr w:type="spellStart"/>
      <w:r>
        <w:t>km</w:t>
      </w:r>
      <w:proofErr w:type="spellEnd"/>
      <w:r>
        <w:t>. Najsłabiej w tym wskaźniku wypada Metropolia Krakowska, która posiada 257,5 km dróg rowerowych, a na 10 tyś. mieszkańców przypada 35,27 km dróg.</w:t>
      </w:r>
    </w:p>
    <w:p w:rsidR="003F2B0C" w:rsidRDefault="003F2B0C" w:rsidP="003F2B0C">
      <w:pPr>
        <w:pStyle w:val="Legenda"/>
      </w:pPr>
      <w:bookmarkStart w:id="89" w:name="_Toc196867068"/>
      <w:bookmarkStart w:id="90" w:name="_Toc196905080"/>
      <w:r>
        <w:t xml:space="preserve">Tabela </w:t>
      </w:r>
      <w:fldSimple w:instr=" SEQ Tabela \* ARABIC ">
        <w:r w:rsidR="0084338D">
          <w:rPr>
            <w:noProof/>
          </w:rPr>
          <w:t>16</w:t>
        </w:r>
      </w:fldSimple>
      <w:r>
        <w:t>. Charakterystyka dróg dla rowerów.</w:t>
      </w:r>
      <w:bookmarkEnd w:id="89"/>
      <w:bookmarkEnd w:id="90"/>
    </w:p>
    <w:tbl>
      <w:tblPr>
        <w:tblW w:w="8930" w:type="dxa"/>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CellMar>
          <w:left w:w="70" w:type="dxa"/>
          <w:right w:w="70" w:type="dxa"/>
        </w:tblCellMar>
        <w:tblLook w:val="04A0"/>
      </w:tblPr>
      <w:tblGrid>
        <w:gridCol w:w="2580"/>
        <w:gridCol w:w="1058"/>
        <w:gridCol w:w="1058"/>
        <w:gridCol w:w="1058"/>
        <w:gridCol w:w="1058"/>
        <w:gridCol w:w="1058"/>
        <w:gridCol w:w="1060"/>
      </w:tblGrid>
      <w:tr w:rsidR="003F2B0C" w:rsidRPr="00DB6F89" w:rsidTr="0084338D">
        <w:trPr>
          <w:trHeight w:val="20"/>
        </w:trPr>
        <w:tc>
          <w:tcPr>
            <w:tcW w:w="2580" w:type="dxa"/>
            <w:shd w:val="clear" w:color="auto" w:fill="FABE00"/>
            <w:noWrap/>
            <w:vAlign w:val="bottom"/>
            <w:hideMark/>
          </w:tcPr>
          <w:p w:rsidR="003F2B0C" w:rsidRPr="00DB6F89" w:rsidRDefault="003F2B0C" w:rsidP="0084338D">
            <w:pPr>
              <w:spacing w:after="0" w:line="240" w:lineRule="auto"/>
              <w:jc w:val="left"/>
              <w:rPr>
                <w:rFonts w:ascii="Times New Roman" w:eastAsia="Times New Roman" w:hAnsi="Times New Roman" w:cs="Times New Roman"/>
                <w:kern w:val="0"/>
                <w:sz w:val="24"/>
                <w:szCs w:val="24"/>
                <w:lang w:eastAsia="pl-PL"/>
              </w:rPr>
            </w:pPr>
          </w:p>
        </w:tc>
        <w:tc>
          <w:tcPr>
            <w:tcW w:w="1058" w:type="dxa"/>
            <w:shd w:val="clear" w:color="auto" w:fill="FABE00"/>
            <w:vAlign w:val="center"/>
            <w:hideMark/>
          </w:tcPr>
          <w:p w:rsidR="003F2B0C" w:rsidRPr="00DB6F89" w:rsidRDefault="003F2B0C" w:rsidP="0084338D">
            <w:pPr>
              <w:spacing w:after="0" w:line="240" w:lineRule="auto"/>
              <w:jc w:val="center"/>
              <w:rPr>
                <w:rFonts w:ascii="Calibri" w:eastAsia="Times New Roman" w:hAnsi="Calibri" w:cs="Calibri"/>
                <w:color w:val="000000"/>
                <w:kern w:val="0"/>
                <w:lang w:eastAsia="pl-PL"/>
              </w:rPr>
            </w:pPr>
            <w:r w:rsidRPr="00DB6F89">
              <w:rPr>
                <w:rFonts w:ascii="Calibri" w:eastAsia="Times New Roman" w:hAnsi="Calibri" w:cs="Calibri"/>
                <w:color w:val="000000"/>
                <w:kern w:val="0"/>
                <w:lang w:eastAsia="pl-PL"/>
              </w:rPr>
              <w:t>2018</w:t>
            </w:r>
          </w:p>
        </w:tc>
        <w:tc>
          <w:tcPr>
            <w:tcW w:w="1058" w:type="dxa"/>
            <w:shd w:val="clear" w:color="auto" w:fill="FABE00"/>
            <w:vAlign w:val="center"/>
            <w:hideMark/>
          </w:tcPr>
          <w:p w:rsidR="003F2B0C" w:rsidRPr="00DB6F89" w:rsidRDefault="003F2B0C" w:rsidP="0084338D">
            <w:pPr>
              <w:spacing w:after="0" w:line="240" w:lineRule="auto"/>
              <w:jc w:val="center"/>
              <w:rPr>
                <w:rFonts w:ascii="Calibri" w:eastAsia="Times New Roman" w:hAnsi="Calibri" w:cs="Calibri"/>
                <w:color w:val="000000"/>
                <w:kern w:val="0"/>
                <w:lang w:eastAsia="pl-PL"/>
              </w:rPr>
            </w:pPr>
            <w:r w:rsidRPr="00DB6F89">
              <w:rPr>
                <w:rFonts w:ascii="Calibri" w:eastAsia="Times New Roman" w:hAnsi="Calibri" w:cs="Calibri"/>
                <w:color w:val="000000"/>
                <w:kern w:val="0"/>
                <w:lang w:eastAsia="pl-PL"/>
              </w:rPr>
              <w:t>2019</w:t>
            </w:r>
          </w:p>
        </w:tc>
        <w:tc>
          <w:tcPr>
            <w:tcW w:w="1058" w:type="dxa"/>
            <w:shd w:val="clear" w:color="auto" w:fill="FABE00"/>
            <w:vAlign w:val="center"/>
            <w:hideMark/>
          </w:tcPr>
          <w:p w:rsidR="003F2B0C" w:rsidRPr="00DB6F89" w:rsidRDefault="003F2B0C" w:rsidP="0084338D">
            <w:pPr>
              <w:spacing w:after="0" w:line="240" w:lineRule="auto"/>
              <w:jc w:val="center"/>
              <w:rPr>
                <w:rFonts w:ascii="Calibri" w:eastAsia="Times New Roman" w:hAnsi="Calibri" w:cs="Calibri"/>
                <w:color w:val="000000"/>
                <w:kern w:val="0"/>
                <w:lang w:eastAsia="pl-PL"/>
              </w:rPr>
            </w:pPr>
            <w:r w:rsidRPr="00DB6F89">
              <w:rPr>
                <w:rFonts w:ascii="Calibri" w:eastAsia="Times New Roman" w:hAnsi="Calibri" w:cs="Calibri"/>
                <w:color w:val="000000"/>
                <w:kern w:val="0"/>
                <w:lang w:eastAsia="pl-PL"/>
              </w:rPr>
              <w:t>2020</w:t>
            </w:r>
          </w:p>
        </w:tc>
        <w:tc>
          <w:tcPr>
            <w:tcW w:w="1058" w:type="dxa"/>
            <w:shd w:val="clear" w:color="auto" w:fill="FABE00"/>
            <w:vAlign w:val="center"/>
            <w:hideMark/>
          </w:tcPr>
          <w:p w:rsidR="003F2B0C" w:rsidRPr="00DB6F89" w:rsidRDefault="003F2B0C" w:rsidP="0084338D">
            <w:pPr>
              <w:spacing w:after="0" w:line="240" w:lineRule="auto"/>
              <w:jc w:val="center"/>
              <w:rPr>
                <w:rFonts w:ascii="Calibri" w:eastAsia="Times New Roman" w:hAnsi="Calibri" w:cs="Calibri"/>
                <w:color w:val="000000"/>
                <w:kern w:val="0"/>
                <w:lang w:eastAsia="pl-PL"/>
              </w:rPr>
            </w:pPr>
            <w:r w:rsidRPr="00DB6F89">
              <w:rPr>
                <w:rFonts w:ascii="Calibri" w:eastAsia="Times New Roman" w:hAnsi="Calibri" w:cs="Calibri"/>
                <w:color w:val="000000"/>
                <w:kern w:val="0"/>
                <w:lang w:eastAsia="pl-PL"/>
              </w:rPr>
              <w:t>2021</w:t>
            </w:r>
          </w:p>
        </w:tc>
        <w:tc>
          <w:tcPr>
            <w:tcW w:w="1058" w:type="dxa"/>
            <w:shd w:val="clear" w:color="auto" w:fill="FABE00"/>
            <w:vAlign w:val="center"/>
            <w:hideMark/>
          </w:tcPr>
          <w:p w:rsidR="003F2B0C" w:rsidRPr="00DB6F89" w:rsidRDefault="003F2B0C" w:rsidP="0084338D">
            <w:pPr>
              <w:spacing w:after="0" w:line="240" w:lineRule="auto"/>
              <w:jc w:val="center"/>
              <w:rPr>
                <w:rFonts w:ascii="Calibri" w:eastAsia="Times New Roman" w:hAnsi="Calibri" w:cs="Calibri"/>
                <w:color w:val="000000"/>
                <w:kern w:val="0"/>
                <w:lang w:eastAsia="pl-PL"/>
              </w:rPr>
            </w:pPr>
            <w:r w:rsidRPr="00DB6F89">
              <w:rPr>
                <w:rFonts w:ascii="Calibri" w:eastAsia="Times New Roman" w:hAnsi="Calibri" w:cs="Calibri"/>
                <w:color w:val="000000"/>
                <w:kern w:val="0"/>
                <w:lang w:eastAsia="pl-PL"/>
              </w:rPr>
              <w:t>2022</w:t>
            </w:r>
          </w:p>
        </w:tc>
        <w:tc>
          <w:tcPr>
            <w:tcW w:w="1060" w:type="dxa"/>
            <w:shd w:val="clear" w:color="auto" w:fill="FABE00"/>
            <w:vAlign w:val="center"/>
            <w:hideMark/>
          </w:tcPr>
          <w:p w:rsidR="003F2B0C" w:rsidRPr="00DB6F89" w:rsidRDefault="003F2B0C" w:rsidP="0084338D">
            <w:pPr>
              <w:spacing w:after="0" w:line="240" w:lineRule="auto"/>
              <w:jc w:val="center"/>
              <w:rPr>
                <w:rFonts w:ascii="Calibri" w:eastAsia="Times New Roman" w:hAnsi="Calibri" w:cs="Calibri"/>
                <w:color w:val="000000"/>
                <w:kern w:val="0"/>
                <w:lang w:eastAsia="pl-PL"/>
              </w:rPr>
            </w:pPr>
            <w:r w:rsidRPr="00DB6F89">
              <w:rPr>
                <w:rFonts w:ascii="Calibri" w:eastAsia="Times New Roman" w:hAnsi="Calibri" w:cs="Calibri"/>
                <w:color w:val="000000"/>
                <w:kern w:val="0"/>
                <w:lang w:eastAsia="pl-PL"/>
              </w:rPr>
              <w:t>2023</w:t>
            </w:r>
          </w:p>
        </w:tc>
      </w:tr>
      <w:tr w:rsidR="003F2B0C" w:rsidRPr="00DB6F89" w:rsidTr="0084338D">
        <w:trPr>
          <w:trHeight w:val="20"/>
        </w:trPr>
        <w:tc>
          <w:tcPr>
            <w:tcW w:w="8930" w:type="dxa"/>
            <w:gridSpan w:val="7"/>
            <w:shd w:val="clear" w:color="auto" w:fill="FABE00"/>
            <w:noWrap/>
            <w:vAlign w:val="center"/>
            <w:hideMark/>
          </w:tcPr>
          <w:p w:rsidR="003F2B0C" w:rsidRPr="00DB6F89" w:rsidRDefault="003F2B0C" w:rsidP="0084338D">
            <w:pPr>
              <w:spacing w:after="0" w:line="240" w:lineRule="auto"/>
              <w:jc w:val="center"/>
              <w:rPr>
                <w:rFonts w:ascii="Calibri" w:eastAsia="Times New Roman" w:hAnsi="Calibri" w:cs="Calibri"/>
                <w:color w:val="000000"/>
                <w:kern w:val="0"/>
                <w:lang w:eastAsia="pl-PL"/>
              </w:rPr>
            </w:pPr>
            <w:r w:rsidRPr="00DB6F89">
              <w:rPr>
                <w:rFonts w:ascii="Calibri" w:eastAsia="Times New Roman" w:hAnsi="Calibri" w:cs="Calibri"/>
                <w:color w:val="000000"/>
                <w:kern w:val="0"/>
                <w:lang w:eastAsia="pl-PL"/>
              </w:rPr>
              <w:t>drogi dla rowerów ogółem</w:t>
            </w:r>
          </w:p>
        </w:tc>
      </w:tr>
      <w:tr w:rsidR="003F2B0C" w:rsidRPr="00DB6F89" w:rsidTr="0084338D">
        <w:trPr>
          <w:trHeight w:val="20"/>
        </w:trPr>
        <w:tc>
          <w:tcPr>
            <w:tcW w:w="2580" w:type="dxa"/>
            <w:shd w:val="clear" w:color="auto" w:fill="auto"/>
            <w:vAlign w:val="center"/>
            <w:hideMark/>
          </w:tcPr>
          <w:p w:rsidR="003F2B0C" w:rsidRPr="00DB6F89" w:rsidRDefault="003F2B0C" w:rsidP="0084338D">
            <w:pPr>
              <w:spacing w:after="0" w:line="240" w:lineRule="auto"/>
              <w:jc w:val="left"/>
              <w:rPr>
                <w:rFonts w:ascii="Calibri" w:eastAsia="Times New Roman" w:hAnsi="Calibri" w:cs="Calibri"/>
                <w:kern w:val="0"/>
                <w:lang w:eastAsia="pl-PL"/>
              </w:rPr>
            </w:pPr>
            <w:r w:rsidRPr="00DB6F89">
              <w:rPr>
                <w:rFonts w:ascii="Calibri" w:eastAsia="Times New Roman" w:hAnsi="Calibri" w:cs="Calibri"/>
                <w:kern w:val="0"/>
                <w:lang w:eastAsia="pl-PL"/>
              </w:rPr>
              <w:t>Wrocławski Obszar Funkcjonalny</w:t>
            </w:r>
          </w:p>
        </w:tc>
        <w:tc>
          <w:tcPr>
            <w:tcW w:w="1058" w:type="dxa"/>
            <w:shd w:val="clear" w:color="auto" w:fill="auto"/>
            <w:noWrap/>
            <w:vAlign w:val="center"/>
            <w:hideMark/>
          </w:tcPr>
          <w:p w:rsidR="003F2B0C" w:rsidRPr="00DB6F89" w:rsidRDefault="003F2B0C" w:rsidP="0084338D">
            <w:pPr>
              <w:spacing w:after="0" w:line="240" w:lineRule="auto"/>
              <w:jc w:val="center"/>
              <w:rPr>
                <w:rFonts w:ascii="Calibri" w:eastAsia="Times New Roman" w:hAnsi="Calibri" w:cs="Calibri"/>
                <w:kern w:val="0"/>
                <w:lang w:eastAsia="pl-PL"/>
              </w:rPr>
            </w:pPr>
            <w:r w:rsidRPr="00DB6F89">
              <w:rPr>
                <w:rFonts w:ascii="Calibri" w:eastAsia="Times New Roman" w:hAnsi="Calibri" w:cs="Calibri"/>
                <w:kern w:val="0"/>
                <w:lang w:eastAsia="pl-PL"/>
              </w:rPr>
              <w:t>363,8</w:t>
            </w:r>
          </w:p>
        </w:tc>
        <w:tc>
          <w:tcPr>
            <w:tcW w:w="1058" w:type="dxa"/>
            <w:shd w:val="clear" w:color="auto" w:fill="auto"/>
            <w:noWrap/>
            <w:vAlign w:val="center"/>
            <w:hideMark/>
          </w:tcPr>
          <w:p w:rsidR="003F2B0C" w:rsidRPr="00DB6F89" w:rsidRDefault="003F2B0C" w:rsidP="0084338D">
            <w:pPr>
              <w:spacing w:after="0" w:line="240" w:lineRule="auto"/>
              <w:jc w:val="center"/>
              <w:rPr>
                <w:rFonts w:ascii="Calibri" w:eastAsia="Times New Roman" w:hAnsi="Calibri" w:cs="Calibri"/>
                <w:kern w:val="0"/>
                <w:lang w:eastAsia="pl-PL"/>
              </w:rPr>
            </w:pPr>
            <w:r w:rsidRPr="00DB6F89">
              <w:rPr>
                <w:rFonts w:ascii="Calibri" w:eastAsia="Times New Roman" w:hAnsi="Calibri" w:cs="Calibri"/>
                <w:kern w:val="0"/>
                <w:lang w:eastAsia="pl-PL"/>
              </w:rPr>
              <w:t>423,9</w:t>
            </w:r>
          </w:p>
        </w:tc>
        <w:tc>
          <w:tcPr>
            <w:tcW w:w="1058" w:type="dxa"/>
            <w:shd w:val="clear" w:color="auto" w:fill="auto"/>
            <w:noWrap/>
            <w:vAlign w:val="center"/>
            <w:hideMark/>
          </w:tcPr>
          <w:p w:rsidR="003F2B0C" w:rsidRPr="00DB6F89" w:rsidRDefault="003F2B0C" w:rsidP="0084338D">
            <w:pPr>
              <w:spacing w:after="0" w:line="240" w:lineRule="auto"/>
              <w:jc w:val="center"/>
              <w:rPr>
                <w:rFonts w:ascii="Calibri" w:eastAsia="Times New Roman" w:hAnsi="Calibri" w:cs="Calibri"/>
                <w:kern w:val="0"/>
                <w:lang w:eastAsia="pl-PL"/>
              </w:rPr>
            </w:pPr>
            <w:r w:rsidRPr="00DB6F89">
              <w:rPr>
                <w:rFonts w:ascii="Calibri" w:eastAsia="Times New Roman" w:hAnsi="Calibri" w:cs="Calibri"/>
                <w:kern w:val="0"/>
                <w:lang w:eastAsia="pl-PL"/>
              </w:rPr>
              <w:t>482,4</w:t>
            </w:r>
          </w:p>
        </w:tc>
        <w:tc>
          <w:tcPr>
            <w:tcW w:w="1058" w:type="dxa"/>
            <w:shd w:val="clear" w:color="auto" w:fill="auto"/>
            <w:noWrap/>
            <w:vAlign w:val="center"/>
            <w:hideMark/>
          </w:tcPr>
          <w:p w:rsidR="003F2B0C" w:rsidRPr="00DB6F89" w:rsidRDefault="003F2B0C" w:rsidP="0084338D">
            <w:pPr>
              <w:spacing w:after="0" w:line="240" w:lineRule="auto"/>
              <w:jc w:val="center"/>
              <w:rPr>
                <w:rFonts w:ascii="Calibri" w:eastAsia="Times New Roman" w:hAnsi="Calibri" w:cs="Calibri"/>
                <w:kern w:val="0"/>
                <w:lang w:eastAsia="pl-PL"/>
              </w:rPr>
            </w:pPr>
            <w:r w:rsidRPr="00DB6F89">
              <w:rPr>
                <w:rFonts w:ascii="Calibri" w:eastAsia="Times New Roman" w:hAnsi="Calibri" w:cs="Calibri"/>
                <w:kern w:val="0"/>
                <w:lang w:eastAsia="pl-PL"/>
              </w:rPr>
              <w:t>417,7</w:t>
            </w:r>
          </w:p>
        </w:tc>
        <w:tc>
          <w:tcPr>
            <w:tcW w:w="1058" w:type="dxa"/>
            <w:shd w:val="clear" w:color="auto" w:fill="auto"/>
            <w:noWrap/>
            <w:vAlign w:val="center"/>
            <w:hideMark/>
          </w:tcPr>
          <w:p w:rsidR="003F2B0C" w:rsidRPr="00DB6F89" w:rsidRDefault="003F2B0C" w:rsidP="0084338D">
            <w:pPr>
              <w:spacing w:after="0" w:line="240" w:lineRule="auto"/>
              <w:jc w:val="center"/>
              <w:rPr>
                <w:rFonts w:ascii="Calibri" w:eastAsia="Times New Roman" w:hAnsi="Calibri" w:cs="Calibri"/>
                <w:kern w:val="0"/>
                <w:lang w:eastAsia="pl-PL"/>
              </w:rPr>
            </w:pPr>
            <w:r w:rsidRPr="00DB6F89">
              <w:rPr>
                <w:rFonts w:ascii="Calibri" w:eastAsia="Times New Roman" w:hAnsi="Calibri" w:cs="Calibri"/>
                <w:kern w:val="0"/>
                <w:lang w:eastAsia="pl-PL"/>
              </w:rPr>
              <w:t>525,1</w:t>
            </w:r>
          </w:p>
        </w:tc>
        <w:tc>
          <w:tcPr>
            <w:tcW w:w="1060" w:type="dxa"/>
            <w:shd w:val="clear" w:color="auto" w:fill="auto"/>
            <w:noWrap/>
            <w:vAlign w:val="center"/>
            <w:hideMark/>
          </w:tcPr>
          <w:p w:rsidR="003F2B0C" w:rsidRPr="00DB6F89" w:rsidRDefault="003F2B0C" w:rsidP="0084338D">
            <w:pPr>
              <w:spacing w:after="0" w:line="240" w:lineRule="auto"/>
              <w:jc w:val="center"/>
              <w:rPr>
                <w:rFonts w:ascii="Calibri" w:eastAsia="Times New Roman" w:hAnsi="Calibri" w:cs="Calibri"/>
                <w:kern w:val="0"/>
                <w:lang w:eastAsia="pl-PL"/>
              </w:rPr>
            </w:pPr>
            <w:r w:rsidRPr="00DB6F89">
              <w:rPr>
                <w:rFonts w:ascii="Calibri" w:eastAsia="Times New Roman" w:hAnsi="Calibri" w:cs="Calibri"/>
                <w:kern w:val="0"/>
                <w:lang w:eastAsia="pl-PL"/>
              </w:rPr>
              <w:t>560,4</w:t>
            </w:r>
          </w:p>
        </w:tc>
      </w:tr>
      <w:tr w:rsidR="003F2B0C" w:rsidRPr="00DB6F89" w:rsidTr="0084338D">
        <w:trPr>
          <w:trHeight w:val="20"/>
        </w:trPr>
        <w:tc>
          <w:tcPr>
            <w:tcW w:w="2580" w:type="dxa"/>
            <w:shd w:val="clear" w:color="auto" w:fill="auto"/>
            <w:vAlign w:val="center"/>
            <w:hideMark/>
          </w:tcPr>
          <w:p w:rsidR="003F2B0C" w:rsidRPr="00DB6F89" w:rsidRDefault="003F2B0C" w:rsidP="0084338D">
            <w:pPr>
              <w:spacing w:after="0" w:line="240" w:lineRule="auto"/>
              <w:jc w:val="left"/>
              <w:rPr>
                <w:rFonts w:ascii="Calibri" w:eastAsia="Times New Roman" w:hAnsi="Calibri" w:cs="Calibri"/>
                <w:kern w:val="0"/>
                <w:lang w:eastAsia="pl-PL"/>
              </w:rPr>
            </w:pPr>
            <w:r w:rsidRPr="00DB6F89">
              <w:rPr>
                <w:rFonts w:ascii="Calibri" w:eastAsia="Times New Roman" w:hAnsi="Calibri" w:cs="Calibri"/>
                <w:kern w:val="0"/>
                <w:lang w:eastAsia="pl-PL"/>
              </w:rPr>
              <w:t>Metropolia Krakowska</w:t>
            </w:r>
          </w:p>
        </w:tc>
        <w:tc>
          <w:tcPr>
            <w:tcW w:w="1058" w:type="dxa"/>
            <w:shd w:val="clear" w:color="auto" w:fill="auto"/>
            <w:noWrap/>
            <w:vAlign w:val="center"/>
            <w:hideMark/>
          </w:tcPr>
          <w:p w:rsidR="003F2B0C" w:rsidRPr="00DB6F89" w:rsidRDefault="003F2B0C" w:rsidP="0084338D">
            <w:pPr>
              <w:spacing w:after="0" w:line="240" w:lineRule="auto"/>
              <w:jc w:val="center"/>
              <w:rPr>
                <w:rFonts w:ascii="Calibri" w:eastAsia="Times New Roman" w:hAnsi="Calibri" w:cs="Calibri"/>
                <w:kern w:val="0"/>
                <w:lang w:eastAsia="pl-PL"/>
              </w:rPr>
            </w:pPr>
            <w:r w:rsidRPr="00DB6F89">
              <w:rPr>
                <w:rFonts w:ascii="Calibri" w:eastAsia="Times New Roman" w:hAnsi="Calibri" w:cs="Calibri"/>
                <w:kern w:val="0"/>
                <w:lang w:eastAsia="pl-PL"/>
              </w:rPr>
              <w:t>227,6</w:t>
            </w:r>
          </w:p>
        </w:tc>
        <w:tc>
          <w:tcPr>
            <w:tcW w:w="1058" w:type="dxa"/>
            <w:shd w:val="clear" w:color="auto" w:fill="auto"/>
            <w:noWrap/>
            <w:vAlign w:val="center"/>
            <w:hideMark/>
          </w:tcPr>
          <w:p w:rsidR="003F2B0C" w:rsidRPr="00DB6F89" w:rsidRDefault="003F2B0C" w:rsidP="0084338D">
            <w:pPr>
              <w:spacing w:after="0" w:line="240" w:lineRule="auto"/>
              <w:jc w:val="center"/>
              <w:rPr>
                <w:rFonts w:ascii="Calibri" w:eastAsia="Times New Roman" w:hAnsi="Calibri" w:cs="Calibri"/>
                <w:kern w:val="0"/>
                <w:lang w:eastAsia="pl-PL"/>
              </w:rPr>
            </w:pPr>
            <w:r w:rsidRPr="00DB6F89">
              <w:rPr>
                <w:rFonts w:ascii="Calibri" w:eastAsia="Times New Roman" w:hAnsi="Calibri" w:cs="Calibri"/>
                <w:kern w:val="0"/>
                <w:lang w:eastAsia="pl-PL"/>
              </w:rPr>
              <w:t>257,5</w:t>
            </w:r>
          </w:p>
        </w:tc>
        <w:tc>
          <w:tcPr>
            <w:tcW w:w="1058" w:type="dxa"/>
            <w:shd w:val="clear" w:color="auto" w:fill="auto"/>
            <w:noWrap/>
            <w:vAlign w:val="center"/>
            <w:hideMark/>
          </w:tcPr>
          <w:p w:rsidR="003F2B0C" w:rsidRPr="00DB6F89" w:rsidRDefault="003F2B0C" w:rsidP="0084338D">
            <w:pPr>
              <w:spacing w:after="0" w:line="240" w:lineRule="auto"/>
              <w:jc w:val="center"/>
              <w:rPr>
                <w:rFonts w:ascii="Calibri" w:eastAsia="Times New Roman" w:hAnsi="Calibri" w:cs="Calibri"/>
                <w:kern w:val="0"/>
                <w:lang w:eastAsia="pl-PL"/>
              </w:rPr>
            </w:pPr>
            <w:r w:rsidRPr="00DB6F89">
              <w:rPr>
                <w:rFonts w:ascii="Calibri" w:eastAsia="Times New Roman" w:hAnsi="Calibri" w:cs="Calibri"/>
                <w:kern w:val="0"/>
                <w:lang w:eastAsia="pl-PL"/>
              </w:rPr>
              <w:t>276,9</w:t>
            </w:r>
          </w:p>
        </w:tc>
        <w:tc>
          <w:tcPr>
            <w:tcW w:w="1058" w:type="dxa"/>
            <w:shd w:val="clear" w:color="auto" w:fill="auto"/>
            <w:noWrap/>
            <w:vAlign w:val="center"/>
            <w:hideMark/>
          </w:tcPr>
          <w:p w:rsidR="003F2B0C" w:rsidRPr="00DB6F89" w:rsidRDefault="003F2B0C" w:rsidP="0084338D">
            <w:pPr>
              <w:spacing w:after="0" w:line="240" w:lineRule="auto"/>
              <w:jc w:val="center"/>
              <w:rPr>
                <w:rFonts w:ascii="Calibri" w:eastAsia="Times New Roman" w:hAnsi="Calibri" w:cs="Calibri"/>
                <w:kern w:val="0"/>
                <w:lang w:eastAsia="pl-PL"/>
              </w:rPr>
            </w:pPr>
            <w:r w:rsidRPr="00DB6F89">
              <w:rPr>
                <w:rFonts w:ascii="Calibri" w:eastAsia="Times New Roman" w:hAnsi="Calibri" w:cs="Calibri"/>
                <w:kern w:val="0"/>
                <w:lang w:eastAsia="pl-PL"/>
              </w:rPr>
              <w:t>299,7</w:t>
            </w:r>
          </w:p>
        </w:tc>
        <w:tc>
          <w:tcPr>
            <w:tcW w:w="1058" w:type="dxa"/>
            <w:shd w:val="clear" w:color="auto" w:fill="auto"/>
            <w:noWrap/>
            <w:vAlign w:val="center"/>
            <w:hideMark/>
          </w:tcPr>
          <w:p w:rsidR="003F2B0C" w:rsidRPr="00DB6F89" w:rsidRDefault="003F2B0C" w:rsidP="0084338D">
            <w:pPr>
              <w:spacing w:after="0" w:line="240" w:lineRule="auto"/>
              <w:jc w:val="center"/>
              <w:rPr>
                <w:rFonts w:ascii="Calibri" w:eastAsia="Times New Roman" w:hAnsi="Calibri" w:cs="Calibri"/>
                <w:kern w:val="0"/>
                <w:lang w:eastAsia="pl-PL"/>
              </w:rPr>
            </w:pPr>
            <w:r w:rsidRPr="00DB6F89">
              <w:rPr>
                <w:rFonts w:ascii="Calibri" w:eastAsia="Times New Roman" w:hAnsi="Calibri" w:cs="Calibri"/>
                <w:kern w:val="0"/>
                <w:lang w:eastAsia="pl-PL"/>
              </w:rPr>
              <w:t>329,6</w:t>
            </w:r>
          </w:p>
        </w:tc>
        <w:tc>
          <w:tcPr>
            <w:tcW w:w="1060" w:type="dxa"/>
            <w:shd w:val="clear" w:color="auto" w:fill="auto"/>
            <w:noWrap/>
            <w:vAlign w:val="center"/>
            <w:hideMark/>
          </w:tcPr>
          <w:p w:rsidR="003F2B0C" w:rsidRPr="00DB6F89" w:rsidRDefault="003F2B0C" w:rsidP="0084338D">
            <w:pPr>
              <w:spacing w:after="0" w:line="240" w:lineRule="auto"/>
              <w:jc w:val="center"/>
              <w:rPr>
                <w:rFonts w:ascii="Calibri" w:eastAsia="Times New Roman" w:hAnsi="Calibri" w:cs="Calibri"/>
                <w:kern w:val="0"/>
                <w:lang w:eastAsia="pl-PL"/>
              </w:rPr>
            </w:pPr>
            <w:r w:rsidRPr="00DB6F89">
              <w:rPr>
                <w:rFonts w:ascii="Calibri" w:eastAsia="Times New Roman" w:hAnsi="Calibri" w:cs="Calibri"/>
                <w:kern w:val="0"/>
                <w:lang w:eastAsia="pl-PL"/>
              </w:rPr>
              <w:t>404,5</w:t>
            </w:r>
          </w:p>
        </w:tc>
      </w:tr>
      <w:tr w:rsidR="003F2B0C" w:rsidRPr="00DB6F89" w:rsidTr="0084338D">
        <w:trPr>
          <w:trHeight w:val="20"/>
        </w:trPr>
        <w:tc>
          <w:tcPr>
            <w:tcW w:w="2580" w:type="dxa"/>
            <w:shd w:val="clear" w:color="auto" w:fill="auto"/>
            <w:vAlign w:val="center"/>
            <w:hideMark/>
          </w:tcPr>
          <w:p w:rsidR="003F2B0C" w:rsidRPr="00DB6F89" w:rsidRDefault="003F2B0C" w:rsidP="0084338D">
            <w:pPr>
              <w:spacing w:after="0" w:line="240" w:lineRule="auto"/>
              <w:jc w:val="left"/>
              <w:rPr>
                <w:rFonts w:ascii="Calibri" w:eastAsia="Times New Roman" w:hAnsi="Calibri" w:cs="Calibri"/>
                <w:kern w:val="0"/>
                <w:lang w:eastAsia="pl-PL"/>
              </w:rPr>
            </w:pPr>
            <w:r w:rsidRPr="00DB6F89">
              <w:rPr>
                <w:rFonts w:ascii="Calibri" w:eastAsia="Times New Roman" w:hAnsi="Calibri" w:cs="Calibri"/>
                <w:kern w:val="0"/>
                <w:lang w:eastAsia="pl-PL"/>
              </w:rPr>
              <w:t>Metropolia Poznań</w:t>
            </w:r>
          </w:p>
        </w:tc>
        <w:tc>
          <w:tcPr>
            <w:tcW w:w="1058" w:type="dxa"/>
            <w:shd w:val="clear" w:color="auto" w:fill="auto"/>
            <w:noWrap/>
            <w:vAlign w:val="center"/>
            <w:hideMark/>
          </w:tcPr>
          <w:p w:rsidR="003F2B0C" w:rsidRPr="00DB6F89" w:rsidRDefault="003F2B0C" w:rsidP="0084338D">
            <w:pPr>
              <w:spacing w:after="0" w:line="240" w:lineRule="auto"/>
              <w:jc w:val="center"/>
              <w:rPr>
                <w:rFonts w:ascii="Calibri" w:eastAsia="Times New Roman" w:hAnsi="Calibri" w:cs="Calibri"/>
                <w:kern w:val="0"/>
                <w:lang w:eastAsia="pl-PL"/>
              </w:rPr>
            </w:pPr>
            <w:r w:rsidRPr="00DB6F89">
              <w:rPr>
                <w:rFonts w:ascii="Calibri" w:eastAsia="Times New Roman" w:hAnsi="Calibri" w:cs="Calibri"/>
                <w:kern w:val="0"/>
                <w:lang w:eastAsia="pl-PL"/>
              </w:rPr>
              <w:t>500,6</w:t>
            </w:r>
          </w:p>
        </w:tc>
        <w:tc>
          <w:tcPr>
            <w:tcW w:w="1058" w:type="dxa"/>
            <w:shd w:val="clear" w:color="auto" w:fill="auto"/>
            <w:noWrap/>
            <w:vAlign w:val="center"/>
            <w:hideMark/>
          </w:tcPr>
          <w:p w:rsidR="003F2B0C" w:rsidRPr="00DB6F89" w:rsidRDefault="003F2B0C" w:rsidP="0084338D">
            <w:pPr>
              <w:spacing w:after="0" w:line="240" w:lineRule="auto"/>
              <w:jc w:val="center"/>
              <w:rPr>
                <w:rFonts w:ascii="Calibri" w:eastAsia="Times New Roman" w:hAnsi="Calibri" w:cs="Calibri"/>
                <w:kern w:val="0"/>
                <w:lang w:eastAsia="pl-PL"/>
              </w:rPr>
            </w:pPr>
            <w:r w:rsidRPr="00DB6F89">
              <w:rPr>
                <w:rFonts w:ascii="Calibri" w:eastAsia="Times New Roman" w:hAnsi="Calibri" w:cs="Calibri"/>
                <w:kern w:val="0"/>
                <w:lang w:eastAsia="pl-PL"/>
              </w:rPr>
              <w:t>531,3</w:t>
            </w:r>
          </w:p>
        </w:tc>
        <w:tc>
          <w:tcPr>
            <w:tcW w:w="1058" w:type="dxa"/>
            <w:shd w:val="clear" w:color="auto" w:fill="auto"/>
            <w:noWrap/>
            <w:vAlign w:val="center"/>
            <w:hideMark/>
          </w:tcPr>
          <w:p w:rsidR="003F2B0C" w:rsidRPr="00DB6F89" w:rsidRDefault="003F2B0C" w:rsidP="0084338D">
            <w:pPr>
              <w:spacing w:after="0" w:line="240" w:lineRule="auto"/>
              <w:jc w:val="center"/>
              <w:rPr>
                <w:rFonts w:ascii="Calibri" w:eastAsia="Times New Roman" w:hAnsi="Calibri" w:cs="Calibri"/>
                <w:kern w:val="0"/>
                <w:lang w:eastAsia="pl-PL"/>
              </w:rPr>
            </w:pPr>
            <w:r w:rsidRPr="00DB6F89">
              <w:rPr>
                <w:rFonts w:ascii="Calibri" w:eastAsia="Times New Roman" w:hAnsi="Calibri" w:cs="Calibri"/>
                <w:kern w:val="0"/>
                <w:lang w:eastAsia="pl-PL"/>
              </w:rPr>
              <w:t>589,4</w:t>
            </w:r>
          </w:p>
        </w:tc>
        <w:tc>
          <w:tcPr>
            <w:tcW w:w="1058" w:type="dxa"/>
            <w:shd w:val="clear" w:color="auto" w:fill="auto"/>
            <w:noWrap/>
            <w:vAlign w:val="center"/>
            <w:hideMark/>
          </w:tcPr>
          <w:p w:rsidR="003F2B0C" w:rsidRPr="00DB6F89" w:rsidRDefault="003F2B0C" w:rsidP="0084338D">
            <w:pPr>
              <w:spacing w:after="0" w:line="240" w:lineRule="auto"/>
              <w:jc w:val="center"/>
              <w:rPr>
                <w:rFonts w:ascii="Calibri" w:eastAsia="Times New Roman" w:hAnsi="Calibri" w:cs="Calibri"/>
                <w:kern w:val="0"/>
                <w:lang w:eastAsia="pl-PL"/>
              </w:rPr>
            </w:pPr>
            <w:r w:rsidRPr="00DB6F89">
              <w:rPr>
                <w:rFonts w:ascii="Calibri" w:eastAsia="Times New Roman" w:hAnsi="Calibri" w:cs="Calibri"/>
                <w:kern w:val="0"/>
                <w:lang w:eastAsia="pl-PL"/>
              </w:rPr>
              <w:t>625,7</w:t>
            </w:r>
          </w:p>
        </w:tc>
        <w:tc>
          <w:tcPr>
            <w:tcW w:w="1058" w:type="dxa"/>
            <w:shd w:val="clear" w:color="auto" w:fill="auto"/>
            <w:noWrap/>
            <w:vAlign w:val="center"/>
            <w:hideMark/>
          </w:tcPr>
          <w:p w:rsidR="003F2B0C" w:rsidRPr="00DB6F89" w:rsidRDefault="003F2B0C" w:rsidP="0084338D">
            <w:pPr>
              <w:spacing w:after="0" w:line="240" w:lineRule="auto"/>
              <w:jc w:val="center"/>
              <w:rPr>
                <w:rFonts w:ascii="Calibri" w:eastAsia="Times New Roman" w:hAnsi="Calibri" w:cs="Calibri"/>
                <w:kern w:val="0"/>
                <w:lang w:eastAsia="pl-PL"/>
              </w:rPr>
            </w:pPr>
            <w:r w:rsidRPr="00DB6F89">
              <w:rPr>
                <w:rFonts w:ascii="Calibri" w:eastAsia="Times New Roman" w:hAnsi="Calibri" w:cs="Calibri"/>
                <w:kern w:val="0"/>
                <w:lang w:eastAsia="pl-PL"/>
              </w:rPr>
              <w:t>680,5</w:t>
            </w:r>
          </w:p>
        </w:tc>
        <w:tc>
          <w:tcPr>
            <w:tcW w:w="1060" w:type="dxa"/>
            <w:shd w:val="clear" w:color="auto" w:fill="auto"/>
            <w:noWrap/>
            <w:vAlign w:val="center"/>
            <w:hideMark/>
          </w:tcPr>
          <w:p w:rsidR="003F2B0C" w:rsidRPr="00DB6F89" w:rsidRDefault="003F2B0C" w:rsidP="0084338D">
            <w:pPr>
              <w:spacing w:after="0" w:line="240" w:lineRule="auto"/>
              <w:jc w:val="center"/>
              <w:rPr>
                <w:rFonts w:ascii="Calibri" w:eastAsia="Times New Roman" w:hAnsi="Calibri" w:cs="Calibri"/>
                <w:kern w:val="0"/>
                <w:lang w:eastAsia="pl-PL"/>
              </w:rPr>
            </w:pPr>
            <w:r w:rsidRPr="00DB6F89">
              <w:rPr>
                <w:rFonts w:ascii="Calibri" w:eastAsia="Times New Roman" w:hAnsi="Calibri" w:cs="Calibri"/>
                <w:kern w:val="0"/>
                <w:lang w:eastAsia="pl-PL"/>
              </w:rPr>
              <w:t>733,6</w:t>
            </w:r>
          </w:p>
        </w:tc>
      </w:tr>
      <w:tr w:rsidR="003F2B0C" w:rsidRPr="00DB6F89" w:rsidTr="0084338D">
        <w:trPr>
          <w:trHeight w:val="20"/>
        </w:trPr>
        <w:tc>
          <w:tcPr>
            <w:tcW w:w="8930" w:type="dxa"/>
            <w:gridSpan w:val="7"/>
            <w:shd w:val="clear" w:color="auto" w:fill="FABE00"/>
            <w:noWrap/>
            <w:vAlign w:val="center"/>
            <w:hideMark/>
          </w:tcPr>
          <w:p w:rsidR="003F2B0C" w:rsidRPr="00DB6F89" w:rsidRDefault="003F2B0C" w:rsidP="0084338D">
            <w:pPr>
              <w:spacing w:after="0" w:line="240" w:lineRule="auto"/>
              <w:jc w:val="center"/>
              <w:rPr>
                <w:rFonts w:ascii="Calibri" w:eastAsia="Times New Roman" w:hAnsi="Calibri" w:cs="Calibri"/>
                <w:color w:val="000000"/>
                <w:kern w:val="0"/>
                <w:lang w:eastAsia="pl-PL"/>
              </w:rPr>
            </w:pPr>
            <w:r w:rsidRPr="00DB6F89">
              <w:rPr>
                <w:rFonts w:ascii="Calibri" w:eastAsia="Times New Roman" w:hAnsi="Calibri" w:cs="Calibri"/>
                <w:color w:val="000000"/>
                <w:kern w:val="0"/>
                <w:lang w:eastAsia="pl-PL"/>
              </w:rPr>
              <w:t>drogi dla rowerów na 10 tys. ludności</w:t>
            </w:r>
          </w:p>
        </w:tc>
      </w:tr>
      <w:tr w:rsidR="003F2B0C" w:rsidRPr="00DB6F89" w:rsidTr="0084338D">
        <w:trPr>
          <w:trHeight w:val="20"/>
        </w:trPr>
        <w:tc>
          <w:tcPr>
            <w:tcW w:w="2580" w:type="dxa"/>
            <w:shd w:val="clear" w:color="auto" w:fill="auto"/>
            <w:vAlign w:val="center"/>
            <w:hideMark/>
          </w:tcPr>
          <w:p w:rsidR="003F2B0C" w:rsidRPr="00DB6F89" w:rsidRDefault="003F2B0C" w:rsidP="0084338D">
            <w:pPr>
              <w:spacing w:after="0" w:line="240" w:lineRule="auto"/>
              <w:jc w:val="left"/>
              <w:rPr>
                <w:rFonts w:ascii="Calibri" w:eastAsia="Times New Roman" w:hAnsi="Calibri" w:cs="Calibri"/>
                <w:kern w:val="0"/>
                <w:lang w:eastAsia="pl-PL"/>
              </w:rPr>
            </w:pPr>
            <w:r w:rsidRPr="00DB6F89">
              <w:rPr>
                <w:rFonts w:ascii="Calibri" w:eastAsia="Times New Roman" w:hAnsi="Calibri" w:cs="Calibri"/>
                <w:kern w:val="0"/>
                <w:lang w:eastAsia="pl-PL"/>
              </w:rPr>
              <w:t>Wrocławski Obszar Funkcjonalny</w:t>
            </w:r>
          </w:p>
        </w:tc>
        <w:tc>
          <w:tcPr>
            <w:tcW w:w="1058" w:type="dxa"/>
            <w:shd w:val="clear" w:color="auto" w:fill="auto"/>
            <w:noWrap/>
            <w:vAlign w:val="center"/>
            <w:hideMark/>
          </w:tcPr>
          <w:p w:rsidR="003F2B0C" w:rsidRPr="00DB6F89" w:rsidRDefault="003F2B0C" w:rsidP="0084338D">
            <w:pPr>
              <w:spacing w:after="0" w:line="240" w:lineRule="auto"/>
              <w:jc w:val="center"/>
              <w:rPr>
                <w:rFonts w:ascii="Calibri" w:eastAsia="Times New Roman" w:hAnsi="Calibri" w:cs="Calibri"/>
                <w:kern w:val="0"/>
                <w:lang w:eastAsia="pl-PL"/>
              </w:rPr>
            </w:pPr>
            <w:r w:rsidRPr="00DB6F89">
              <w:rPr>
                <w:rFonts w:ascii="Calibri" w:eastAsia="Times New Roman" w:hAnsi="Calibri" w:cs="Calibri"/>
                <w:kern w:val="0"/>
                <w:lang w:eastAsia="pl-PL"/>
              </w:rPr>
              <w:t>47,88</w:t>
            </w:r>
          </w:p>
        </w:tc>
        <w:tc>
          <w:tcPr>
            <w:tcW w:w="1058" w:type="dxa"/>
            <w:shd w:val="clear" w:color="auto" w:fill="auto"/>
            <w:noWrap/>
            <w:vAlign w:val="center"/>
            <w:hideMark/>
          </w:tcPr>
          <w:p w:rsidR="003F2B0C" w:rsidRPr="00DB6F89" w:rsidRDefault="003F2B0C" w:rsidP="0084338D">
            <w:pPr>
              <w:spacing w:after="0" w:line="240" w:lineRule="auto"/>
              <w:jc w:val="center"/>
              <w:rPr>
                <w:rFonts w:ascii="Calibri" w:eastAsia="Times New Roman" w:hAnsi="Calibri" w:cs="Calibri"/>
                <w:kern w:val="0"/>
                <w:lang w:eastAsia="pl-PL"/>
              </w:rPr>
            </w:pPr>
            <w:r w:rsidRPr="00DB6F89">
              <w:rPr>
                <w:rFonts w:ascii="Calibri" w:eastAsia="Times New Roman" w:hAnsi="Calibri" w:cs="Calibri"/>
                <w:kern w:val="0"/>
                <w:lang w:eastAsia="pl-PL"/>
              </w:rPr>
              <w:t>51,91</w:t>
            </w:r>
          </w:p>
        </w:tc>
        <w:tc>
          <w:tcPr>
            <w:tcW w:w="1058" w:type="dxa"/>
            <w:shd w:val="clear" w:color="auto" w:fill="auto"/>
            <w:noWrap/>
            <w:vAlign w:val="center"/>
            <w:hideMark/>
          </w:tcPr>
          <w:p w:rsidR="003F2B0C" w:rsidRPr="00DB6F89" w:rsidRDefault="003F2B0C" w:rsidP="0084338D">
            <w:pPr>
              <w:spacing w:after="0" w:line="240" w:lineRule="auto"/>
              <w:jc w:val="center"/>
              <w:rPr>
                <w:rFonts w:ascii="Calibri" w:eastAsia="Times New Roman" w:hAnsi="Calibri" w:cs="Calibri"/>
                <w:kern w:val="0"/>
                <w:lang w:eastAsia="pl-PL"/>
              </w:rPr>
            </w:pPr>
            <w:r w:rsidRPr="00DB6F89">
              <w:rPr>
                <w:rFonts w:ascii="Calibri" w:eastAsia="Times New Roman" w:hAnsi="Calibri" w:cs="Calibri"/>
                <w:kern w:val="0"/>
                <w:lang w:eastAsia="pl-PL"/>
              </w:rPr>
              <w:t>52,64</w:t>
            </w:r>
          </w:p>
        </w:tc>
        <w:tc>
          <w:tcPr>
            <w:tcW w:w="1058" w:type="dxa"/>
            <w:shd w:val="clear" w:color="auto" w:fill="auto"/>
            <w:noWrap/>
            <w:vAlign w:val="center"/>
            <w:hideMark/>
          </w:tcPr>
          <w:p w:rsidR="003F2B0C" w:rsidRPr="00DB6F89" w:rsidRDefault="003F2B0C" w:rsidP="0084338D">
            <w:pPr>
              <w:spacing w:after="0" w:line="240" w:lineRule="auto"/>
              <w:jc w:val="center"/>
              <w:rPr>
                <w:rFonts w:ascii="Calibri" w:eastAsia="Times New Roman" w:hAnsi="Calibri" w:cs="Calibri"/>
                <w:kern w:val="0"/>
                <w:lang w:eastAsia="pl-PL"/>
              </w:rPr>
            </w:pPr>
            <w:r w:rsidRPr="00DB6F89">
              <w:rPr>
                <w:rFonts w:ascii="Calibri" w:eastAsia="Times New Roman" w:hAnsi="Calibri" w:cs="Calibri"/>
                <w:kern w:val="0"/>
                <w:lang w:eastAsia="pl-PL"/>
              </w:rPr>
              <w:t>53,93</w:t>
            </w:r>
          </w:p>
        </w:tc>
        <w:tc>
          <w:tcPr>
            <w:tcW w:w="1058" w:type="dxa"/>
            <w:shd w:val="clear" w:color="auto" w:fill="auto"/>
            <w:noWrap/>
            <w:vAlign w:val="center"/>
            <w:hideMark/>
          </w:tcPr>
          <w:p w:rsidR="003F2B0C" w:rsidRPr="00DB6F89" w:rsidRDefault="003F2B0C" w:rsidP="0084338D">
            <w:pPr>
              <w:spacing w:after="0" w:line="240" w:lineRule="auto"/>
              <w:jc w:val="center"/>
              <w:rPr>
                <w:rFonts w:ascii="Calibri" w:eastAsia="Times New Roman" w:hAnsi="Calibri" w:cs="Calibri"/>
                <w:kern w:val="0"/>
                <w:lang w:eastAsia="pl-PL"/>
              </w:rPr>
            </w:pPr>
            <w:r w:rsidRPr="00DB6F89">
              <w:rPr>
                <w:rFonts w:ascii="Calibri" w:eastAsia="Times New Roman" w:hAnsi="Calibri" w:cs="Calibri"/>
                <w:kern w:val="0"/>
                <w:lang w:eastAsia="pl-PL"/>
              </w:rPr>
              <w:t>67,4</w:t>
            </w:r>
          </w:p>
        </w:tc>
        <w:tc>
          <w:tcPr>
            <w:tcW w:w="1060" w:type="dxa"/>
            <w:shd w:val="clear" w:color="auto" w:fill="auto"/>
            <w:noWrap/>
            <w:vAlign w:val="center"/>
            <w:hideMark/>
          </w:tcPr>
          <w:p w:rsidR="003F2B0C" w:rsidRPr="00DB6F89" w:rsidRDefault="003F2B0C" w:rsidP="0084338D">
            <w:pPr>
              <w:spacing w:after="0" w:line="240" w:lineRule="auto"/>
              <w:jc w:val="center"/>
              <w:rPr>
                <w:rFonts w:ascii="Calibri" w:eastAsia="Times New Roman" w:hAnsi="Calibri" w:cs="Calibri"/>
                <w:kern w:val="0"/>
                <w:lang w:eastAsia="pl-PL"/>
              </w:rPr>
            </w:pPr>
            <w:r w:rsidRPr="00DB6F89">
              <w:rPr>
                <w:rFonts w:ascii="Calibri" w:eastAsia="Times New Roman" w:hAnsi="Calibri" w:cs="Calibri"/>
                <w:kern w:val="0"/>
                <w:lang w:eastAsia="pl-PL"/>
              </w:rPr>
              <w:t>78,37</w:t>
            </w:r>
          </w:p>
        </w:tc>
      </w:tr>
      <w:tr w:rsidR="003F2B0C" w:rsidRPr="00DB6F89" w:rsidTr="0084338D">
        <w:trPr>
          <w:trHeight w:val="20"/>
        </w:trPr>
        <w:tc>
          <w:tcPr>
            <w:tcW w:w="2580" w:type="dxa"/>
            <w:shd w:val="clear" w:color="auto" w:fill="auto"/>
            <w:vAlign w:val="center"/>
            <w:hideMark/>
          </w:tcPr>
          <w:p w:rsidR="003F2B0C" w:rsidRPr="00DB6F89" w:rsidRDefault="003F2B0C" w:rsidP="0084338D">
            <w:pPr>
              <w:spacing w:after="0" w:line="240" w:lineRule="auto"/>
              <w:jc w:val="left"/>
              <w:rPr>
                <w:rFonts w:ascii="Calibri" w:eastAsia="Times New Roman" w:hAnsi="Calibri" w:cs="Calibri"/>
                <w:kern w:val="0"/>
                <w:lang w:eastAsia="pl-PL"/>
              </w:rPr>
            </w:pPr>
            <w:r w:rsidRPr="00DB6F89">
              <w:rPr>
                <w:rFonts w:ascii="Calibri" w:eastAsia="Times New Roman" w:hAnsi="Calibri" w:cs="Calibri"/>
                <w:kern w:val="0"/>
                <w:lang w:eastAsia="pl-PL"/>
              </w:rPr>
              <w:t>Metropolia Krakowska</w:t>
            </w:r>
          </w:p>
        </w:tc>
        <w:tc>
          <w:tcPr>
            <w:tcW w:w="1058" w:type="dxa"/>
            <w:shd w:val="clear" w:color="auto" w:fill="auto"/>
            <w:noWrap/>
            <w:vAlign w:val="center"/>
            <w:hideMark/>
          </w:tcPr>
          <w:p w:rsidR="003F2B0C" w:rsidRPr="00DB6F89" w:rsidRDefault="003F2B0C" w:rsidP="0084338D">
            <w:pPr>
              <w:spacing w:after="0" w:line="240" w:lineRule="auto"/>
              <w:jc w:val="center"/>
              <w:rPr>
                <w:rFonts w:ascii="Calibri" w:eastAsia="Times New Roman" w:hAnsi="Calibri" w:cs="Calibri"/>
                <w:kern w:val="0"/>
                <w:lang w:eastAsia="pl-PL"/>
              </w:rPr>
            </w:pPr>
            <w:r w:rsidRPr="00DB6F89">
              <w:rPr>
                <w:rFonts w:ascii="Calibri" w:eastAsia="Times New Roman" w:hAnsi="Calibri" w:cs="Calibri"/>
                <w:kern w:val="0"/>
                <w:lang w:eastAsia="pl-PL"/>
              </w:rPr>
              <w:t>10,05</w:t>
            </w:r>
          </w:p>
        </w:tc>
        <w:tc>
          <w:tcPr>
            <w:tcW w:w="1058" w:type="dxa"/>
            <w:shd w:val="clear" w:color="auto" w:fill="auto"/>
            <w:noWrap/>
            <w:vAlign w:val="center"/>
            <w:hideMark/>
          </w:tcPr>
          <w:p w:rsidR="003F2B0C" w:rsidRPr="00DB6F89" w:rsidRDefault="003F2B0C" w:rsidP="0084338D">
            <w:pPr>
              <w:spacing w:after="0" w:line="240" w:lineRule="auto"/>
              <w:jc w:val="center"/>
              <w:rPr>
                <w:rFonts w:ascii="Calibri" w:eastAsia="Times New Roman" w:hAnsi="Calibri" w:cs="Calibri"/>
                <w:kern w:val="0"/>
                <w:lang w:eastAsia="pl-PL"/>
              </w:rPr>
            </w:pPr>
            <w:r w:rsidRPr="00DB6F89">
              <w:rPr>
                <w:rFonts w:ascii="Calibri" w:eastAsia="Times New Roman" w:hAnsi="Calibri" w:cs="Calibri"/>
                <w:kern w:val="0"/>
                <w:lang w:eastAsia="pl-PL"/>
              </w:rPr>
              <w:t>13,57</w:t>
            </w:r>
          </w:p>
        </w:tc>
        <w:tc>
          <w:tcPr>
            <w:tcW w:w="1058" w:type="dxa"/>
            <w:shd w:val="clear" w:color="auto" w:fill="auto"/>
            <w:noWrap/>
            <w:vAlign w:val="center"/>
            <w:hideMark/>
          </w:tcPr>
          <w:p w:rsidR="003F2B0C" w:rsidRPr="00DB6F89" w:rsidRDefault="003F2B0C" w:rsidP="0084338D">
            <w:pPr>
              <w:spacing w:after="0" w:line="240" w:lineRule="auto"/>
              <w:jc w:val="center"/>
              <w:rPr>
                <w:rFonts w:ascii="Calibri" w:eastAsia="Times New Roman" w:hAnsi="Calibri" w:cs="Calibri"/>
                <w:kern w:val="0"/>
                <w:lang w:eastAsia="pl-PL"/>
              </w:rPr>
            </w:pPr>
            <w:r w:rsidRPr="00DB6F89">
              <w:rPr>
                <w:rFonts w:ascii="Calibri" w:eastAsia="Times New Roman" w:hAnsi="Calibri" w:cs="Calibri"/>
                <w:kern w:val="0"/>
                <w:lang w:eastAsia="pl-PL"/>
              </w:rPr>
              <w:t>12,61</w:t>
            </w:r>
          </w:p>
        </w:tc>
        <w:tc>
          <w:tcPr>
            <w:tcW w:w="1058" w:type="dxa"/>
            <w:shd w:val="clear" w:color="auto" w:fill="auto"/>
            <w:noWrap/>
            <w:vAlign w:val="center"/>
            <w:hideMark/>
          </w:tcPr>
          <w:p w:rsidR="003F2B0C" w:rsidRPr="00DB6F89" w:rsidRDefault="003F2B0C" w:rsidP="0084338D">
            <w:pPr>
              <w:spacing w:after="0" w:line="240" w:lineRule="auto"/>
              <w:jc w:val="center"/>
              <w:rPr>
                <w:rFonts w:ascii="Calibri" w:eastAsia="Times New Roman" w:hAnsi="Calibri" w:cs="Calibri"/>
                <w:kern w:val="0"/>
                <w:lang w:eastAsia="pl-PL"/>
              </w:rPr>
            </w:pPr>
            <w:r w:rsidRPr="00DB6F89">
              <w:rPr>
                <w:rFonts w:ascii="Calibri" w:eastAsia="Times New Roman" w:hAnsi="Calibri" w:cs="Calibri"/>
                <w:kern w:val="0"/>
                <w:lang w:eastAsia="pl-PL"/>
              </w:rPr>
              <w:t>18,06</w:t>
            </w:r>
          </w:p>
        </w:tc>
        <w:tc>
          <w:tcPr>
            <w:tcW w:w="1058" w:type="dxa"/>
            <w:shd w:val="clear" w:color="auto" w:fill="auto"/>
            <w:noWrap/>
            <w:vAlign w:val="center"/>
            <w:hideMark/>
          </w:tcPr>
          <w:p w:rsidR="003F2B0C" w:rsidRPr="00DB6F89" w:rsidRDefault="003F2B0C" w:rsidP="0084338D">
            <w:pPr>
              <w:spacing w:after="0" w:line="240" w:lineRule="auto"/>
              <w:jc w:val="center"/>
              <w:rPr>
                <w:rFonts w:ascii="Calibri" w:eastAsia="Times New Roman" w:hAnsi="Calibri" w:cs="Calibri"/>
                <w:kern w:val="0"/>
                <w:lang w:eastAsia="pl-PL"/>
              </w:rPr>
            </w:pPr>
            <w:r w:rsidRPr="00DB6F89">
              <w:rPr>
                <w:rFonts w:ascii="Calibri" w:eastAsia="Times New Roman" w:hAnsi="Calibri" w:cs="Calibri"/>
                <w:kern w:val="0"/>
                <w:lang w:eastAsia="pl-PL"/>
              </w:rPr>
              <w:t>27,58</w:t>
            </w:r>
          </w:p>
        </w:tc>
        <w:tc>
          <w:tcPr>
            <w:tcW w:w="1060" w:type="dxa"/>
            <w:shd w:val="clear" w:color="auto" w:fill="auto"/>
            <w:noWrap/>
            <w:vAlign w:val="center"/>
            <w:hideMark/>
          </w:tcPr>
          <w:p w:rsidR="003F2B0C" w:rsidRPr="00DB6F89" w:rsidRDefault="003F2B0C" w:rsidP="0084338D">
            <w:pPr>
              <w:spacing w:after="0" w:line="240" w:lineRule="auto"/>
              <w:jc w:val="center"/>
              <w:rPr>
                <w:rFonts w:ascii="Calibri" w:eastAsia="Times New Roman" w:hAnsi="Calibri" w:cs="Calibri"/>
                <w:kern w:val="0"/>
                <w:lang w:eastAsia="pl-PL"/>
              </w:rPr>
            </w:pPr>
            <w:r w:rsidRPr="00DB6F89">
              <w:rPr>
                <w:rFonts w:ascii="Calibri" w:eastAsia="Times New Roman" w:hAnsi="Calibri" w:cs="Calibri"/>
                <w:kern w:val="0"/>
                <w:lang w:eastAsia="pl-PL"/>
              </w:rPr>
              <w:t>35,27</w:t>
            </w:r>
          </w:p>
        </w:tc>
      </w:tr>
      <w:tr w:rsidR="003F2B0C" w:rsidRPr="002737CB" w:rsidTr="0084338D">
        <w:trPr>
          <w:trHeight w:val="20"/>
        </w:trPr>
        <w:tc>
          <w:tcPr>
            <w:tcW w:w="2580" w:type="dxa"/>
            <w:shd w:val="clear" w:color="auto" w:fill="auto"/>
            <w:vAlign w:val="center"/>
            <w:hideMark/>
          </w:tcPr>
          <w:p w:rsidR="003F2B0C" w:rsidRPr="002737CB" w:rsidRDefault="003F2B0C" w:rsidP="0084338D">
            <w:pPr>
              <w:spacing w:line="276" w:lineRule="auto"/>
              <w:rPr>
                <w:iCs/>
                <w:color w:val="363735" w:themeColor="accent3"/>
                <w:sz w:val="20"/>
                <w:szCs w:val="18"/>
              </w:rPr>
            </w:pPr>
            <w:r w:rsidRPr="002737CB">
              <w:rPr>
                <w:iCs/>
                <w:color w:val="363735" w:themeColor="accent3"/>
                <w:sz w:val="20"/>
                <w:szCs w:val="18"/>
              </w:rPr>
              <w:t>Metropolia Poznań</w:t>
            </w:r>
          </w:p>
        </w:tc>
        <w:tc>
          <w:tcPr>
            <w:tcW w:w="1058" w:type="dxa"/>
            <w:shd w:val="clear" w:color="auto" w:fill="auto"/>
            <w:noWrap/>
            <w:vAlign w:val="center"/>
            <w:hideMark/>
          </w:tcPr>
          <w:p w:rsidR="003F2B0C" w:rsidRPr="002737CB" w:rsidRDefault="003F2B0C" w:rsidP="0084338D">
            <w:pPr>
              <w:spacing w:line="276" w:lineRule="auto"/>
              <w:rPr>
                <w:iCs/>
                <w:color w:val="363735" w:themeColor="accent3"/>
                <w:sz w:val="20"/>
                <w:szCs w:val="18"/>
              </w:rPr>
            </w:pPr>
            <w:r w:rsidRPr="002737CB">
              <w:rPr>
                <w:iCs/>
                <w:color w:val="363735" w:themeColor="accent3"/>
                <w:sz w:val="20"/>
                <w:szCs w:val="18"/>
              </w:rPr>
              <w:t>109,23</w:t>
            </w:r>
          </w:p>
        </w:tc>
        <w:tc>
          <w:tcPr>
            <w:tcW w:w="1058" w:type="dxa"/>
            <w:shd w:val="clear" w:color="auto" w:fill="auto"/>
            <w:noWrap/>
            <w:vAlign w:val="center"/>
            <w:hideMark/>
          </w:tcPr>
          <w:p w:rsidR="003F2B0C" w:rsidRPr="002737CB" w:rsidRDefault="003F2B0C" w:rsidP="0084338D">
            <w:pPr>
              <w:spacing w:line="276" w:lineRule="auto"/>
              <w:rPr>
                <w:iCs/>
                <w:color w:val="363735" w:themeColor="accent3"/>
                <w:sz w:val="20"/>
                <w:szCs w:val="18"/>
              </w:rPr>
            </w:pPr>
            <w:r w:rsidRPr="002737CB">
              <w:rPr>
                <w:iCs/>
                <w:color w:val="363735" w:themeColor="accent3"/>
                <w:sz w:val="20"/>
                <w:szCs w:val="18"/>
              </w:rPr>
              <w:t>119,2</w:t>
            </w:r>
          </w:p>
        </w:tc>
        <w:tc>
          <w:tcPr>
            <w:tcW w:w="1058" w:type="dxa"/>
            <w:shd w:val="clear" w:color="auto" w:fill="auto"/>
            <w:noWrap/>
            <w:vAlign w:val="center"/>
            <w:hideMark/>
          </w:tcPr>
          <w:p w:rsidR="003F2B0C" w:rsidRPr="002737CB" w:rsidRDefault="003F2B0C" w:rsidP="0084338D">
            <w:pPr>
              <w:spacing w:line="276" w:lineRule="auto"/>
              <w:rPr>
                <w:iCs/>
                <w:color w:val="363735" w:themeColor="accent3"/>
                <w:sz w:val="20"/>
                <w:szCs w:val="18"/>
              </w:rPr>
            </w:pPr>
            <w:r w:rsidRPr="002737CB">
              <w:rPr>
                <w:iCs/>
                <w:color w:val="363735" w:themeColor="accent3"/>
                <w:sz w:val="20"/>
                <w:szCs w:val="18"/>
              </w:rPr>
              <w:t>131,24</w:t>
            </w:r>
          </w:p>
        </w:tc>
        <w:tc>
          <w:tcPr>
            <w:tcW w:w="1058" w:type="dxa"/>
            <w:shd w:val="clear" w:color="auto" w:fill="auto"/>
            <w:noWrap/>
            <w:vAlign w:val="center"/>
            <w:hideMark/>
          </w:tcPr>
          <w:p w:rsidR="003F2B0C" w:rsidRPr="002737CB" w:rsidRDefault="003F2B0C" w:rsidP="0084338D">
            <w:pPr>
              <w:spacing w:line="276" w:lineRule="auto"/>
              <w:rPr>
                <w:iCs/>
                <w:color w:val="363735" w:themeColor="accent3"/>
                <w:sz w:val="20"/>
                <w:szCs w:val="18"/>
              </w:rPr>
            </w:pPr>
            <w:r w:rsidRPr="002737CB">
              <w:rPr>
                <w:iCs/>
                <w:color w:val="363735" w:themeColor="accent3"/>
                <w:sz w:val="20"/>
                <w:szCs w:val="18"/>
              </w:rPr>
              <w:t>133,87</w:t>
            </w:r>
          </w:p>
        </w:tc>
        <w:tc>
          <w:tcPr>
            <w:tcW w:w="1058" w:type="dxa"/>
            <w:shd w:val="clear" w:color="auto" w:fill="auto"/>
            <w:noWrap/>
            <w:vAlign w:val="center"/>
            <w:hideMark/>
          </w:tcPr>
          <w:p w:rsidR="003F2B0C" w:rsidRPr="002737CB" w:rsidRDefault="003F2B0C" w:rsidP="0084338D">
            <w:pPr>
              <w:spacing w:line="276" w:lineRule="auto"/>
              <w:rPr>
                <w:iCs/>
                <w:color w:val="363735" w:themeColor="accent3"/>
                <w:sz w:val="20"/>
                <w:szCs w:val="18"/>
              </w:rPr>
            </w:pPr>
            <w:r w:rsidRPr="002737CB">
              <w:rPr>
                <w:iCs/>
                <w:color w:val="363735" w:themeColor="accent3"/>
                <w:sz w:val="20"/>
                <w:szCs w:val="18"/>
              </w:rPr>
              <w:t>143,13</w:t>
            </w:r>
          </w:p>
        </w:tc>
        <w:tc>
          <w:tcPr>
            <w:tcW w:w="1060" w:type="dxa"/>
            <w:shd w:val="clear" w:color="auto" w:fill="auto"/>
            <w:noWrap/>
            <w:vAlign w:val="center"/>
            <w:hideMark/>
          </w:tcPr>
          <w:p w:rsidR="003F2B0C" w:rsidRPr="002737CB" w:rsidRDefault="003F2B0C" w:rsidP="0084338D">
            <w:pPr>
              <w:spacing w:line="276" w:lineRule="auto"/>
              <w:rPr>
                <w:iCs/>
                <w:color w:val="363735" w:themeColor="accent3"/>
                <w:sz w:val="20"/>
                <w:szCs w:val="18"/>
              </w:rPr>
            </w:pPr>
            <w:r w:rsidRPr="002737CB">
              <w:rPr>
                <w:iCs/>
                <w:color w:val="363735" w:themeColor="accent3"/>
                <w:sz w:val="20"/>
                <w:szCs w:val="18"/>
              </w:rPr>
              <w:t>160,48</w:t>
            </w:r>
          </w:p>
        </w:tc>
      </w:tr>
    </w:tbl>
    <w:p w:rsidR="003F2B0C" w:rsidRPr="002737CB" w:rsidRDefault="003F2B0C" w:rsidP="003F2B0C">
      <w:pPr>
        <w:spacing w:line="276" w:lineRule="auto"/>
        <w:rPr>
          <w:iCs/>
          <w:color w:val="363735" w:themeColor="accent3"/>
          <w:sz w:val="20"/>
          <w:szCs w:val="18"/>
        </w:rPr>
      </w:pPr>
      <w:r w:rsidRPr="002737CB">
        <w:rPr>
          <w:iCs/>
          <w:color w:val="363735" w:themeColor="accent3"/>
          <w:sz w:val="20"/>
          <w:szCs w:val="18"/>
        </w:rPr>
        <w:t xml:space="preserve">Źródło: opracowanie własne na podstawie GUS BDL, </w:t>
      </w:r>
      <w:r>
        <w:rPr>
          <w:iCs/>
          <w:color w:val="363735" w:themeColor="accent3"/>
          <w:sz w:val="20"/>
          <w:szCs w:val="18"/>
        </w:rPr>
        <w:t>dostęp</w:t>
      </w:r>
      <w:r w:rsidRPr="002737CB">
        <w:rPr>
          <w:iCs/>
          <w:color w:val="363735" w:themeColor="accent3"/>
          <w:sz w:val="20"/>
          <w:szCs w:val="18"/>
        </w:rPr>
        <w:t xml:space="preserve"> 30.01.2025</w:t>
      </w:r>
    </w:p>
    <w:p w:rsidR="003F2B0C" w:rsidRPr="006501C3" w:rsidRDefault="003F2B0C" w:rsidP="003F2B0C">
      <w:r w:rsidRPr="006501C3">
        <w:t xml:space="preserve">W zakresie analizy jakościowej należy wskazać, że wszystkie porównywane obszary funkcjonalne zarówno krajowe jak i </w:t>
      </w:r>
      <w:r>
        <w:t xml:space="preserve">europejskie posiadają porty lotnicze, linie kolejowe przebiegające przez obszary są </w:t>
      </w:r>
      <w:r w:rsidRPr="003A578F">
        <w:t>rangi międzynarodowej, państwowej i lokalnej</w:t>
      </w:r>
      <w:r>
        <w:t xml:space="preserve">, wszystkie obszary są skomunikowane drogami krajowymi, powiatowymi i gminnymi. Poniżej przedstawiono charakterystykę opisową każdego z obszarów funkcjonalnych.  </w:t>
      </w:r>
    </w:p>
    <w:p w:rsidR="003F2B0C" w:rsidRPr="00EA753F" w:rsidRDefault="003F2B0C" w:rsidP="003F2B0C">
      <w:pPr>
        <w:rPr>
          <w:b/>
          <w:bCs/>
          <w:color w:val="FFC000"/>
        </w:rPr>
      </w:pPr>
      <w:r w:rsidRPr="00EA753F">
        <w:rPr>
          <w:b/>
          <w:bCs/>
          <w:color w:val="FFC000"/>
        </w:rPr>
        <w:t>Wrocławski Obszar Funkcjonalny</w:t>
      </w:r>
    </w:p>
    <w:p w:rsidR="003F2B0C" w:rsidRDefault="003F2B0C" w:rsidP="003F2B0C">
      <w:r w:rsidRPr="00333EB6">
        <w:t>Przez Wrocławski Obszar Funkcjonalny przebiegają</w:t>
      </w:r>
      <w:r>
        <w:t xml:space="preserve"> cztery drogi będące elementami tras włączonych w europejską sieć dróg: autostrada A4 i A8 (stanowi Autostradową Obwodnicę Wrocławia) oraz drogi ekspresowe S86 i S57. Sieć połączeń kolejowych na terenie </w:t>
      </w:r>
      <w:proofErr w:type="spellStart"/>
      <w:r>
        <w:t>WrOF</w:t>
      </w:r>
      <w:proofErr w:type="spellEnd"/>
      <w:r>
        <w:t xml:space="preserve"> stanowią linie rangi międzynarodowej, państwowej i lokalnej. Największa liczba linii kolejowych przebiega przez terytorium Wrocławia (12 linii), Siechnic (4 linie), Oleśnic (gmina miejska i wiejska – 3 linie łącznie), pozostałe gminy posiadają dwie lub jedną linie kolejową. Wyjątek stanowi Zawonia, na terenie której nie ma infrastruktury kolejowej. Przez teren </w:t>
      </w:r>
      <w:proofErr w:type="spellStart"/>
      <w:r>
        <w:t>WrOF</w:t>
      </w:r>
      <w:proofErr w:type="spellEnd"/>
      <w:r>
        <w:t xml:space="preserve"> przebiegają następujące linie kolejowe: 132, 143, 181, 271, 273, 274, 275, 276, 277, 281, 285, 292,310, 326 i 349, z czego większość z nich (wyjątek </w:t>
      </w:r>
      <w:r>
        <w:lastRenderedPageBreak/>
        <w:t xml:space="preserve">stanowią linie o numerach: 181 i 281) rozpoczyna się lub kończy we Wrocławiu oraz wchodzi w skład Wrocławskiego Węzła Kolejowego. Wrocławski Węzeł Kolejowy jest punktem, w którym skupiają się linie kolejowe z kierunku m.in. Kobierzyc, Legnicy, Głogowa, Oleśnicy czy Opola. Ponadto linie kolejowe nr 132, 271, 273, 275, 276 i 277 przebiegające przez terytorium </w:t>
      </w:r>
      <w:proofErr w:type="spellStart"/>
      <w:r>
        <w:t>WrOF</w:t>
      </w:r>
      <w:proofErr w:type="spellEnd"/>
      <w:r>
        <w:t xml:space="preserve"> wchodzą w skład Transeuropejskiej Sieci Transportowej (</w:t>
      </w:r>
      <w:proofErr w:type="spellStart"/>
      <w:r>
        <w:t>TEN-T</w:t>
      </w:r>
      <w:proofErr w:type="spellEnd"/>
      <w:r>
        <w:t xml:space="preserve">), która poza liniami kolejowymi obejmuje również szlaki drogowe, lotnicze, morskie i rzeczne, jak również porty (morskie, lotnicze, śródlądowe) oraz terminale drogowo-kolejowe. Na obszarze znajduje się również lotnisko. </w:t>
      </w:r>
      <w:r w:rsidRPr="00333EB6">
        <w:t xml:space="preserve">Port Lotniczy Wrocław im. Mikołaja Kopernika, jest międzynarodowym portem lotniczym położonym około 10 km na zachód od centrum Wrocławia, </w:t>
      </w:r>
      <w:r>
        <w:t>na osiedlu</w:t>
      </w:r>
      <w:r w:rsidRPr="00333EB6">
        <w:t xml:space="preserve"> </w:t>
      </w:r>
      <w:proofErr w:type="spellStart"/>
      <w:r w:rsidRPr="00333EB6">
        <w:t>Strachowice</w:t>
      </w:r>
      <w:proofErr w:type="spellEnd"/>
      <w:r w:rsidRPr="00333EB6">
        <w:t>. Lotnisko posiada jeden terminal pasażerski, terminal lotnictwa ogólnego oraz terminal cargo</w:t>
      </w:r>
      <w:r>
        <w:t xml:space="preserve">. </w:t>
      </w:r>
    </w:p>
    <w:p w:rsidR="003F2B0C" w:rsidRDefault="003F2B0C" w:rsidP="003F2B0C">
      <w:r>
        <w:t xml:space="preserve">Długoletnim dokumentem strategicznym, który ma na celu poprawę funkcjonowania transportu publicznego i innych rodzajów mobilności na obszarach miejskich i innych obszarach funkcjonalnych są Plany </w:t>
      </w:r>
      <w:r w:rsidRPr="00BD4D1B">
        <w:t>Zrównoważonej Mobilności Miejskiej (SUMP)</w:t>
      </w:r>
      <w:r>
        <w:t xml:space="preserve">. Komisja Europejska zaleca aby wszystkie ośrodki miejskie niezależnie od wielkości posiadały takie plany. </w:t>
      </w:r>
      <w:proofErr w:type="spellStart"/>
      <w:r>
        <w:t>SUMP-em</w:t>
      </w:r>
      <w:proofErr w:type="spellEnd"/>
      <w:r>
        <w:t xml:space="preserve"> wpływającym na rozwój mobilności na obszarze całego </w:t>
      </w:r>
      <w:proofErr w:type="spellStart"/>
      <w:r>
        <w:t>WrOF</w:t>
      </w:r>
      <w:proofErr w:type="spellEnd"/>
      <w:r>
        <w:t xml:space="preserve"> jest </w:t>
      </w:r>
      <w:r w:rsidRPr="00EA753F">
        <w:rPr>
          <w:b/>
          <w:bCs/>
        </w:rPr>
        <w:t>Plan Zrównoważonej Mobilności dla Miejskiego Obszaru Funkcjonalnego Wrocławia</w:t>
      </w:r>
      <w:r>
        <w:t>. Został on opracowany w wyniku zawartego 21 października 2020 r. Porozumienia międzygminnego w sprawie powierzenia Gminie Wrocław zadania publicznego i ustalenia zasad współpracy w zakresie opracowania dokumentu pn. „Plan Zrównoważonej Mobilności dla Miejskiego Obszaru Funkcjonalnego Wrocławia”. Swoim zasięgiem Plan mobilności obejmuje więcej gmin niż te wchodzące w skład Wrocławskiego Obszaru Funkcjonalnego.</w:t>
      </w:r>
    </w:p>
    <w:p w:rsidR="003F2B0C" w:rsidRDefault="003F2B0C" w:rsidP="003F2B0C">
      <w:r>
        <w:t xml:space="preserve">W granicach obszaru wyznaczono trzy pierścienie (ringi) otaczające miasto-rdzeń (Wrocław). W pierwszym ringu znalazły się gminy bezpośrednio sąsiadujące z Wrocławiem (który stanowią gminy wiejskie: Czernica, Długołęka, Kobierzyce, Miękinia, Wisznia Mała, Żórawina oraz części wiejskie gmin miejsko-wiejskich: Kąty Wrocławskie, Oborniki Śląskie, Siechnice – jednostki te wykazują bardzo silne powiązania z Wrocławiem, w szczególności w zakresie codziennych dojazdów do miejsc pracy i placówek oświatowych oraz odznaczają się podobną dostępnością czasową do Wrocławia), w drugim – gminy satelickie miasta Wrocławia wraz ze swoim otoczeniem (gminy wiejskie: Borów, Dobroszyce, Domaniów, Dziadowa Kłoda, Jordanów Śląski, Kostomłoty, Krośnice, Malczyce, Mietków, Oleśnica, Oława, Przeworno, Zawonia oraz części wiejskie gmin miejsko-wiejskich: Bierutów, Brzeg Dolny, Jelcz-Laskowice, Międzybórz, Prusice, Strzelin, Sobótka, Syców, Środa Śląska, Trzebnica, Wołów, Żmigród –  jednostki te znajdują się w zasięgu oddziaływania Wrocławia), w trzecim zaś – gminy pozostałego obszaru subregionu wrocławskiego (gminy miejskie: Brzeg, Oleśnica, Oława oraz części miejskie gmin miejsko-wiejskich: Bierutów, Brzeg Dolny, Jelcz-Laskowice, Kąty Wrocławskie, Międzybórz, Oborniki Śląskie, Prusice, Siechnice, Sobótka, Strzelin, Syców, Środa Śląska, Trzebnica, Wołów, Żmigród, które są </w:t>
      </w:r>
      <w:r>
        <w:lastRenderedPageBreak/>
        <w:t>istotnymi ośrodkami społeczno- gospodarczymi, z wykształconą strukturą miejską oraz stanowią centra funkcjonalne dla jednostek znajdujących się w ich otoczeniu). Mimo wprowadzonego podziału, wszystkie ośrodki powinny rozwijać się w sposób zrównoważony z uwzględnieniem współpracy na rzecz poprawy jakości życia mieszkańców.</w:t>
      </w:r>
    </w:p>
    <w:p w:rsidR="003F2B0C" w:rsidRDefault="003F2B0C" w:rsidP="003F2B0C">
      <w:r>
        <w:t xml:space="preserve">Wizje dla obszaru sformułowano w następujący sposób: </w:t>
      </w:r>
      <w:r w:rsidRPr="0056663F">
        <w:t>Miejski Obszar Funkcjonalny Wrocławia obszarem wdrażania efektywnych rozwiązań w zakresie integracji polityki przestrzennej i</w:t>
      </w:r>
      <w:r>
        <w:t> </w:t>
      </w:r>
      <w:r w:rsidRPr="0056663F">
        <w:t>transportowej</w:t>
      </w:r>
      <w:r>
        <w:t xml:space="preserve">. Osiągnięciu wizji maja służyć trzy cele nadrzędne: A. </w:t>
      </w:r>
      <w:r w:rsidRPr="0056663F">
        <w:t>Harmonizacja struktur zarządzania</w:t>
      </w:r>
      <w:r>
        <w:t>,</w:t>
      </w:r>
      <w:r w:rsidRPr="0056663F">
        <w:t xml:space="preserve"> B.</w:t>
      </w:r>
      <w:r>
        <w:t xml:space="preserve"> </w:t>
      </w:r>
      <w:r w:rsidRPr="0056663F">
        <w:t>Optymalizacja przestrzenna</w:t>
      </w:r>
      <w:r>
        <w:t>,</w:t>
      </w:r>
      <w:r w:rsidRPr="0056663F">
        <w:t xml:space="preserve"> C. Poprawa dostępności transportowej</w:t>
      </w:r>
      <w:r>
        <w:t xml:space="preserve">, którym wyznaczono </w:t>
      </w:r>
      <w:r w:rsidRPr="0056663F">
        <w:t>horyzont czasowy roku 2035</w:t>
      </w:r>
      <w:r>
        <w:t xml:space="preserve">. Dokument kładzie więc nacisk na rozwój transportu zbiorowego, zwiększenie przemieszczania niezmotoryzowanego, zero i niskoemisyjność transportu.  </w:t>
      </w:r>
    </w:p>
    <w:p w:rsidR="003F2B0C" w:rsidRDefault="003F2B0C" w:rsidP="003F2B0C">
      <w:pPr>
        <w:spacing w:after="160" w:line="259" w:lineRule="auto"/>
        <w:jc w:val="left"/>
        <w:rPr>
          <w:b/>
          <w:bCs/>
          <w:color w:val="FFC000"/>
        </w:rPr>
      </w:pPr>
      <w:r>
        <w:rPr>
          <w:b/>
          <w:bCs/>
          <w:color w:val="FFC000"/>
        </w:rPr>
        <w:br w:type="page"/>
      </w:r>
    </w:p>
    <w:p w:rsidR="003F2B0C" w:rsidRPr="00EA753F" w:rsidRDefault="003F2B0C" w:rsidP="003F2B0C">
      <w:pPr>
        <w:rPr>
          <w:b/>
          <w:bCs/>
          <w:color w:val="FFC000"/>
        </w:rPr>
      </w:pPr>
      <w:r w:rsidRPr="00EA753F">
        <w:rPr>
          <w:b/>
          <w:bCs/>
          <w:color w:val="FFC000"/>
        </w:rPr>
        <w:lastRenderedPageBreak/>
        <w:t>Metropolia Krakowska</w:t>
      </w:r>
    </w:p>
    <w:p w:rsidR="003F2B0C" w:rsidRDefault="003F2B0C" w:rsidP="003F2B0C">
      <w:r>
        <w:t xml:space="preserve">Przez obszar metropolii przebiega odcinek autostrady A4 oraz drogi ekspresowej S7. Transport lotniczy zapewnia Lotnisko Krakowskie, które obsługuje zarówno rejsy pasażerskiej jak i CARGO. </w:t>
      </w:r>
    </w:p>
    <w:p w:rsidR="003F2B0C" w:rsidRPr="00AA6E6C" w:rsidRDefault="003F2B0C" w:rsidP="003F2B0C">
      <w:r w:rsidRPr="0079012D">
        <w:t xml:space="preserve">Obsługa transportowa całości obszaru Metropolii Krakowskiej i jej Obszaru Funkcjonalnego opiera się na roli kolei aglomeracyjnej i regionalnej jako szkieletu systemu transportowego pełniącego istotną rolę w przemieszczeniach wewnątrz całego obszaru funkcjonalnego. Miejscowości nieposiadające bezpośredniego dostępu do kolei obsługiwane są poprzez przyspieszone linie autobusowe w relacji do Miasta Krakowa oraz linie dowozowe do węzłów przesiadkowych umożliwiających zmianę środka transportu na kolej lub tramwaj oraz linie zwykłe, które obsługują mniejsze miejscowości. Całość systemu uzupełniona jest o połączenia poprzeczne pomiędzy lokalnymi centrami gmin z pominięciem Miasta Krakowa. </w:t>
      </w:r>
      <w:r>
        <w:t xml:space="preserve">Powiązania zewnętrzne obszaru Metropolii Krakowskiej w relacji do gmin z Obszaru Funkcjonalnego Metropolii Krakowskiej opierają się na kontynuacji i znaczeniu systemu Szybkiej Kolei Aglomeracyjnej i kolei regionalnej z dominującą rolą węzłów przesiadkowych z parkingami „Parkuj i Jedź” wraz z perspektywicznymi kierunkami rozwoju systemu transportu szynowego. </w:t>
      </w:r>
      <w:r w:rsidRPr="00AA6E6C">
        <w:t xml:space="preserve">Uzupełnienie systemu stanowią organizowane przez Województwo Małopolskie Autobusowe Linie Dowozowe oraz system przewoźników prywatnych. </w:t>
      </w:r>
    </w:p>
    <w:p w:rsidR="003F2B0C" w:rsidRDefault="003F2B0C" w:rsidP="003F2B0C">
      <w:r w:rsidRPr="00AA6E6C">
        <w:t xml:space="preserve">Głównym dokumentem określającym rozwój transportu na obszarze Metropolii Krakowskiej jest </w:t>
      </w:r>
      <w:r>
        <w:t xml:space="preserve">również </w:t>
      </w:r>
      <w:r w:rsidRPr="00AA6E6C">
        <w:t>Plan Zrównoważonej Mobilności Metropolii Krakowskiej i jej Obszaru Funkcjonalnego,</w:t>
      </w:r>
      <w:r>
        <w:t xml:space="preserve"> którym objęte zostały: Gmina Miejska Kraków (jako rdzeń) i gminy Metropolii Krakowskiej jako obszar bezpośredniego wdrażania założeń SUMP i ugruntowanej współpracy terytorialnej (gminy Biskupice, Czernichów, Igołomia-Wawrzeńczyce, Kocmyrzów-Luborzyca, Liszki, Michałowice, Mogilany, Niepołomice, Skawina, Świątniki Górne, Wieliczka, Wielka Wieś, Zabierzów, Zielonki), gminy Obszaru Funkcjonalnego Metropolii Krakowskiej jako obszaru oddziaływania (gminy Alwernia, Brzeźnica, Dobczyce, Drwinia, Gdów, Iwanowice, Jerzmanowice-Przeginia, Kalwaria Zebrzydowska, Koniusza, Krzeszowice, Lanckorona, Myślenice, Nowe Brzesko, Proszowice, Siepraw, Skała, Słomniki, Spytkowice, Sułkowice, Sułoszowa).</w:t>
      </w:r>
    </w:p>
    <w:p w:rsidR="003F2B0C" w:rsidRDefault="003F2B0C" w:rsidP="003F2B0C">
      <w:r w:rsidRPr="0079012D">
        <w:t xml:space="preserve">Wizja </w:t>
      </w:r>
      <w:r>
        <w:t xml:space="preserve">rozwoju mobilności </w:t>
      </w:r>
      <w:r w:rsidRPr="0079012D">
        <w:t>została zaplanowana do roku 2033 z perspektywą do roku 2045</w:t>
      </w:r>
      <w:r>
        <w:t xml:space="preserve"> i sformułowano ją w następujący sposób:</w:t>
      </w:r>
    </w:p>
    <w:p w:rsidR="003F2B0C" w:rsidRPr="0056663F" w:rsidRDefault="003F2B0C" w:rsidP="003F2B0C">
      <w:r>
        <w:t xml:space="preserve">Metropolia Krakowska obszarem zintegrowanego i zrównoważonego systemu transportowego zapewniającego bezpieczeństwo wszystkim uczestnikom ruchu, służącego kreowaniu lepszej jakości życia mieszkańców i współtworzonego przy ich udziale. </w:t>
      </w:r>
      <w:r w:rsidRPr="0056663F">
        <w:rPr>
          <w:color w:val="000000" w:themeColor="text1"/>
        </w:rPr>
        <w:t>Wdrażanie polityki ukierunkowanej na realizację potrzeb mieszkańców w pobliżu ich miejsca zamieszkania oraz zapewnienia wysokiej jakości dostępu do miejsc zatrudnienia, edukacji, ochrony zdrowia i</w:t>
      </w:r>
      <w:r>
        <w:rPr>
          <w:color w:val="000000" w:themeColor="text1"/>
        </w:rPr>
        <w:t> </w:t>
      </w:r>
      <w:r w:rsidRPr="0056663F">
        <w:rPr>
          <w:color w:val="000000" w:themeColor="text1"/>
        </w:rPr>
        <w:t xml:space="preserve">wypoczynku. Polityka wdrażana poprzez </w:t>
      </w:r>
      <w:r w:rsidRPr="0056663F">
        <w:rPr>
          <w:color w:val="000000" w:themeColor="text1"/>
        </w:rPr>
        <w:lastRenderedPageBreak/>
        <w:t>system międzygminnych powiązań transportowych i</w:t>
      </w:r>
      <w:r>
        <w:rPr>
          <w:color w:val="000000" w:themeColor="text1"/>
        </w:rPr>
        <w:t> </w:t>
      </w:r>
      <w:r w:rsidRPr="0056663F">
        <w:rPr>
          <w:color w:val="000000" w:themeColor="text1"/>
        </w:rPr>
        <w:t>przestrzennych stanowi podstawę do poprawy możliwości rozwoju mieszkańców Metropolii Krakowskiej przy poszanowaniu zasad ochrony środowiska naturalnego oraz dążenia do osiągnięcia celu neutralności klimatycznej.</w:t>
      </w:r>
    </w:p>
    <w:p w:rsidR="003F2B0C" w:rsidRDefault="003F2B0C" w:rsidP="003F2B0C">
      <w:r>
        <w:t>Główne cele wyznaczono w ramach 5 obszarów: Przestrzeni, Infrastruktury, Bezpieczeństwa, Informacji i Logistyki. Obecnie obszar boryka się z rozproszeniem kompetencji oraz odpowiedzialności w zakresie zarządzania transportem. Na poziomie ponadlokalnym brakuje stale aktualizowanych, rzetelnych analiz i danych dotyczących całego systemu transportowego.</w:t>
      </w:r>
    </w:p>
    <w:p w:rsidR="003F2B0C" w:rsidRDefault="003F2B0C" w:rsidP="003F2B0C">
      <w:pPr>
        <w:rPr>
          <w:b/>
          <w:bCs/>
          <w:color w:val="FFC000"/>
        </w:rPr>
      </w:pPr>
      <w:r>
        <w:rPr>
          <w:b/>
          <w:bCs/>
          <w:color w:val="FFC000"/>
        </w:rPr>
        <w:t>Metropolia Poznań</w:t>
      </w:r>
    </w:p>
    <w:p w:rsidR="003F2B0C" w:rsidRDefault="003F2B0C" w:rsidP="003F2B0C">
      <w:r>
        <w:t>Przez Metropolię Poznań przebiega autostrada A2 w relacji Świecko– Jordanowo (Świebodzin)–</w:t>
      </w:r>
      <w:proofErr w:type="spellStart"/>
      <w:r>
        <w:t>Konin–Stryków–Warszawa–Siedlce–Biała</w:t>
      </w:r>
      <w:proofErr w:type="spellEnd"/>
      <w:r>
        <w:t xml:space="preserve"> </w:t>
      </w:r>
      <w:proofErr w:type="spellStart"/>
      <w:r>
        <w:t>Podlaska–Kukuryki</w:t>
      </w:r>
      <w:proofErr w:type="spellEnd"/>
      <w:r>
        <w:t>. Drugą drogą międzynarodową przebiegająca przez Metropolię Poznania jest droga ekspresowa S5 w relacji Świecie (w. Nowe Marzy)–</w:t>
      </w:r>
      <w:proofErr w:type="spellStart"/>
      <w:r>
        <w:t>Bydgoszcz–Gniezno–Poznań–Wrocław</w:t>
      </w:r>
      <w:proofErr w:type="spellEnd"/>
      <w:r>
        <w:t xml:space="preserve">, droga ta stanowi fragment polskiej drogi S5. Przez analizowany obszar przebiega jeden transeuropejski korytarz sieci drogowej: Morze </w:t>
      </w:r>
      <w:proofErr w:type="spellStart"/>
      <w:r>
        <w:t>Północne–Morze</w:t>
      </w:r>
      <w:proofErr w:type="spellEnd"/>
      <w:r>
        <w:t xml:space="preserve"> Bałtyckie. Oprócz dróg międzynarodowych istotne są również połączenia drogowe o znaczeniu krajowym, które tworzą na analizowanym obszarze odpowiednio–A2 (stanowiąca południową obwodnicę Poznania; ponadto przebiega ona przez pięć województw: lubuskie, wielkopolskie, łódzkie, mazowieckie oraz lubelskie); S5 (łączy ze sobą jedne z największych aglomeracji miejskich w Polsce, tj. Trójmiasto, aglomerację bydgoską, poznańską, wrocławską oraz wałbrzyską i przebiega przez województwa: kujawsko-pomorskie, wielkopolski oraz dolnośląskie, kończąc swój bieg na granicy z Czechami w Lubawce), S11 (stanowiąca zachodnią obwodnicę Poznania, która przebiega przez województwa: zachodniopomorskie, wielkopolskie, opolskie oraz śląskie), DK 32 (lokalnie pełni funkcję obwodnic dla miast, przez które przebiega. Łączy aglomeracje poznańską i zielonogórską oraz prowadzi do granicy polsko-niemiecką), DK 92 (łączy cztery województwa: lubuskie, wielkopolskie, łódzkie oraz mazowieckie).</w:t>
      </w:r>
    </w:p>
    <w:p w:rsidR="003F2B0C" w:rsidRDefault="003F2B0C" w:rsidP="003F2B0C">
      <w:r w:rsidRPr="00EF3290">
        <w:t>Na terenie Metropolii Poznań działa jeden międzynarodowy port lotniczy – Port Lotniczy Poznań-Ławica im. Henryka Wieniawskiego</w:t>
      </w:r>
      <w:r>
        <w:t xml:space="preserve">. </w:t>
      </w:r>
      <w:r w:rsidRPr="00EF3290">
        <w:t>Port lotniczy mieści się w zachodniej części miasta Poznania, około 7 km na zachód od centrum Poznania.</w:t>
      </w:r>
    </w:p>
    <w:p w:rsidR="003F2B0C" w:rsidRDefault="003F2B0C" w:rsidP="003F2B0C">
      <w:r w:rsidRPr="00D11B9D">
        <w:t>Obszar Metropolii Poznań</w:t>
      </w:r>
      <w:r>
        <w:t xml:space="preserve"> również</w:t>
      </w:r>
      <w:r w:rsidRPr="00D11B9D">
        <w:t xml:space="preserve"> objęty jest Planem Zrównoważonej Mobilności do 2040 roku. </w:t>
      </w:r>
      <w:r>
        <w:t xml:space="preserve">W ramach polityki </w:t>
      </w:r>
      <w:proofErr w:type="spellStart"/>
      <w:r>
        <w:t>mobilnościowej</w:t>
      </w:r>
      <w:proofErr w:type="spellEnd"/>
      <w:r>
        <w:t xml:space="preserve"> obszar zdefiniował dwa cele horyzontalne : Poprawa dostępności do transportu publicznego i zrównoważone planowanie przestrzenne oraz Bezpieczeństwo ruchu drogowego i świadome społeczeństwo. Transport kolejowy uznano za podstawę publicznego transportu zbiorowego, zaś komunikacje tramwajową za podstawowy środek transportu na obszarze rdzenia Metropolii. Autobusy maja być uzupełnieniem systemu kolejowego i tramwajowego. </w:t>
      </w:r>
    </w:p>
    <w:p w:rsidR="003F2B0C" w:rsidRDefault="003F2B0C" w:rsidP="003F2B0C">
      <w:r w:rsidRPr="00400375">
        <w:lastRenderedPageBreak/>
        <w:t xml:space="preserve">Sieć połączeń kolejowych na terenie Metropolii Poznań stanowią linie rangi międzynarodowej, państwowej i lokalnej. Przez </w:t>
      </w:r>
      <w:r>
        <w:t>Metropolię</w:t>
      </w:r>
      <w:r w:rsidRPr="00400375">
        <w:t xml:space="preserve"> przebiegają dwa transeuropejskie korytarze sieci kolejowej: Morze </w:t>
      </w:r>
      <w:proofErr w:type="spellStart"/>
      <w:r w:rsidRPr="00400375">
        <w:t>Bałtyckie–Morze</w:t>
      </w:r>
      <w:proofErr w:type="spellEnd"/>
      <w:r w:rsidRPr="00400375">
        <w:t xml:space="preserve"> Adriatyckie oraz Morze </w:t>
      </w:r>
      <w:proofErr w:type="spellStart"/>
      <w:r w:rsidRPr="00400375">
        <w:t>Północne–Morze</w:t>
      </w:r>
      <w:proofErr w:type="spellEnd"/>
      <w:r w:rsidRPr="00400375">
        <w:t xml:space="preserve"> Bałtyckie.</w:t>
      </w:r>
      <w:r>
        <w:t xml:space="preserve"> Istotne dla rozwoju obszaru są zwłaszcza trzy linie nr: </w:t>
      </w:r>
      <w:r w:rsidRPr="00400375">
        <w:t xml:space="preserve">3 Warszawa </w:t>
      </w:r>
      <w:proofErr w:type="spellStart"/>
      <w:r w:rsidRPr="00400375">
        <w:t>Zachodnia–Kunowice</w:t>
      </w:r>
      <w:proofErr w:type="spellEnd"/>
      <w:r w:rsidRPr="00400375">
        <w:t xml:space="preserve">, 271 Wrocław </w:t>
      </w:r>
      <w:proofErr w:type="spellStart"/>
      <w:r w:rsidRPr="00400375">
        <w:t>Główny–Poznań</w:t>
      </w:r>
      <w:proofErr w:type="spellEnd"/>
      <w:r w:rsidRPr="00400375">
        <w:t xml:space="preserve"> Główny oraz 351 Poznań </w:t>
      </w:r>
      <w:proofErr w:type="spellStart"/>
      <w:r w:rsidRPr="00400375">
        <w:t>Główny–Szczecin</w:t>
      </w:r>
      <w:proofErr w:type="spellEnd"/>
      <w:r w:rsidRPr="00400375">
        <w:t xml:space="preserve"> Główny.</w:t>
      </w:r>
      <w:r>
        <w:t xml:space="preserve"> </w:t>
      </w:r>
      <w:r w:rsidRPr="00400375">
        <w:t>Metropolia jest dobrze skomunikowana połączeniami kolejowymi z głównymi ośrodkami krajowymi: Wrocławiem, Warszawą, Szczecinem, Krakowem, Bydgoszczą, Gdańskiem, Katowicami, Łodzią, Rzeszowem i</w:t>
      </w:r>
      <w:r>
        <w:t> </w:t>
      </w:r>
      <w:r w:rsidRPr="00400375">
        <w:t>Olsztynem</w:t>
      </w:r>
      <w:r>
        <w:t xml:space="preserve">, z ośrodków międzynarodowych z Berlinem. </w:t>
      </w:r>
      <w:r w:rsidRPr="00EF3290">
        <w:t>Transport tramwajowy w Metropolii działa tylko na terenie miasta Poznań.</w:t>
      </w:r>
      <w:r>
        <w:t xml:space="preserve"> </w:t>
      </w:r>
      <w:r w:rsidRPr="00EF3290">
        <w:t>Wyjątkowym w skali kraju rozwiązaniem jest Poznański Szybki Tramwaj, który był pierwszą nowoczesną trasą szybkiego tramwaju w Polsce</w:t>
      </w:r>
      <w:r>
        <w:t xml:space="preserve">, </w:t>
      </w:r>
      <w:r w:rsidRPr="00EF3290">
        <w:t>bezkolizyjn</w:t>
      </w:r>
      <w:r>
        <w:t>ą</w:t>
      </w:r>
      <w:r w:rsidRPr="00EF3290">
        <w:t xml:space="preserve"> tras</w:t>
      </w:r>
      <w:r>
        <w:t>ą</w:t>
      </w:r>
      <w:r w:rsidRPr="00EF3290">
        <w:t xml:space="preserve"> tramwajow</w:t>
      </w:r>
      <w:r>
        <w:t>ą</w:t>
      </w:r>
      <w:r w:rsidRPr="00EF3290">
        <w:t xml:space="preserve"> o niewielkiej liczbie przystanków rozmieszczonych co ok. 1000 m</w:t>
      </w:r>
      <w:r>
        <w:t>.</w:t>
      </w:r>
    </w:p>
    <w:p w:rsidR="003F2B0C" w:rsidRPr="004144B0" w:rsidRDefault="003F2B0C" w:rsidP="003F2B0C">
      <w:pPr>
        <w:rPr>
          <w:b/>
          <w:bCs/>
          <w:color w:val="FFC000"/>
        </w:rPr>
      </w:pPr>
      <w:r w:rsidRPr="004144B0">
        <w:rPr>
          <w:b/>
          <w:bCs/>
          <w:color w:val="FFC000"/>
        </w:rPr>
        <w:t>Brneński Obszar Metropolitalny</w:t>
      </w:r>
    </w:p>
    <w:p w:rsidR="003F2B0C" w:rsidRDefault="003F2B0C" w:rsidP="003F2B0C">
      <w:r w:rsidRPr="00355C5D">
        <w:t>Brneński Obszar Metropolitalny</w:t>
      </w:r>
      <w:r>
        <w:t xml:space="preserve"> jest zlokalizowany poza głównymi europejskimi ośrodkami gospodarczymi, ale leży na dwóch europejskich korytarzach transportowych. Z globalnego punktu widzenia lokalizację tę można określić jako peryferyjną, ale ważna jest bliskość Pragi, Wiednia i Bratysławy.</w:t>
      </w:r>
    </w:p>
    <w:p w:rsidR="003F2B0C" w:rsidRDefault="003F2B0C" w:rsidP="003F2B0C">
      <w:r>
        <w:t xml:space="preserve">Obszar metropolitalny Brna jest dobrze skomunikowany drogami, w tym autostradami i drogami ekspresowymi. Najważniejsze trasy to: D1: Autostrada łącząca Brno z Pragą i Ostrawą, D2: Autostrada prowadząca do Bratysławy oraz R43: Droga ekspresowa łącząca Brno z </w:t>
      </w:r>
      <w:proofErr w:type="spellStart"/>
      <w:r>
        <w:t>Vyškovem</w:t>
      </w:r>
      <w:proofErr w:type="spellEnd"/>
      <w:r>
        <w:t>.</w:t>
      </w:r>
    </w:p>
    <w:p w:rsidR="003F2B0C" w:rsidRPr="00893087" w:rsidRDefault="003F2B0C" w:rsidP="003F2B0C">
      <w:r w:rsidRPr="00893087">
        <w:t>Brno posiada rozbudowaną sieć kolejową, z połączeniami do wielu miast w Czechach i za granicą. Najważniejsze połączenia kolejowe obejmują</w:t>
      </w:r>
      <w:r>
        <w:t xml:space="preserve"> p</w:t>
      </w:r>
      <w:r w:rsidRPr="00893087">
        <w:t>ołączenia do Pragi, Ostrawy, Bratysławy oraz Wiednia.</w:t>
      </w:r>
      <w:r w:rsidR="00EB226C">
        <w:t xml:space="preserve"> </w:t>
      </w:r>
      <w:r w:rsidRPr="00893087">
        <w:t xml:space="preserve">Stacja główna w Brnie (Brno </w:t>
      </w:r>
      <w:proofErr w:type="spellStart"/>
      <w:r w:rsidRPr="00893087">
        <w:t>hlavnínádraží</w:t>
      </w:r>
      <w:proofErr w:type="spellEnd"/>
      <w:r w:rsidRPr="00893087">
        <w:t>) jest jednym z największych dworców kolejowych w Czechach.</w:t>
      </w:r>
    </w:p>
    <w:p w:rsidR="003F2B0C" w:rsidRDefault="003F2B0C" w:rsidP="003F2B0C">
      <w:r w:rsidRPr="00893087">
        <w:t xml:space="preserve">Najbliższe lotnisko to Lotnisko </w:t>
      </w:r>
      <w:proofErr w:type="spellStart"/>
      <w:r w:rsidRPr="00893087">
        <w:t>Brno-Tuřany</w:t>
      </w:r>
      <w:proofErr w:type="spellEnd"/>
      <w:r w:rsidRPr="00893087">
        <w:t>, które oferuje połączenia krajowe i międzynarodowe. Lotnisko znajduje się około 7 km na północny wschód od centrum miasta.</w:t>
      </w:r>
    </w:p>
    <w:p w:rsidR="003F2B0C" w:rsidRDefault="003F2B0C" w:rsidP="003F2B0C">
      <w:r>
        <w:t xml:space="preserve">Komunikacja autobusowa zapewnia regularne połączenia z głównymi większymi miastami w pobliżu metropolii (Praga, Wiedeń, Bratysława)oraz miastami Ukrainy i Polski. Transport kolejowy zapewnia połączenia z głównymi ośrodkami zachodnimi. Połączenia lotnicze ze światem zewnętrznym są ograniczone. Wykorzystywane są lotniska w Pradze, Wiedniu i Bratysławie. </w:t>
      </w:r>
      <w:r w:rsidRPr="00355C5D">
        <w:t xml:space="preserve">Brakuje połączeń z liniami dużych prędkości, połączeń autostradowych z Wiedniem oraz przepustowości autostrad w kierunku </w:t>
      </w:r>
      <w:r w:rsidR="00EB226C" w:rsidRPr="00355C5D">
        <w:t>Pragi</w:t>
      </w:r>
      <w:r w:rsidRPr="00355C5D">
        <w:t xml:space="preserve"> Bratysławy.</w:t>
      </w:r>
    </w:p>
    <w:p w:rsidR="003F2B0C" w:rsidRDefault="003F2B0C" w:rsidP="003F2B0C">
      <w:r w:rsidRPr="00355C5D">
        <w:t>W skali kraju brakuje połączeń autostradowych na północ, a ze względu na silne powiązania ze Słowacją brakuje połączeń autostradowych z</w:t>
      </w:r>
      <w:r>
        <w:t xml:space="preserve"> </w:t>
      </w:r>
      <w:r w:rsidRPr="00355C5D">
        <w:t>Trenczynem. Wręcz przeciwnie, połączenie z</w:t>
      </w:r>
      <w:r>
        <w:t> </w:t>
      </w:r>
      <w:r w:rsidRPr="00355C5D">
        <w:t xml:space="preserve">Ostrawą </w:t>
      </w:r>
      <w:r w:rsidRPr="00355C5D">
        <w:lastRenderedPageBreak/>
        <w:t xml:space="preserve">jest wystarczające. </w:t>
      </w:r>
      <w:r>
        <w:t xml:space="preserve">W ramach BMO można znaleźć miejsca o dobrej lokalizacji (Brno i gminy z dobrym dostępem do autostrady D1) oraz o złej lokalizacji pod względem połączenia z wyższą siecią dróg, a często także pod względem przepustowości i jakości drogi sieć - obszary krasu </w:t>
      </w:r>
      <w:proofErr w:type="spellStart"/>
      <w:r>
        <w:t>Tišnovsk</w:t>
      </w:r>
      <w:proofErr w:type="spellEnd"/>
      <w:r>
        <w:t xml:space="preserve">, </w:t>
      </w:r>
      <w:proofErr w:type="spellStart"/>
      <w:r>
        <w:t>Politaví</w:t>
      </w:r>
      <w:proofErr w:type="spellEnd"/>
      <w:r>
        <w:t xml:space="preserve">, </w:t>
      </w:r>
      <w:proofErr w:type="spellStart"/>
      <w:r>
        <w:t>Ivančick</w:t>
      </w:r>
      <w:proofErr w:type="spellEnd"/>
      <w:r>
        <w:t xml:space="preserve">, </w:t>
      </w:r>
      <w:proofErr w:type="spellStart"/>
      <w:r>
        <w:t>Oslavanska</w:t>
      </w:r>
      <w:proofErr w:type="spellEnd"/>
      <w:r>
        <w:t xml:space="preserve"> lub </w:t>
      </w:r>
      <w:proofErr w:type="spellStart"/>
      <w:r>
        <w:t>Moravského</w:t>
      </w:r>
      <w:proofErr w:type="spellEnd"/>
      <w:r>
        <w:t xml:space="preserve"> kras.</w:t>
      </w:r>
    </w:p>
    <w:p w:rsidR="003F2B0C" w:rsidRDefault="003F2B0C" w:rsidP="003F2B0C">
      <w:r w:rsidRPr="00486B2A">
        <w:t xml:space="preserve">Plan Mobilności </w:t>
      </w:r>
      <w:r>
        <w:t>Brna jako</w:t>
      </w:r>
      <w:r w:rsidRPr="00486B2A">
        <w:t xml:space="preserve"> koncepcyjne studium wszystkich</w:t>
      </w:r>
      <w:r>
        <w:t xml:space="preserve"> </w:t>
      </w:r>
      <w:r w:rsidRPr="00486B2A">
        <w:t>systemów transportu (publicznego, samochodowego,</w:t>
      </w:r>
      <w:r>
        <w:t xml:space="preserve"> </w:t>
      </w:r>
      <w:r w:rsidRPr="00486B2A">
        <w:t xml:space="preserve">pieszego i rowerowego) </w:t>
      </w:r>
      <w:r>
        <w:t>obejmuje miasto</w:t>
      </w:r>
      <w:r w:rsidRPr="00486B2A">
        <w:t xml:space="preserve"> Brno,</w:t>
      </w:r>
      <w:r>
        <w:t xml:space="preserve"> ale proponuje również</w:t>
      </w:r>
      <w:r w:rsidRPr="00486B2A">
        <w:t xml:space="preserve"> zaleceniami</w:t>
      </w:r>
      <w:r>
        <w:t xml:space="preserve"> </w:t>
      </w:r>
      <w:r w:rsidRPr="00486B2A">
        <w:t>dla obszaru metropolitalnego</w:t>
      </w:r>
      <w:r>
        <w:t xml:space="preserve">. SUMP wyznacza wizje rozwoju mobilności do roku 2050. W ramach dokumentu wskazano cztery obszary zmian 1. Środki transportu publicznego, 2. Komunikacja drogowa, jakość przestrzeni publicznej, 3. Organizacja i kontrola ruchu, 4. Ochrona mieszkańców przed negatywnymi skutkami ruchu drogowego. </w:t>
      </w:r>
    </w:p>
    <w:p w:rsidR="003F2B0C" w:rsidRDefault="003F2B0C" w:rsidP="003F2B0C">
      <w:pPr>
        <w:rPr>
          <w:b/>
          <w:bCs/>
          <w:color w:val="FFC000"/>
        </w:rPr>
      </w:pPr>
      <w:r>
        <w:rPr>
          <w:b/>
          <w:bCs/>
          <w:color w:val="FFC000"/>
        </w:rPr>
        <w:t>Aglomeracja Drezna</w:t>
      </w:r>
    </w:p>
    <w:p w:rsidR="003F2B0C" w:rsidRDefault="003F2B0C" w:rsidP="003F2B0C">
      <w:r w:rsidRPr="00893087">
        <w:t>Drezno,</w:t>
      </w:r>
      <w:r>
        <w:t xml:space="preserve"> </w:t>
      </w:r>
      <w:r w:rsidRPr="00893087">
        <w:t xml:space="preserve"> położone w niemieckiej Saksonii, oferuje rozwiniętą infrastrukturę transportową, obejmującą drogi, koleje, lotnictwo oraz transport rowerowy.</w:t>
      </w:r>
      <w:r>
        <w:t xml:space="preserve"> Przez jego obszar</w:t>
      </w:r>
      <w:r w:rsidRPr="00893087">
        <w:t xml:space="preserve"> </w:t>
      </w:r>
      <w:r>
        <w:t>przebiegają</w:t>
      </w:r>
      <w:r w:rsidRPr="00893087">
        <w:t xml:space="preserve"> sieci</w:t>
      </w:r>
      <w:r>
        <w:t xml:space="preserve"> </w:t>
      </w:r>
      <w:r w:rsidRPr="00893087">
        <w:t xml:space="preserve">autostrad (A4 i A17) oraz dróg krajowych (B6 i B170). Autostrada A4 łączy </w:t>
      </w:r>
      <w:r>
        <w:t>Drezno</w:t>
      </w:r>
      <w:r w:rsidRPr="00893087">
        <w:t xml:space="preserve"> z Lipskiem na zachodzie i Wrocławiem na wschodzie. Autostrada A17 prowadzi do Pragi.</w:t>
      </w:r>
    </w:p>
    <w:p w:rsidR="003F2B0C" w:rsidRDefault="003F2B0C" w:rsidP="003F2B0C">
      <w:r w:rsidRPr="00893087">
        <w:t>Port lotniczy Drezno (</w:t>
      </w:r>
      <w:proofErr w:type="spellStart"/>
      <w:r w:rsidRPr="00893087">
        <w:t>Flughafen</w:t>
      </w:r>
      <w:proofErr w:type="spellEnd"/>
      <w:r w:rsidR="00EB226C">
        <w:t xml:space="preserve"> </w:t>
      </w:r>
      <w:proofErr w:type="spellStart"/>
      <w:r w:rsidRPr="00893087">
        <w:t>Dresden</w:t>
      </w:r>
      <w:proofErr w:type="spellEnd"/>
      <w:r w:rsidRPr="00893087">
        <w:t xml:space="preserve">), znany jako </w:t>
      </w:r>
      <w:proofErr w:type="spellStart"/>
      <w:r w:rsidRPr="00893087">
        <w:t>Flughafen</w:t>
      </w:r>
      <w:proofErr w:type="spellEnd"/>
      <w:r w:rsidR="00EB226C">
        <w:t xml:space="preserve"> </w:t>
      </w:r>
      <w:proofErr w:type="spellStart"/>
      <w:r w:rsidRPr="00893087">
        <w:t>Dresden-Klotzsche</w:t>
      </w:r>
      <w:proofErr w:type="spellEnd"/>
      <w:r>
        <w:t xml:space="preserve"> znajduje się </w:t>
      </w:r>
      <w:r w:rsidRPr="00610F54">
        <w:t xml:space="preserve">9 km od centrum miasta. Rocznie odprawia się tu około 2 milionów pasażerów. </w:t>
      </w:r>
      <w:r w:rsidRPr="00893087">
        <w:t>Dworzec Główny w</w:t>
      </w:r>
      <w:r w:rsidR="00EB226C">
        <w:t> </w:t>
      </w:r>
      <w:r w:rsidRPr="00893087">
        <w:t>Dreźnie (</w:t>
      </w:r>
      <w:proofErr w:type="spellStart"/>
      <w:r w:rsidRPr="00893087">
        <w:t>Dresden</w:t>
      </w:r>
      <w:proofErr w:type="spellEnd"/>
      <w:r w:rsidR="00EB226C">
        <w:t xml:space="preserve"> </w:t>
      </w:r>
      <w:proofErr w:type="spellStart"/>
      <w:r w:rsidRPr="00893087">
        <w:t>Hauptbahnhof</w:t>
      </w:r>
      <w:proofErr w:type="spellEnd"/>
      <w:r w:rsidRPr="00893087">
        <w:t xml:space="preserve">) oraz </w:t>
      </w:r>
      <w:proofErr w:type="spellStart"/>
      <w:r w:rsidRPr="00893087">
        <w:t>Dresden</w:t>
      </w:r>
      <w:proofErr w:type="spellEnd"/>
      <w:r w:rsidRPr="00893087">
        <w:t xml:space="preserve"> Neustadt są głównymi punktami przesiadkowymi dla pasażerów.</w:t>
      </w:r>
      <w:r w:rsidR="00EB226C">
        <w:t xml:space="preserve"> </w:t>
      </w:r>
      <w:r w:rsidRPr="00610F54">
        <w:t xml:space="preserve">Koleje niemieckie Deutsche </w:t>
      </w:r>
      <w:proofErr w:type="spellStart"/>
      <w:r w:rsidRPr="00610F54">
        <w:t>Bahn</w:t>
      </w:r>
      <w:proofErr w:type="spellEnd"/>
      <w:r w:rsidRPr="00610F54">
        <w:t xml:space="preserve"> zapewniają codziennie połączenia z wszystkimi większymi miastami Niemiec i Europy. Komunikacja miejska to bardzo dobrze rozbudowana sieć licząca 383 km tras autobusowych i tramwajowych</w:t>
      </w:r>
      <w:r>
        <w:t xml:space="preserve">. </w:t>
      </w:r>
    </w:p>
    <w:p w:rsidR="003F2B0C" w:rsidRDefault="003F2B0C" w:rsidP="003F2B0C">
      <w:r>
        <w:t xml:space="preserve">Drezno również objęte jest Planem Mobilności Miejskiej 2025+. </w:t>
      </w:r>
      <w:r w:rsidRPr="00CB0AA0">
        <w:t>Główne cele Planu Zrównoważonej Mobilności Miejskiej (SUMP) 2025plus w Dreźnie koncentrują się na stworzeniu zrównoważonego, wydajnego i przyjaznego dla środowiska systemu transportu miejskiego. Do najważniejszych celów należą: Ochrona środowiska</w:t>
      </w:r>
      <w:r>
        <w:t xml:space="preserve"> (</w:t>
      </w:r>
      <w:r w:rsidRPr="00CB0AA0">
        <w:t xml:space="preserve">zmniejszenie emisji gazów cieplarnianych, zanieczyszczenia hałasem oraz poprawa jakości powietrza poprzez promowanie </w:t>
      </w:r>
      <w:proofErr w:type="spellStart"/>
      <w:r w:rsidRPr="00CB0AA0">
        <w:t>zasobooszczędnej</w:t>
      </w:r>
      <w:proofErr w:type="spellEnd"/>
      <w:r w:rsidRPr="00CB0AA0">
        <w:t xml:space="preserve"> mobilności</w:t>
      </w:r>
      <w:r>
        <w:t>),</w:t>
      </w:r>
      <w:r w:rsidRPr="00CB0AA0">
        <w:t xml:space="preserve"> Multimodalność</w:t>
      </w:r>
      <w:r>
        <w:t xml:space="preserve"> (</w:t>
      </w:r>
      <w:r w:rsidRPr="00CB0AA0">
        <w:t>poprawa usług transportu publicznego i</w:t>
      </w:r>
      <w:r>
        <w:t> </w:t>
      </w:r>
      <w:r w:rsidRPr="00CB0AA0">
        <w:t>zachęcanie do korzystania z rowerów, usług wspólnego korzystania z samochodów i innych przyjaznych dla środowiska środków transportu w celu zmniejszenia zależności od pojazdów prywatnych</w:t>
      </w:r>
      <w:r>
        <w:t xml:space="preserve">), </w:t>
      </w:r>
      <w:r w:rsidRPr="00CB0AA0">
        <w:t xml:space="preserve"> Dostępność i jakość życia</w:t>
      </w:r>
      <w:r>
        <w:t xml:space="preserve"> (p</w:t>
      </w:r>
      <w:r w:rsidRPr="00CB0AA0">
        <w:t>oprawa dostępności dla wszystkich grup ludności dzięki lepszym możliwościom mobilności przy jednoczesnej poprawie ogólnej jakości życia w</w:t>
      </w:r>
      <w:r>
        <w:t> </w:t>
      </w:r>
      <w:r w:rsidRPr="00CB0AA0">
        <w:t>Dreźnie</w:t>
      </w:r>
      <w:r>
        <w:t>),</w:t>
      </w:r>
      <w:r w:rsidRPr="00CB0AA0">
        <w:t xml:space="preserve"> Integracja z technologią</w:t>
      </w:r>
      <w:r>
        <w:t xml:space="preserve"> (w</w:t>
      </w:r>
      <w:r w:rsidRPr="00CB0AA0">
        <w:t>łączenie inteligentnych technologii komunikacyjnych w</w:t>
      </w:r>
      <w:r>
        <w:t> </w:t>
      </w:r>
      <w:r w:rsidRPr="00CB0AA0">
        <w:t>celu efektywnego zarządzania ruchem drogowym i wspierania innowacyjnych rozwiązań w</w:t>
      </w:r>
      <w:r>
        <w:t> </w:t>
      </w:r>
      <w:r w:rsidRPr="00CB0AA0">
        <w:t>zakresie mobilności, takich jak infrastruktura ładowania pojazdów elektrycznych</w:t>
      </w:r>
      <w:r>
        <w:t>)</w:t>
      </w:r>
      <w:r w:rsidRPr="00CB0AA0">
        <w:t>.</w:t>
      </w:r>
      <w:r>
        <w:t xml:space="preserve"> </w:t>
      </w:r>
    </w:p>
    <w:p w:rsidR="003F2B0C" w:rsidRDefault="003F2B0C" w:rsidP="003F2B0C">
      <w:pPr>
        <w:rPr>
          <w:b/>
          <w:bCs/>
        </w:rPr>
      </w:pPr>
      <w:r w:rsidRPr="00776BD6">
        <w:rPr>
          <w:b/>
          <w:bCs/>
        </w:rPr>
        <w:lastRenderedPageBreak/>
        <w:t>5.</w:t>
      </w:r>
      <w:r>
        <w:rPr>
          <w:b/>
          <w:bCs/>
        </w:rPr>
        <w:t xml:space="preserve"> </w:t>
      </w:r>
      <w:r w:rsidRPr="00776BD6">
        <w:rPr>
          <w:b/>
          <w:bCs/>
        </w:rPr>
        <w:t>Potencjał gospodarczy (wskaźniki rozwoju gospodarczego)</w:t>
      </w:r>
    </w:p>
    <w:p w:rsidR="003F2B0C" w:rsidRDefault="003F2B0C" w:rsidP="003F2B0C">
      <w:r w:rsidRPr="00FD658F">
        <w:t>Potencjał gospodarczy regionu to zespół czynników, które wpływają na zdolność regionu do rozwoju ekonomicznego i osiągania wzrostu gospodarczego</w:t>
      </w:r>
      <w:r>
        <w:t>. Jednym z czynników wpływających na potencjał gospodarczy są wskaźniki dotyczące przedsiębiorczości i rynku pracy.</w:t>
      </w:r>
    </w:p>
    <w:p w:rsidR="003F2B0C" w:rsidRPr="00CA481E" w:rsidRDefault="003F2B0C" w:rsidP="003F2B0C">
      <w:r>
        <w:t xml:space="preserve">We wskaźnikach dotyczących działalności polskich podmiotów gospodarczych zdecydowanie wyróżnia się Metropolia Poznań, która w 2023 roku miała na swoim obszarze najwięcej podmiotów gospodarczych na 10 tyś. ludności -38 700 podmiotów, nowo zarejestrowanych podmiotów na 10 tyś. ludności- 4 322 podmioty i najwięcej osób fizycznych prowadzących działalność gospodarczą - </w:t>
      </w:r>
      <w:r w:rsidRPr="0000799F">
        <w:t>29</w:t>
      </w:r>
      <w:r w:rsidRPr="00FD658F">
        <w:t> </w:t>
      </w:r>
      <w:r w:rsidRPr="0000799F">
        <w:t>427</w:t>
      </w:r>
      <w:r w:rsidRPr="00FD658F">
        <w:t xml:space="preserve"> osoby na 10 tyś</w:t>
      </w:r>
      <w:r>
        <w:t>.</w:t>
      </w:r>
      <w:r w:rsidRPr="00FD658F">
        <w:t xml:space="preserve"> mieszkańców.</w:t>
      </w:r>
      <w:r w:rsidRPr="008E6994">
        <w:t xml:space="preserve"> Wrocławski Obszar Funkcjonalny osiągnął drugie co do wartości wskaźników liczby we wszystkich trzech aspektach. </w:t>
      </w:r>
    </w:p>
    <w:p w:rsidR="003F2B0C" w:rsidRDefault="003F2B0C" w:rsidP="003F2B0C">
      <w:pPr>
        <w:pStyle w:val="Legenda"/>
        <w:rPr>
          <w:b/>
          <w:bCs/>
          <w:color w:val="FFC000"/>
        </w:rPr>
      </w:pPr>
      <w:bookmarkStart w:id="91" w:name="_Toc196867069"/>
      <w:bookmarkStart w:id="92" w:name="_Toc196905081"/>
      <w:r>
        <w:t xml:space="preserve">Tabela </w:t>
      </w:r>
      <w:fldSimple w:instr=" SEQ Tabela \* ARABIC ">
        <w:r w:rsidR="0084338D">
          <w:rPr>
            <w:noProof/>
          </w:rPr>
          <w:t>17</w:t>
        </w:r>
      </w:fldSimple>
      <w:r>
        <w:t>. Wskaźniki dotyczące potencjału gospodarczego obszarów funkcjonalnych w latach 2018-2023</w:t>
      </w:r>
      <w:bookmarkEnd w:id="91"/>
      <w:bookmarkEnd w:id="92"/>
    </w:p>
    <w:tbl>
      <w:tblPr>
        <w:tblW w:w="9060" w:type="dxa"/>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CellMar>
          <w:left w:w="70" w:type="dxa"/>
          <w:right w:w="70" w:type="dxa"/>
        </w:tblCellMar>
        <w:tblLook w:val="04A0"/>
      </w:tblPr>
      <w:tblGrid>
        <w:gridCol w:w="2487"/>
        <w:gridCol w:w="1094"/>
        <w:gridCol w:w="1094"/>
        <w:gridCol w:w="1094"/>
        <w:gridCol w:w="1094"/>
        <w:gridCol w:w="1094"/>
        <w:gridCol w:w="1103"/>
      </w:tblGrid>
      <w:tr w:rsidR="003F2B0C" w:rsidRPr="0000799F" w:rsidTr="0084338D">
        <w:trPr>
          <w:trHeight w:val="304"/>
        </w:trPr>
        <w:tc>
          <w:tcPr>
            <w:tcW w:w="2487" w:type="dxa"/>
            <w:shd w:val="clear" w:color="auto" w:fill="FABE00"/>
            <w:noWrap/>
            <w:vAlign w:val="center"/>
          </w:tcPr>
          <w:p w:rsidR="003F2B0C" w:rsidRPr="0000799F" w:rsidRDefault="003F2B0C" w:rsidP="0084338D">
            <w:pPr>
              <w:spacing w:after="0" w:line="240" w:lineRule="auto"/>
              <w:jc w:val="center"/>
              <w:rPr>
                <w:rFonts w:ascii="Calibri" w:eastAsia="Times New Roman" w:hAnsi="Calibri" w:cs="Calibri"/>
                <w:color w:val="000000"/>
                <w:kern w:val="0"/>
                <w:lang w:eastAsia="pl-PL"/>
              </w:rPr>
            </w:pPr>
          </w:p>
        </w:tc>
        <w:tc>
          <w:tcPr>
            <w:tcW w:w="1094" w:type="dxa"/>
            <w:shd w:val="clear" w:color="auto" w:fill="FABE00"/>
            <w:vAlign w:val="center"/>
          </w:tcPr>
          <w:p w:rsidR="003F2B0C" w:rsidRPr="0000799F" w:rsidRDefault="003F2B0C" w:rsidP="0084338D">
            <w:pPr>
              <w:spacing w:after="0" w:line="240" w:lineRule="auto"/>
              <w:jc w:val="center"/>
              <w:rPr>
                <w:rFonts w:ascii="Calibri" w:eastAsia="Times New Roman" w:hAnsi="Calibri" w:cs="Calibri"/>
                <w:color w:val="000000"/>
                <w:kern w:val="0"/>
                <w:lang w:eastAsia="pl-PL"/>
              </w:rPr>
            </w:pPr>
            <w:r w:rsidRPr="0000799F">
              <w:rPr>
                <w:rFonts w:ascii="Calibri" w:eastAsia="Times New Roman" w:hAnsi="Calibri" w:cs="Calibri"/>
                <w:color w:val="000000"/>
                <w:kern w:val="0"/>
                <w:lang w:eastAsia="pl-PL"/>
              </w:rPr>
              <w:t>2018</w:t>
            </w:r>
          </w:p>
        </w:tc>
        <w:tc>
          <w:tcPr>
            <w:tcW w:w="1094" w:type="dxa"/>
            <w:shd w:val="clear" w:color="auto" w:fill="FABE00"/>
            <w:vAlign w:val="center"/>
          </w:tcPr>
          <w:p w:rsidR="003F2B0C" w:rsidRPr="0000799F" w:rsidRDefault="003F2B0C" w:rsidP="0084338D">
            <w:pPr>
              <w:spacing w:after="0" w:line="240" w:lineRule="auto"/>
              <w:jc w:val="center"/>
              <w:rPr>
                <w:rFonts w:ascii="Calibri" w:eastAsia="Times New Roman" w:hAnsi="Calibri" w:cs="Calibri"/>
                <w:color w:val="000000"/>
                <w:kern w:val="0"/>
                <w:lang w:eastAsia="pl-PL"/>
              </w:rPr>
            </w:pPr>
            <w:r w:rsidRPr="0000799F">
              <w:rPr>
                <w:rFonts w:ascii="Calibri" w:eastAsia="Times New Roman" w:hAnsi="Calibri" w:cs="Calibri"/>
                <w:color w:val="000000"/>
                <w:kern w:val="0"/>
                <w:lang w:eastAsia="pl-PL"/>
              </w:rPr>
              <w:t>2019</w:t>
            </w:r>
          </w:p>
        </w:tc>
        <w:tc>
          <w:tcPr>
            <w:tcW w:w="1094" w:type="dxa"/>
            <w:shd w:val="clear" w:color="auto" w:fill="FABE00"/>
            <w:vAlign w:val="center"/>
          </w:tcPr>
          <w:p w:rsidR="003F2B0C" w:rsidRPr="0000799F" w:rsidRDefault="003F2B0C" w:rsidP="0084338D">
            <w:pPr>
              <w:spacing w:after="0" w:line="240" w:lineRule="auto"/>
              <w:jc w:val="center"/>
              <w:rPr>
                <w:rFonts w:ascii="Calibri" w:eastAsia="Times New Roman" w:hAnsi="Calibri" w:cs="Calibri"/>
                <w:color w:val="000000"/>
                <w:kern w:val="0"/>
                <w:lang w:eastAsia="pl-PL"/>
              </w:rPr>
            </w:pPr>
            <w:r w:rsidRPr="0000799F">
              <w:rPr>
                <w:rFonts w:ascii="Calibri" w:eastAsia="Times New Roman" w:hAnsi="Calibri" w:cs="Calibri"/>
                <w:color w:val="000000"/>
                <w:kern w:val="0"/>
                <w:lang w:eastAsia="pl-PL"/>
              </w:rPr>
              <w:t>2020</w:t>
            </w:r>
          </w:p>
        </w:tc>
        <w:tc>
          <w:tcPr>
            <w:tcW w:w="1094" w:type="dxa"/>
            <w:shd w:val="clear" w:color="auto" w:fill="FABE00"/>
            <w:vAlign w:val="center"/>
          </w:tcPr>
          <w:p w:rsidR="003F2B0C" w:rsidRPr="0000799F" w:rsidRDefault="003F2B0C" w:rsidP="0084338D">
            <w:pPr>
              <w:spacing w:after="0" w:line="240" w:lineRule="auto"/>
              <w:jc w:val="center"/>
              <w:rPr>
                <w:rFonts w:ascii="Calibri" w:eastAsia="Times New Roman" w:hAnsi="Calibri" w:cs="Calibri"/>
                <w:color w:val="000000"/>
                <w:kern w:val="0"/>
                <w:lang w:eastAsia="pl-PL"/>
              </w:rPr>
            </w:pPr>
            <w:r w:rsidRPr="0000799F">
              <w:rPr>
                <w:rFonts w:ascii="Calibri" w:eastAsia="Times New Roman" w:hAnsi="Calibri" w:cs="Calibri"/>
                <w:color w:val="000000"/>
                <w:kern w:val="0"/>
                <w:lang w:eastAsia="pl-PL"/>
              </w:rPr>
              <w:t>2021</w:t>
            </w:r>
          </w:p>
        </w:tc>
        <w:tc>
          <w:tcPr>
            <w:tcW w:w="1094" w:type="dxa"/>
            <w:shd w:val="clear" w:color="auto" w:fill="FABE00"/>
            <w:vAlign w:val="center"/>
          </w:tcPr>
          <w:p w:rsidR="003F2B0C" w:rsidRPr="0000799F" w:rsidRDefault="003F2B0C" w:rsidP="0084338D">
            <w:pPr>
              <w:spacing w:after="0" w:line="240" w:lineRule="auto"/>
              <w:jc w:val="center"/>
              <w:rPr>
                <w:rFonts w:ascii="Calibri" w:eastAsia="Times New Roman" w:hAnsi="Calibri" w:cs="Calibri"/>
                <w:color w:val="000000"/>
                <w:kern w:val="0"/>
                <w:lang w:eastAsia="pl-PL"/>
              </w:rPr>
            </w:pPr>
            <w:r w:rsidRPr="0000799F">
              <w:rPr>
                <w:rFonts w:ascii="Calibri" w:eastAsia="Times New Roman" w:hAnsi="Calibri" w:cs="Calibri"/>
                <w:color w:val="000000"/>
                <w:kern w:val="0"/>
                <w:lang w:eastAsia="pl-PL"/>
              </w:rPr>
              <w:t>2022</w:t>
            </w:r>
          </w:p>
        </w:tc>
        <w:tc>
          <w:tcPr>
            <w:tcW w:w="1103" w:type="dxa"/>
            <w:shd w:val="clear" w:color="auto" w:fill="FABE00"/>
            <w:vAlign w:val="center"/>
          </w:tcPr>
          <w:p w:rsidR="003F2B0C" w:rsidRPr="0000799F" w:rsidRDefault="003F2B0C" w:rsidP="0084338D">
            <w:pPr>
              <w:spacing w:after="0" w:line="240" w:lineRule="auto"/>
              <w:jc w:val="center"/>
              <w:rPr>
                <w:rFonts w:ascii="Calibri" w:eastAsia="Times New Roman" w:hAnsi="Calibri" w:cs="Calibri"/>
                <w:color w:val="000000"/>
                <w:kern w:val="0"/>
                <w:lang w:eastAsia="pl-PL"/>
              </w:rPr>
            </w:pPr>
            <w:r w:rsidRPr="0000799F">
              <w:rPr>
                <w:rFonts w:ascii="Calibri" w:eastAsia="Times New Roman" w:hAnsi="Calibri" w:cs="Calibri"/>
                <w:color w:val="000000"/>
                <w:kern w:val="0"/>
                <w:lang w:eastAsia="pl-PL"/>
              </w:rPr>
              <w:t>2023</w:t>
            </w:r>
          </w:p>
        </w:tc>
      </w:tr>
      <w:tr w:rsidR="003F2B0C" w:rsidRPr="0000799F" w:rsidTr="0084338D">
        <w:trPr>
          <w:trHeight w:val="304"/>
        </w:trPr>
        <w:tc>
          <w:tcPr>
            <w:tcW w:w="9060" w:type="dxa"/>
            <w:gridSpan w:val="7"/>
            <w:shd w:val="clear" w:color="auto" w:fill="FABE00"/>
            <w:noWrap/>
            <w:vAlign w:val="center"/>
            <w:hideMark/>
          </w:tcPr>
          <w:p w:rsidR="003F2B0C" w:rsidRPr="0000799F" w:rsidRDefault="003F2B0C" w:rsidP="0084338D">
            <w:pPr>
              <w:spacing w:after="0" w:line="240" w:lineRule="auto"/>
              <w:jc w:val="center"/>
              <w:rPr>
                <w:rFonts w:ascii="Calibri" w:eastAsia="Times New Roman" w:hAnsi="Calibri" w:cs="Calibri"/>
                <w:color w:val="000000"/>
                <w:kern w:val="0"/>
                <w:lang w:eastAsia="pl-PL"/>
              </w:rPr>
            </w:pPr>
            <w:r w:rsidRPr="0000799F">
              <w:rPr>
                <w:rFonts w:ascii="Calibri" w:eastAsia="Times New Roman" w:hAnsi="Calibri" w:cs="Calibri"/>
                <w:color w:val="000000"/>
                <w:kern w:val="0"/>
                <w:lang w:eastAsia="pl-PL"/>
              </w:rPr>
              <w:t>podmioty wpisane do rejestru REGON na 10 tys. ludności</w:t>
            </w:r>
          </w:p>
        </w:tc>
      </w:tr>
      <w:tr w:rsidR="003F2B0C" w:rsidRPr="0000799F" w:rsidTr="0084338D">
        <w:trPr>
          <w:trHeight w:val="551"/>
        </w:trPr>
        <w:tc>
          <w:tcPr>
            <w:tcW w:w="2487" w:type="dxa"/>
            <w:shd w:val="clear" w:color="auto" w:fill="auto"/>
            <w:vAlign w:val="center"/>
            <w:hideMark/>
          </w:tcPr>
          <w:p w:rsidR="003F2B0C" w:rsidRPr="0000799F" w:rsidRDefault="003F2B0C" w:rsidP="0084338D">
            <w:pPr>
              <w:spacing w:after="0" w:line="240" w:lineRule="auto"/>
              <w:jc w:val="left"/>
              <w:rPr>
                <w:rFonts w:ascii="Calibri" w:eastAsia="Times New Roman" w:hAnsi="Calibri" w:cs="Calibri"/>
                <w:kern w:val="0"/>
                <w:lang w:eastAsia="pl-PL"/>
              </w:rPr>
            </w:pPr>
            <w:r w:rsidRPr="0000799F">
              <w:rPr>
                <w:rFonts w:ascii="Calibri" w:eastAsia="Times New Roman" w:hAnsi="Calibri" w:cs="Calibri"/>
                <w:kern w:val="0"/>
                <w:lang w:eastAsia="pl-PL"/>
              </w:rPr>
              <w:t>Wrocławski Obszar Funkcjonalny</w:t>
            </w:r>
          </w:p>
        </w:tc>
        <w:tc>
          <w:tcPr>
            <w:tcW w:w="1094"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24266</w:t>
            </w:r>
          </w:p>
        </w:tc>
        <w:tc>
          <w:tcPr>
            <w:tcW w:w="1094"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25292</w:t>
            </w:r>
          </w:p>
        </w:tc>
        <w:tc>
          <w:tcPr>
            <w:tcW w:w="1094"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24824</w:t>
            </w:r>
          </w:p>
        </w:tc>
        <w:tc>
          <w:tcPr>
            <w:tcW w:w="1094"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26098</w:t>
            </w:r>
          </w:p>
        </w:tc>
        <w:tc>
          <w:tcPr>
            <w:tcW w:w="1094"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27390</w:t>
            </w:r>
          </w:p>
        </w:tc>
        <w:tc>
          <w:tcPr>
            <w:tcW w:w="1103"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27147</w:t>
            </w:r>
          </w:p>
        </w:tc>
      </w:tr>
      <w:tr w:rsidR="003F2B0C" w:rsidRPr="0000799F" w:rsidTr="0084338D">
        <w:trPr>
          <w:trHeight w:val="340"/>
        </w:trPr>
        <w:tc>
          <w:tcPr>
            <w:tcW w:w="2487" w:type="dxa"/>
            <w:shd w:val="clear" w:color="auto" w:fill="auto"/>
            <w:vAlign w:val="center"/>
            <w:hideMark/>
          </w:tcPr>
          <w:p w:rsidR="003F2B0C" w:rsidRPr="0000799F" w:rsidRDefault="003F2B0C" w:rsidP="0084338D">
            <w:pPr>
              <w:spacing w:after="0" w:line="240" w:lineRule="auto"/>
              <w:jc w:val="left"/>
              <w:rPr>
                <w:rFonts w:ascii="Calibri" w:eastAsia="Times New Roman" w:hAnsi="Calibri" w:cs="Calibri"/>
                <w:kern w:val="0"/>
                <w:lang w:eastAsia="pl-PL"/>
              </w:rPr>
            </w:pPr>
            <w:r w:rsidRPr="0000799F">
              <w:rPr>
                <w:rFonts w:ascii="Calibri" w:eastAsia="Times New Roman" w:hAnsi="Calibri" w:cs="Calibri"/>
                <w:kern w:val="0"/>
                <w:lang w:eastAsia="pl-PL"/>
              </w:rPr>
              <w:t>Metropolia Krakowska</w:t>
            </w:r>
          </w:p>
        </w:tc>
        <w:tc>
          <w:tcPr>
            <w:tcW w:w="1094"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18602</w:t>
            </w:r>
          </w:p>
        </w:tc>
        <w:tc>
          <w:tcPr>
            <w:tcW w:w="1094"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19531</w:t>
            </w:r>
          </w:p>
        </w:tc>
        <w:tc>
          <w:tcPr>
            <w:tcW w:w="1094"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19008</w:t>
            </w:r>
          </w:p>
        </w:tc>
        <w:tc>
          <w:tcPr>
            <w:tcW w:w="1094"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19938</w:t>
            </w:r>
          </w:p>
        </w:tc>
        <w:tc>
          <w:tcPr>
            <w:tcW w:w="1094"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20949</w:t>
            </w:r>
          </w:p>
        </w:tc>
        <w:tc>
          <w:tcPr>
            <w:tcW w:w="1103"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21866</w:t>
            </w:r>
          </w:p>
        </w:tc>
      </w:tr>
      <w:tr w:rsidR="003F2B0C" w:rsidRPr="0000799F" w:rsidTr="0084338D">
        <w:trPr>
          <w:trHeight w:val="274"/>
        </w:trPr>
        <w:tc>
          <w:tcPr>
            <w:tcW w:w="2487" w:type="dxa"/>
            <w:shd w:val="clear" w:color="auto" w:fill="auto"/>
            <w:vAlign w:val="center"/>
            <w:hideMark/>
          </w:tcPr>
          <w:p w:rsidR="003F2B0C" w:rsidRPr="0000799F" w:rsidRDefault="003F2B0C" w:rsidP="0084338D">
            <w:pPr>
              <w:spacing w:after="0" w:line="240" w:lineRule="auto"/>
              <w:jc w:val="left"/>
              <w:rPr>
                <w:rFonts w:ascii="Calibri" w:eastAsia="Times New Roman" w:hAnsi="Calibri" w:cs="Calibri"/>
                <w:kern w:val="0"/>
                <w:lang w:eastAsia="pl-PL"/>
              </w:rPr>
            </w:pPr>
            <w:r w:rsidRPr="0000799F">
              <w:rPr>
                <w:rFonts w:ascii="Calibri" w:eastAsia="Times New Roman" w:hAnsi="Calibri" w:cs="Calibri"/>
                <w:kern w:val="0"/>
                <w:lang w:eastAsia="pl-PL"/>
              </w:rPr>
              <w:t>Metropolia Poznań</w:t>
            </w:r>
          </w:p>
        </w:tc>
        <w:tc>
          <w:tcPr>
            <w:tcW w:w="1094"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34974</w:t>
            </w:r>
          </w:p>
        </w:tc>
        <w:tc>
          <w:tcPr>
            <w:tcW w:w="1094"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36057</w:t>
            </w:r>
          </w:p>
        </w:tc>
        <w:tc>
          <w:tcPr>
            <w:tcW w:w="1094"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35541</w:t>
            </w:r>
          </w:p>
        </w:tc>
        <w:tc>
          <w:tcPr>
            <w:tcW w:w="1094"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36673</w:t>
            </w:r>
          </w:p>
        </w:tc>
        <w:tc>
          <w:tcPr>
            <w:tcW w:w="1094"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37791</w:t>
            </w:r>
          </w:p>
        </w:tc>
        <w:tc>
          <w:tcPr>
            <w:tcW w:w="1103"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38700</w:t>
            </w:r>
          </w:p>
        </w:tc>
      </w:tr>
      <w:tr w:rsidR="003F2B0C" w:rsidRPr="0000799F" w:rsidTr="0084338D">
        <w:trPr>
          <w:trHeight w:val="304"/>
        </w:trPr>
        <w:tc>
          <w:tcPr>
            <w:tcW w:w="9060" w:type="dxa"/>
            <w:gridSpan w:val="7"/>
            <w:shd w:val="clear" w:color="auto" w:fill="FABE00"/>
            <w:noWrap/>
            <w:vAlign w:val="bottom"/>
            <w:hideMark/>
          </w:tcPr>
          <w:p w:rsidR="003F2B0C" w:rsidRPr="0000799F" w:rsidRDefault="003F2B0C" w:rsidP="0084338D">
            <w:pPr>
              <w:spacing w:after="0" w:line="240" w:lineRule="auto"/>
              <w:jc w:val="center"/>
              <w:rPr>
                <w:rFonts w:ascii="Calibri" w:eastAsia="Times New Roman" w:hAnsi="Calibri" w:cs="Calibri"/>
                <w:color w:val="000000"/>
                <w:kern w:val="0"/>
                <w:lang w:eastAsia="pl-PL"/>
              </w:rPr>
            </w:pPr>
            <w:r w:rsidRPr="0000799F">
              <w:rPr>
                <w:rFonts w:ascii="Calibri" w:eastAsia="Times New Roman" w:hAnsi="Calibri" w:cs="Calibri"/>
                <w:color w:val="000000"/>
                <w:kern w:val="0"/>
                <w:lang w:eastAsia="pl-PL"/>
              </w:rPr>
              <w:t>podmioty nowo zarejestrowane na 10 tys. ludności w wieku produkcyjnym</w:t>
            </w:r>
          </w:p>
        </w:tc>
      </w:tr>
      <w:tr w:rsidR="003F2B0C" w:rsidRPr="0000799F" w:rsidTr="0084338D">
        <w:trPr>
          <w:trHeight w:val="610"/>
        </w:trPr>
        <w:tc>
          <w:tcPr>
            <w:tcW w:w="2487" w:type="dxa"/>
            <w:shd w:val="clear" w:color="auto" w:fill="auto"/>
            <w:vAlign w:val="center"/>
            <w:hideMark/>
          </w:tcPr>
          <w:p w:rsidR="003F2B0C" w:rsidRPr="0000799F" w:rsidRDefault="003F2B0C" w:rsidP="0084338D">
            <w:pPr>
              <w:spacing w:after="0" w:line="240" w:lineRule="auto"/>
              <w:jc w:val="left"/>
              <w:rPr>
                <w:rFonts w:ascii="Calibri" w:eastAsia="Times New Roman" w:hAnsi="Calibri" w:cs="Calibri"/>
                <w:kern w:val="0"/>
                <w:lang w:eastAsia="pl-PL"/>
              </w:rPr>
            </w:pPr>
            <w:r w:rsidRPr="0000799F">
              <w:rPr>
                <w:rFonts w:ascii="Calibri" w:eastAsia="Times New Roman" w:hAnsi="Calibri" w:cs="Calibri"/>
                <w:kern w:val="0"/>
                <w:lang w:eastAsia="pl-PL"/>
              </w:rPr>
              <w:t>Wrocławski Obszar Funkcjonalny</w:t>
            </w:r>
          </w:p>
        </w:tc>
        <w:tc>
          <w:tcPr>
            <w:tcW w:w="1094"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4023</w:t>
            </w:r>
          </w:p>
        </w:tc>
        <w:tc>
          <w:tcPr>
            <w:tcW w:w="1094"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3818</w:t>
            </w:r>
          </w:p>
        </w:tc>
        <w:tc>
          <w:tcPr>
            <w:tcW w:w="1094"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3188</w:t>
            </w:r>
          </w:p>
        </w:tc>
        <w:tc>
          <w:tcPr>
            <w:tcW w:w="1094"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3657</w:t>
            </w:r>
          </w:p>
        </w:tc>
        <w:tc>
          <w:tcPr>
            <w:tcW w:w="1094"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3843</w:t>
            </w:r>
          </w:p>
        </w:tc>
        <w:tc>
          <w:tcPr>
            <w:tcW w:w="1103"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3625</w:t>
            </w:r>
          </w:p>
        </w:tc>
      </w:tr>
      <w:tr w:rsidR="003F2B0C" w:rsidRPr="0000799F" w:rsidTr="0084338D">
        <w:trPr>
          <w:trHeight w:val="412"/>
        </w:trPr>
        <w:tc>
          <w:tcPr>
            <w:tcW w:w="2487" w:type="dxa"/>
            <w:shd w:val="clear" w:color="auto" w:fill="auto"/>
            <w:vAlign w:val="center"/>
            <w:hideMark/>
          </w:tcPr>
          <w:p w:rsidR="003F2B0C" w:rsidRPr="0000799F" w:rsidRDefault="003F2B0C" w:rsidP="0084338D">
            <w:pPr>
              <w:spacing w:after="0" w:line="240" w:lineRule="auto"/>
              <w:jc w:val="left"/>
              <w:rPr>
                <w:rFonts w:ascii="Calibri" w:eastAsia="Times New Roman" w:hAnsi="Calibri" w:cs="Calibri"/>
                <w:kern w:val="0"/>
                <w:lang w:eastAsia="pl-PL"/>
              </w:rPr>
            </w:pPr>
            <w:r w:rsidRPr="0000799F">
              <w:rPr>
                <w:rFonts w:ascii="Calibri" w:eastAsia="Times New Roman" w:hAnsi="Calibri" w:cs="Calibri"/>
                <w:kern w:val="0"/>
                <w:lang w:eastAsia="pl-PL"/>
              </w:rPr>
              <w:t>Metropolia Krakowska</w:t>
            </w:r>
          </w:p>
        </w:tc>
        <w:tc>
          <w:tcPr>
            <w:tcW w:w="1094"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2825</w:t>
            </w:r>
          </w:p>
        </w:tc>
        <w:tc>
          <w:tcPr>
            <w:tcW w:w="1094"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2931</w:t>
            </w:r>
          </w:p>
        </w:tc>
        <w:tc>
          <w:tcPr>
            <w:tcW w:w="1094"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2299</w:t>
            </w:r>
          </w:p>
        </w:tc>
        <w:tc>
          <w:tcPr>
            <w:tcW w:w="1094"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2653</w:t>
            </w:r>
          </w:p>
        </w:tc>
        <w:tc>
          <w:tcPr>
            <w:tcW w:w="1094"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2786</w:t>
            </w:r>
          </w:p>
        </w:tc>
        <w:tc>
          <w:tcPr>
            <w:tcW w:w="1103"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2813</w:t>
            </w:r>
          </w:p>
        </w:tc>
      </w:tr>
      <w:tr w:rsidR="003F2B0C" w:rsidRPr="0000799F" w:rsidTr="0084338D">
        <w:trPr>
          <w:trHeight w:val="304"/>
        </w:trPr>
        <w:tc>
          <w:tcPr>
            <w:tcW w:w="2487" w:type="dxa"/>
            <w:shd w:val="clear" w:color="auto" w:fill="auto"/>
            <w:vAlign w:val="center"/>
            <w:hideMark/>
          </w:tcPr>
          <w:p w:rsidR="003F2B0C" w:rsidRPr="0000799F" w:rsidRDefault="003F2B0C" w:rsidP="0084338D">
            <w:pPr>
              <w:spacing w:after="0" w:line="240" w:lineRule="auto"/>
              <w:jc w:val="left"/>
              <w:rPr>
                <w:rFonts w:ascii="Calibri" w:eastAsia="Times New Roman" w:hAnsi="Calibri" w:cs="Calibri"/>
                <w:kern w:val="0"/>
                <w:lang w:eastAsia="pl-PL"/>
              </w:rPr>
            </w:pPr>
            <w:r w:rsidRPr="0000799F">
              <w:rPr>
                <w:rFonts w:ascii="Calibri" w:eastAsia="Times New Roman" w:hAnsi="Calibri" w:cs="Calibri"/>
                <w:kern w:val="0"/>
                <w:lang w:eastAsia="pl-PL"/>
              </w:rPr>
              <w:t>Metropolia Poznań</w:t>
            </w:r>
          </w:p>
        </w:tc>
        <w:tc>
          <w:tcPr>
            <w:tcW w:w="1094"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5012</w:t>
            </w:r>
          </w:p>
        </w:tc>
        <w:tc>
          <w:tcPr>
            <w:tcW w:w="1094"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4687</w:t>
            </w:r>
          </w:p>
        </w:tc>
        <w:tc>
          <w:tcPr>
            <w:tcW w:w="1094"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3900</w:t>
            </w:r>
          </w:p>
        </w:tc>
        <w:tc>
          <w:tcPr>
            <w:tcW w:w="1094"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4288</w:t>
            </w:r>
          </w:p>
        </w:tc>
        <w:tc>
          <w:tcPr>
            <w:tcW w:w="1094"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4189</w:t>
            </w:r>
          </w:p>
        </w:tc>
        <w:tc>
          <w:tcPr>
            <w:tcW w:w="1103"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4322</w:t>
            </w:r>
          </w:p>
        </w:tc>
      </w:tr>
      <w:tr w:rsidR="003F2B0C" w:rsidRPr="0000799F" w:rsidTr="0084338D">
        <w:trPr>
          <w:trHeight w:val="304"/>
        </w:trPr>
        <w:tc>
          <w:tcPr>
            <w:tcW w:w="9060" w:type="dxa"/>
            <w:gridSpan w:val="7"/>
            <w:shd w:val="clear" w:color="auto" w:fill="FABE00"/>
            <w:noWrap/>
            <w:vAlign w:val="bottom"/>
            <w:hideMark/>
          </w:tcPr>
          <w:p w:rsidR="003F2B0C" w:rsidRPr="0000799F" w:rsidRDefault="003F2B0C" w:rsidP="0084338D">
            <w:pPr>
              <w:spacing w:after="0" w:line="240" w:lineRule="auto"/>
              <w:jc w:val="center"/>
              <w:rPr>
                <w:rFonts w:ascii="Calibri" w:eastAsia="Times New Roman" w:hAnsi="Calibri" w:cs="Calibri"/>
                <w:color w:val="000000"/>
                <w:kern w:val="0"/>
                <w:lang w:eastAsia="pl-PL"/>
              </w:rPr>
            </w:pPr>
            <w:r w:rsidRPr="0000799F">
              <w:rPr>
                <w:rFonts w:ascii="Calibri" w:eastAsia="Times New Roman" w:hAnsi="Calibri" w:cs="Calibri"/>
                <w:color w:val="000000"/>
                <w:kern w:val="0"/>
                <w:lang w:eastAsia="pl-PL"/>
              </w:rPr>
              <w:t>osoby fizyczne prowadzące działalność gospodarczą na 10 tys. mieszkańców</w:t>
            </w:r>
          </w:p>
        </w:tc>
      </w:tr>
      <w:tr w:rsidR="003F2B0C" w:rsidRPr="0000799F" w:rsidTr="0084338D">
        <w:trPr>
          <w:trHeight w:val="610"/>
        </w:trPr>
        <w:tc>
          <w:tcPr>
            <w:tcW w:w="2487" w:type="dxa"/>
            <w:shd w:val="clear" w:color="auto" w:fill="auto"/>
            <w:vAlign w:val="center"/>
            <w:hideMark/>
          </w:tcPr>
          <w:p w:rsidR="003F2B0C" w:rsidRPr="0000799F" w:rsidRDefault="003F2B0C" w:rsidP="0084338D">
            <w:pPr>
              <w:spacing w:after="0" w:line="240" w:lineRule="auto"/>
              <w:jc w:val="left"/>
              <w:rPr>
                <w:rFonts w:ascii="Calibri" w:eastAsia="Times New Roman" w:hAnsi="Calibri" w:cs="Calibri"/>
                <w:kern w:val="0"/>
                <w:lang w:eastAsia="pl-PL"/>
              </w:rPr>
            </w:pPr>
            <w:r w:rsidRPr="0000799F">
              <w:rPr>
                <w:rFonts w:ascii="Calibri" w:eastAsia="Times New Roman" w:hAnsi="Calibri" w:cs="Calibri"/>
                <w:kern w:val="0"/>
                <w:lang w:eastAsia="pl-PL"/>
              </w:rPr>
              <w:t>Wrocławski Obszar Funkcjonalny</w:t>
            </w:r>
          </w:p>
        </w:tc>
        <w:tc>
          <w:tcPr>
            <w:tcW w:w="1094"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18368</w:t>
            </w:r>
          </w:p>
        </w:tc>
        <w:tc>
          <w:tcPr>
            <w:tcW w:w="1094"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19153</w:t>
            </w:r>
          </w:p>
        </w:tc>
        <w:tc>
          <w:tcPr>
            <w:tcW w:w="1094"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18794</w:t>
            </w:r>
          </w:p>
        </w:tc>
        <w:tc>
          <w:tcPr>
            <w:tcW w:w="1094"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19827</w:t>
            </w:r>
          </w:p>
        </w:tc>
        <w:tc>
          <w:tcPr>
            <w:tcW w:w="1094"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20937</w:t>
            </w:r>
          </w:p>
        </w:tc>
        <w:tc>
          <w:tcPr>
            <w:tcW w:w="1103"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20704</w:t>
            </w:r>
          </w:p>
        </w:tc>
      </w:tr>
      <w:tr w:rsidR="003F2B0C" w:rsidRPr="0000799F" w:rsidTr="0084338D">
        <w:trPr>
          <w:trHeight w:val="380"/>
        </w:trPr>
        <w:tc>
          <w:tcPr>
            <w:tcW w:w="2487" w:type="dxa"/>
            <w:shd w:val="clear" w:color="auto" w:fill="auto"/>
            <w:vAlign w:val="center"/>
            <w:hideMark/>
          </w:tcPr>
          <w:p w:rsidR="003F2B0C" w:rsidRPr="0000799F" w:rsidRDefault="003F2B0C" w:rsidP="0084338D">
            <w:pPr>
              <w:spacing w:after="0" w:line="240" w:lineRule="auto"/>
              <w:jc w:val="left"/>
              <w:rPr>
                <w:rFonts w:ascii="Calibri" w:eastAsia="Times New Roman" w:hAnsi="Calibri" w:cs="Calibri"/>
                <w:kern w:val="0"/>
                <w:lang w:eastAsia="pl-PL"/>
              </w:rPr>
            </w:pPr>
            <w:r w:rsidRPr="0000799F">
              <w:rPr>
                <w:rFonts w:ascii="Calibri" w:eastAsia="Times New Roman" w:hAnsi="Calibri" w:cs="Calibri"/>
                <w:kern w:val="0"/>
                <w:lang w:eastAsia="pl-PL"/>
              </w:rPr>
              <w:t>Metropolia Krakowska</w:t>
            </w:r>
          </w:p>
        </w:tc>
        <w:tc>
          <w:tcPr>
            <w:tcW w:w="1094"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14519</w:t>
            </w:r>
          </w:p>
        </w:tc>
        <w:tc>
          <w:tcPr>
            <w:tcW w:w="1094"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15281</w:t>
            </w:r>
          </w:p>
        </w:tc>
        <w:tc>
          <w:tcPr>
            <w:tcW w:w="1094"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14873</w:t>
            </w:r>
          </w:p>
        </w:tc>
        <w:tc>
          <w:tcPr>
            <w:tcW w:w="1094"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15598</w:t>
            </w:r>
          </w:p>
        </w:tc>
        <w:tc>
          <w:tcPr>
            <w:tcW w:w="1094"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16425</w:t>
            </w:r>
          </w:p>
        </w:tc>
        <w:tc>
          <w:tcPr>
            <w:tcW w:w="1103"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17159</w:t>
            </w:r>
          </w:p>
        </w:tc>
      </w:tr>
      <w:tr w:rsidR="003F2B0C" w:rsidRPr="0000799F" w:rsidTr="0084338D">
        <w:trPr>
          <w:trHeight w:val="304"/>
        </w:trPr>
        <w:tc>
          <w:tcPr>
            <w:tcW w:w="2487" w:type="dxa"/>
            <w:shd w:val="clear" w:color="auto" w:fill="auto"/>
            <w:vAlign w:val="center"/>
            <w:hideMark/>
          </w:tcPr>
          <w:p w:rsidR="003F2B0C" w:rsidRPr="0000799F" w:rsidRDefault="003F2B0C" w:rsidP="0084338D">
            <w:pPr>
              <w:spacing w:after="0" w:line="240" w:lineRule="auto"/>
              <w:jc w:val="left"/>
              <w:rPr>
                <w:rFonts w:ascii="Calibri" w:eastAsia="Times New Roman" w:hAnsi="Calibri" w:cs="Calibri"/>
                <w:kern w:val="0"/>
                <w:lang w:eastAsia="pl-PL"/>
              </w:rPr>
            </w:pPr>
            <w:r w:rsidRPr="0000799F">
              <w:rPr>
                <w:rFonts w:ascii="Calibri" w:eastAsia="Times New Roman" w:hAnsi="Calibri" w:cs="Calibri"/>
                <w:kern w:val="0"/>
                <w:lang w:eastAsia="pl-PL"/>
              </w:rPr>
              <w:t>Metropolia Poznań</w:t>
            </w:r>
          </w:p>
        </w:tc>
        <w:tc>
          <w:tcPr>
            <w:tcW w:w="1094"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26 529</w:t>
            </w:r>
          </w:p>
        </w:tc>
        <w:tc>
          <w:tcPr>
            <w:tcW w:w="1094"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27 388</w:t>
            </w:r>
          </w:p>
        </w:tc>
        <w:tc>
          <w:tcPr>
            <w:tcW w:w="1094"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27 004</w:t>
            </w:r>
          </w:p>
        </w:tc>
        <w:tc>
          <w:tcPr>
            <w:tcW w:w="1094"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27 847</w:t>
            </w:r>
          </w:p>
        </w:tc>
        <w:tc>
          <w:tcPr>
            <w:tcW w:w="1094"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28 699</w:t>
            </w:r>
          </w:p>
        </w:tc>
        <w:tc>
          <w:tcPr>
            <w:tcW w:w="1103" w:type="dxa"/>
            <w:shd w:val="clear" w:color="auto" w:fill="auto"/>
            <w:noWrap/>
            <w:vAlign w:val="center"/>
            <w:hideMark/>
          </w:tcPr>
          <w:p w:rsidR="003F2B0C" w:rsidRPr="0000799F" w:rsidRDefault="003F2B0C" w:rsidP="0084338D">
            <w:pPr>
              <w:spacing w:after="0" w:line="240" w:lineRule="auto"/>
              <w:jc w:val="center"/>
              <w:rPr>
                <w:rFonts w:ascii="Calibri" w:eastAsia="Times New Roman" w:hAnsi="Calibri" w:cs="Calibri"/>
                <w:kern w:val="0"/>
                <w:lang w:eastAsia="pl-PL"/>
              </w:rPr>
            </w:pPr>
            <w:r w:rsidRPr="0000799F">
              <w:rPr>
                <w:rFonts w:ascii="Calibri" w:eastAsia="Times New Roman" w:hAnsi="Calibri" w:cs="Calibri"/>
                <w:kern w:val="0"/>
                <w:lang w:eastAsia="pl-PL"/>
              </w:rPr>
              <w:t>29 427</w:t>
            </w:r>
          </w:p>
        </w:tc>
      </w:tr>
    </w:tbl>
    <w:p w:rsidR="003F2B0C" w:rsidRPr="002737CB" w:rsidRDefault="003F2B0C" w:rsidP="003F2B0C">
      <w:pPr>
        <w:spacing w:line="276" w:lineRule="auto"/>
        <w:rPr>
          <w:iCs/>
          <w:color w:val="363735" w:themeColor="accent3"/>
          <w:sz w:val="20"/>
          <w:szCs w:val="18"/>
        </w:rPr>
      </w:pPr>
      <w:r w:rsidRPr="002737CB">
        <w:rPr>
          <w:iCs/>
          <w:color w:val="363735" w:themeColor="accent3"/>
          <w:sz w:val="20"/>
          <w:szCs w:val="18"/>
        </w:rPr>
        <w:t xml:space="preserve">Źródła; opracowanie własne na podstawie GUS BDL, </w:t>
      </w:r>
      <w:r>
        <w:rPr>
          <w:iCs/>
          <w:color w:val="363735" w:themeColor="accent3"/>
          <w:sz w:val="20"/>
          <w:szCs w:val="18"/>
        </w:rPr>
        <w:t>dostęp</w:t>
      </w:r>
      <w:r w:rsidRPr="002737CB">
        <w:rPr>
          <w:iCs/>
          <w:color w:val="363735" w:themeColor="accent3"/>
          <w:sz w:val="20"/>
          <w:szCs w:val="18"/>
        </w:rPr>
        <w:t xml:space="preserve"> 30.01.2025</w:t>
      </w:r>
    </w:p>
    <w:p w:rsidR="003F2B0C" w:rsidRDefault="003F2B0C" w:rsidP="003F2B0C">
      <w:r>
        <w:t>Ze względu na dostępność statystyk publicznych obejmujących nie tylko dane dla polskich obszarów funkcjonalnych, ale również tych europejskich zdecydowano się na porównanie dostępnych wskaźników na poziomie NUTS 2i NUTS 3. Wskaźnikiem który wzięto pod uwagę jest s</w:t>
      </w:r>
      <w:r w:rsidRPr="007B4D2E">
        <w:t>tandard siły nabywczej (PPS, UE27 od 2020 r.) na mieszkańca – wskaźnik wyrażający zagregowane dane ekonomiczne (np. PKB) w umownej jednostce walutowej (PPS), która eliminuje różnice cenowe między krajami, umożliwiając porównania w ujęciu realnym na osobę</w:t>
      </w:r>
      <w:r>
        <w:t xml:space="preserve">. W roku 2023 najlepiej w tym wskaźniku wypadł obszar Drezna (NUTS 2) osiągając wartość 35 600 PPS na mieszkańca, najsłabiej natomiast wypadł obszar NUTS 2 Małopolskie. Spośród wszystkich analizowanych obszarów miejskich </w:t>
      </w:r>
      <w:r>
        <w:lastRenderedPageBreak/>
        <w:t>i miast rdzeni w 2022 roku najlepiej wypadło Miasto Poznań (53 300 PSS na mieszkańca), a najsłabiej Miasto Wrocław  (42 600 PSS na mieszkańca). Natomiast spośród analizowanych podregionów najlepiej wypadł  podregion wrocławski (</w:t>
      </w:r>
      <w:r w:rsidRPr="00014CE7">
        <w:rPr>
          <w:rFonts w:ascii="Calibri" w:eastAsia="Times New Roman" w:hAnsi="Calibri" w:cs="Calibri"/>
          <w:kern w:val="0"/>
          <w:lang w:eastAsia="pl-PL"/>
        </w:rPr>
        <w:t>30</w:t>
      </w:r>
      <w:r>
        <w:rPr>
          <w:rFonts w:ascii="Calibri" w:eastAsia="Times New Roman" w:hAnsi="Calibri" w:cs="Calibri"/>
          <w:kern w:val="0"/>
          <w:lang w:eastAsia="pl-PL"/>
        </w:rPr>
        <w:t> </w:t>
      </w:r>
      <w:r w:rsidRPr="00014CE7">
        <w:rPr>
          <w:rFonts w:ascii="Calibri" w:eastAsia="Times New Roman" w:hAnsi="Calibri" w:cs="Calibri"/>
          <w:kern w:val="0"/>
          <w:lang w:eastAsia="pl-PL"/>
        </w:rPr>
        <w:t>900</w:t>
      </w:r>
      <w:r>
        <w:rPr>
          <w:rFonts w:ascii="Calibri" w:eastAsia="Times New Roman" w:hAnsi="Calibri" w:cs="Calibri"/>
          <w:kern w:val="0"/>
          <w:lang w:eastAsia="pl-PL"/>
        </w:rPr>
        <w:t xml:space="preserve"> PSS na mieszkańca), a najsłabiej podregion krakowski (19 700 PSS na mieszkańca). </w:t>
      </w:r>
    </w:p>
    <w:p w:rsidR="003F2B0C" w:rsidRDefault="003F2B0C" w:rsidP="003F2B0C">
      <w:pPr>
        <w:pStyle w:val="Legenda"/>
      </w:pPr>
      <w:bookmarkStart w:id="93" w:name="_Toc196905082"/>
      <w:r>
        <w:t xml:space="preserve">Tabela </w:t>
      </w:r>
      <w:fldSimple w:instr=" SEQ Tabela \* ARABIC ">
        <w:r w:rsidR="0084338D">
          <w:rPr>
            <w:noProof/>
          </w:rPr>
          <w:t>18</w:t>
        </w:r>
      </w:fldSimple>
      <w:r>
        <w:t>. S</w:t>
      </w:r>
      <w:r w:rsidRPr="007B4D2E">
        <w:t xml:space="preserve">tandard siły nabywczej (PPS, UE27 od 2020 r.) na </w:t>
      </w:r>
      <w:r>
        <w:t xml:space="preserve">1 </w:t>
      </w:r>
      <w:r w:rsidRPr="007B4D2E">
        <w:t>mieszkańca </w:t>
      </w:r>
      <w:r>
        <w:rPr>
          <w:rFonts w:ascii="Arial" w:eastAsia="Times New Roman" w:hAnsi="Arial" w:cs="Arial"/>
          <w:b/>
          <w:bCs/>
          <w:color w:val="000000"/>
          <w:kern w:val="0"/>
          <w:sz w:val="18"/>
          <w:lang w:eastAsia="pl-PL"/>
        </w:rPr>
        <w:t>.</w:t>
      </w:r>
      <w:bookmarkEnd w:id="93"/>
    </w:p>
    <w:tbl>
      <w:tblPr>
        <w:tblW w:w="9232" w:type="dxa"/>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CellMar>
          <w:left w:w="70" w:type="dxa"/>
          <w:right w:w="70" w:type="dxa"/>
        </w:tblCellMar>
        <w:tblLook w:val="04A0"/>
      </w:tblPr>
      <w:tblGrid>
        <w:gridCol w:w="1027"/>
        <w:gridCol w:w="759"/>
        <w:gridCol w:w="1644"/>
        <w:gridCol w:w="960"/>
        <w:gridCol w:w="1184"/>
        <w:gridCol w:w="1184"/>
        <w:gridCol w:w="1184"/>
        <w:gridCol w:w="1290"/>
      </w:tblGrid>
      <w:tr w:rsidR="003F2B0C" w:rsidRPr="0070453D" w:rsidTr="0084338D">
        <w:trPr>
          <w:trHeight w:val="298"/>
        </w:trPr>
        <w:tc>
          <w:tcPr>
            <w:tcW w:w="3430" w:type="dxa"/>
            <w:gridSpan w:val="3"/>
            <w:shd w:val="clear" w:color="000000" w:fill="FFC000"/>
          </w:tcPr>
          <w:p w:rsidR="003F2B0C" w:rsidRPr="0070453D" w:rsidRDefault="003F2B0C" w:rsidP="0084338D">
            <w:pPr>
              <w:spacing w:after="0" w:line="240" w:lineRule="auto"/>
              <w:jc w:val="right"/>
              <w:rPr>
                <w:rFonts w:eastAsia="Times New Roman" w:cs="Arial"/>
                <w:b/>
                <w:bCs/>
                <w:color w:val="000000"/>
                <w:kern w:val="0"/>
                <w:sz w:val="20"/>
                <w:szCs w:val="20"/>
                <w:lang w:eastAsia="pl-PL"/>
              </w:rPr>
            </w:pPr>
          </w:p>
        </w:tc>
        <w:tc>
          <w:tcPr>
            <w:tcW w:w="960" w:type="dxa"/>
            <w:shd w:val="clear" w:color="000000" w:fill="FFC000"/>
            <w:noWrap/>
            <w:vAlign w:val="center"/>
            <w:hideMark/>
          </w:tcPr>
          <w:p w:rsidR="003F2B0C" w:rsidRPr="0070453D" w:rsidRDefault="003F2B0C" w:rsidP="0084338D">
            <w:pPr>
              <w:spacing w:after="0" w:line="240" w:lineRule="auto"/>
              <w:jc w:val="right"/>
              <w:rPr>
                <w:rFonts w:eastAsia="Times New Roman" w:cs="Arial"/>
                <w:b/>
                <w:bCs/>
                <w:color w:val="000000"/>
                <w:kern w:val="0"/>
                <w:sz w:val="20"/>
                <w:szCs w:val="20"/>
                <w:lang w:eastAsia="pl-PL"/>
              </w:rPr>
            </w:pPr>
            <w:r w:rsidRPr="0070453D">
              <w:rPr>
                <w:rFonts w:eastAsia="Times New Roman" w:cs="Arial"/>
                <w:b/>
                <w:bCs/>
                <w:color w:val="000000"/>
                <w:kern w:val="0"/>
                <w:sz w:val="20"/>
                <w:szCs w:val="20"/>
                <w:lang w:eastAsia="pl-PL"/>
              </w:rPr>
              <w:t> </w:t>
            </w:r>
          </w:p>
        </w:tc>
        <w:tc>
          <w:tcPr>
            <w:tcW w:w="4842" w:type="dxa"/>
            <w:gridSpan w:val="4"/>
            <w:shd w:val="clear" w:color="000000" w:fill="FFC000"/>
            <w:noWrap/>
            <w:vAlign w:val="center"/>
            <w:hideMark/>
          </w:tcPr>
          <w:p w:rsidR="003F2B0C" w:rsidRPr="0070453D" w:rsidRDefault="003F2B0C" w:rsidP="0084338D">
            <w:pPr>
              <w:spacing w:after="0" w:line="240" w:lineRule="auto"/>
              <w:jc w:val="center"/>
              <w:rPr>
                <w:rFonts w:eastAsia="Times New Roman" w:cs="Arial"/>
                <w:b/>
                <w:bCs/>
                <w:color w:val="000000"/>
                <w:kern w:val="0"/>
                <w:sz w:val="20"/>
                <w:szCs w:val="20"/>
                <w:lang w:eastAsia="pl-PL"/>
              </w:rPr>
            </w:pPr>
          </w:p>
        </w:tc>
      </w:tr>
      <w:tr w:rsidR="003F2B0C" w:rsidRPr="0070453D" w:rsidTr="0084338D">
        <w:trPr>
          <w:trHeight w:val="298"/>
        </w:trPr>
        <w:tc>
          <w:tcPr>
            <w:tcW w:w="3430" w:type="dxa"/>
            <w:gridSpan w:val="3"/>
            <w:shd w:val="clear" w:color="000000" w:fill="FFC000"/>
          </w:tcPr>
          <w:p w:rsidR="003F2B0C" w:rsidRPr="0070453D" w:rsidRDefault="003F2B0C" w:rsidP="0084338D">
            <w:pPr>
              <w:spacing w:after="0" w:line="240" w:lineRule="auto"/>
              <w:jc w:val="right"/>
              <w:rPr>
                <w:rFonts w:eastAsia="Times New Roman" w:cs="Arial"/>
                <w:b/>
                <w:bCs/>
                <w:color w:val="000000"/>
                <w:kern w:val="0"/>
                <w:sz w:val="20"/>
                <w:szCs w:val="20"/>
                <w:lang w:eastAsia="pl-PL"/>
              </w:rPr>
            </w:pPr>
          </w:p>
        </w:tc>
        <w:tc>
          <w:tcPr>
            <w:tcW w:w="960" w:type="dxa"/>
            <w:shd w:val="clear" w:color="000000" w:fill="FFC000"/>
            <w:noWrap/>
            <w:vAlign w:val="center"/>
            <w:hideMark/>
          </w:tcPr>
          <w:p w:rsidR="003F2B0C" w:rsidRPr="0070453D" w:rsidRDefault="003F2B0C" w:rsidP="0084338D">
            <w:pPr>
              <w:spacing w:after="0" w:line="240" w:lineRule="auto"/>
              <w:jc w:val="right"/>
              <w:rPr>
                <w:rFonts w:eastAsia="Times New Roman" w:cs="Arial"/>
                <w:b/>
                <w:bCs/>
                <w:color w:val="000000"/>
                <w:kern w:val="0"/>
                <w:sz w:val="20"/>
                <w:szCs w:val="20"/>
                <w:lang w:eastAsia="pl-PL"/>
              </w:rPr>
            </w:pPr>
            <w:r w:rsidRPr="0070453D">
              <w:rPr>
                <w:rFonts w:eastAsia="Times New Roman" w:cs="Arial"/>
                <w:b/>
                <w:bCs/>
                <w:color w:val="000000"/>
                <w:kern w:val="0"/>
                <w:sz w:val="20"/>
                <w:szCs w:val="20"/>
                <w:lang w:eastAsia="pl-PL"/>
              </w:rPr>
              <w:t> </w:t>
            </w:r>
          </w:p>
        </w:tc>
        <w:tc>
          <w:tcPr>
            <w:tcW w:w="1184" w:type="dxa"/>
            <w:shd w:val="clear" w:color="000000" w:fill="FFC000"/>
            <w:noWrap/>
            <w:vAlign w:val="center"/>
            <w:hideMark/>
          </w:tcPr>
          <w:p w:rsidR="003F2B0C" w:rsidRPr="0070453D" w:rsidRDefault="003F2B0C" w:rsidP="0084338D">
            <w:pPr>
              <w:spacing w:after="0" w:line="240" w:lineRule="auto"/>
              <w:jc w:val="center"/>
              <w:rPr>
                <w:rFonts w:eastAsia="Times New Roman" w:cs="Arial"/>
                <w:b/>
                <w:bCs/>
                <w:color w:val="000000"/>
                <w:kern w:val="0"/>
                <w:sz w:val="20"/>
                <w:szCs w:val="20"/>
                <w:lang w:eastAsia="pl-PL"/>
              </w:rPr>
            </w:pPr>
            <w:r w:rsidRPr="0070453D">
              <w:rPr>
                <w:rFonts w:eastAsia="Times New Roman" w:cs="Arial"/>
                <w:b/>
                <w:bCs/>
                <w:color w:val="000000"/>
                <w:kern w:val="0"/>
                <w:sz w:val="20"/>
                <w:szCs w:val="20"/>
                <w:lang w:eastAsia="pl-PL"/>
              </w:rPr>
              <w:t>2020</w:t>
            </w:r>
          </w:p>
        </w:tc>
        <w:tc>
          <w:tcPr>
            <w:tcW w:w="1184" w:type="dxa"/>
            <w:shd w:val="clear" w:color="000000" w:fill="FFC000"/>
            <w:noWrap/>
            <w:vAlign w:val="center"/>
            <w:hideMark/>
          </w:tcPr>
          <w:p w:rsidR="003F2B0C" w:rsidRPr="0070453D" w:rsidRDefault="003F2B0C" w:rsidP="0084338D">
            <w:pPr>
              <w:spacing w:after="0" w:line="240" w:lineRule="auto"/>
              <w:jc w:val="center"/>
              <w:rPr>
                <w:rFonts w:eastAsia="Times New Roman" w:cs="Arial"/>
                <w:b/>
                <w:bCs/>
                <w:color w:val="000000"/>
                <w:kern w:val="0"/>
                <w:sz w:val="20"/>
                <w:szCs w:val="20"/>
                <w:lang w:eastAsia="pl-PL"/>
              </w:rPr>
            </w:pPr>
            <w:r w:rsidRPr="0070453D">
              <w:rPr>
                <w:rFonts w:eastAsia="Times New Roman" w:cs="Arial"/>
                <w:b/>
                <w:bCs/>
                <w:color w:val="000000"/>
                <w:kern w:val="0"/>
                <w:sz w:val="20"/>
                <w:szCs w:val="20"/>
                <w:lang w:eastAsia="pl-PL"/>
              </w:rPr>
              <w:t>2021</w:t>
            </w:r>
          </w:p>
        </w:tc>
        <w:tc>
          <w:tcPr>
            <w:tcW w:w="1184" w:type="dxa"/>
            <w:shd w:val="clear" w:color="000000" w:fill="FFC000"/>
            <w:noWrap/>
            <w:vAlign w:val="center"/>
            <w:hideMark/>
          </w:tcPr>
          <w:p w:rsidR="003F2B0C" w:rsidRPr="0070453D" w:rsidRDefault="003F2B0C" w:rsidP="0084338D">
            <w:pPr>
              <w:spacing w:after="0" w:line="240" w:lineRule="auto"/>
              <w:jc w:val="center"/>
              <w:rPr>
                <w:rFonts w:eastAsia="Times New Roman" w:cs="Arial"/>
                <w:b/>
                <w:bCs/>
                <w:color w:val="000000"/>
                <w:kern w:val="0"/>
                <w:sz w:val="20"/>
                <w:szCs w:val="20"/>
                <w:lang w:eastAsia="pl-PL"/>
              </w:rPr>
            </w:pPr>
            <w:r w:rsidRPr="0070453D">
              <w:rPr>
                <w:rFonts w:eastAsia="Times New Roman" w:cs="Arial"/>
                <w:b/>
                <w:bCs/>
                <w:color w:val="000000"/>
                <w:kern w:val="0"/>
                <w:sz w:val="20"/>
                <w:szCs w:val="20"/>
                <w:lang w:eastAsia="pl-PL"/>
              </w:rPr>
              <w:t>2022</w:t>
            </w:r>
          </w:p>
        </w:tc>
        <w:tc>
          <w:tcPr>
            <w:tcW w:w="1290" w:type="dxa"/>
            <w:shd w:val="clear" w:color="000000" w:fill="FFC000"/>
            <w:noWrap/>
            <w:vAlign w:val="center"/>
            <w:hideMark/>
          </w:tcPr>
          <w:p w:rsidR="003F2B0C" w:rsidRPr="0070453D" w:rsidRDefault="003F2B0C" w:rsidP="0084338D">
            <w:pPr>
              <w:spacing w:after="0" w:line="240" w:lineRule="auto"/>
              <w:jc w:val="center"/>
              <w:rPr>
                <w:rFonts w:eastAsia="Times New Roman" w:cs="Arial"/>
                <w:b/>
                <w:bCs/>
                <w:color w:val="000000"/>
                <w:kern w:val="0"/>
                <w:sz w:val="20"/>
                <w:szCs w:val="20"/>
                <w:lang w:eastAsia="pl-PL"/>
              </w:rPr>
            </w:pPr>
            <w:r w:rsidRPr="0070453D">
              <w:rPr>
                <w:rFonts w:eastAsia="Times New Roman" w:cs="Arial"/>
                <w:b/>
                <w:bCs/>
                <w:color w:val="000000"/>
                <w:kern w:val="0"/>
                <w:sz w:val="20"/>
                <w:szCs w:val="20"/>
                <w:lang w:eastAsia="pl-PL"/>
              </w:rPr>
              <w:t>2023</w:t>
            </w:r>
            <w:r w:rsidRPr="0070453D">
              <w:rPr>
                <w:rStyle w:val="Odwoanieprzypisudolnego"/>
                <w:rFonts w:eastAsia="Times New Roman" w:cs="Arial"/>
                <w:b/>
                <w:bCs/>
                <w:color w:val="000000"/>
                <w:kern w:val="0"/>
                <w:sz w:val="20"/>
                <w:szCs w:val="20"/>
                <w:lang w:eastAsia="pl-PL"/>
              </w:rPr>
              <w:footnoteReference w:id="21"/>
            </w:r>
          </w:p>
        </w:tc>
      </w:tr>
      <w:tr w:rsidR="003F2B0C" w:rsidRPr="0070453D" w:rsidTr="0084338D">
        <w:trPr>
          <w:trHeight w:val="298"/>
        </w:trPr>
        <w:tc>
          <w:tcPr>
            <w:tcW w:w="1027" w:type="dxa"/>
            <w:shd w:val="clear" w:color="000000" w:fill="FFC000"/>
            <w:noWrap/>
            <w:hideMark/>
          </w:tcPr>
          <w:p w:rsidR="003F2B0C" w:rsidRPr="0070453D" w:rsidRDefault="003F2B0C" w:rsidP="0084338D">
            <w:pPr>
              <w:spacing w:after="0" w:line="240" w:lineRule="auto"/>
              <w:jc w:val="left"/>
              <w:rPr>
                <w:rFonts w:eastAsia="Times New Roman" w:cs="Arial"/>
                <w:b/>
                <w:bCs/>
                <w:color w:val="000000"/>
                <w:kern w:val="0"/>
                <w:sz w:val="20"/>
                <w:szCs w:val="20"/>
                <w:lang w:eastAsia="pl-PL"/>
              </w:rPr>
            </w:pPr>
            <w:r w:rsidRPr="0070453D">
              <w:rPr>
                <w:rFonts w:eastAsia="Times New Roman" w:cs="Arial"/>
                <w:b/>
                <w:bCs/>
                <w:kern w:val="0"/>
                <w:sz w:val="18"/>
                <w:szCs w:val="18"/>
                <w:lang w:eastAsia="pl-PL"/>
              </w:rPr>
              <w:t>Poziom NUTS</w:t>
            </w:r>
          </w:p>
        </w:tc>
        <w:tc>
          <w:tcPr>
            <w:tcW w:w="759" w:type="dxa"/>
            <w:shd w:val="clear" w:color="000000" w:fill="FFC000"/>
            <w:vAlign w:val="center"/>
          </w:tcPr>
          <w:p w:rsidR="003F2B0C" w:rsidRPr="0070453D" w:rsidRDefault="003F2B0C" w:rsidP="0084338D">
            <w:pPr>
              <w:spacing w:after="0" w:line="240" w:lineRule="auto"/>
              <w:jc w:val="left"/>
              <w:rPr>
                <w:rFonts w:eastAsia="Times New Roman" w:cs="Arial"/>
                <w:b/>
                <w:bCs/>
                <w:color w:val="000000"/>
                <w:kern w:val="0"/>
                <w:sz w:val="20"/>
                <w:szCs w:val="20"/>
                <w:lang w:eastAsia="pl-PL"/>
              </w:rPr>
            </w:pPr>
            <w:r w:rsidRPr="0070453D">
              <w:rPr>
                <w:rFonts w:eastAsia="Times New Roman" w:cs="Arial"/>
                <w:b/>
                <w:bCs/>
                <w:kern w:val="0"/>
                <w:sz w:val="18"/>
                <w:szCs w:val="18"/>
                <w:lang w:eastAsia="pl-PL"/>
              </w:rPr>
              <w:t>Kod regionu</w:t>
            </w:r>
          </w:p>
        </w:tc>
        <w:tc>
          <w:tcPr>
            <w:tcW w:w="2604" w:type="dxa"/>
            <w:gridSpan w:val="2"/>
            <w:shd w:val="clear" w:color="000000" w:fill="FFC000"/>
            <w:noWrap/>
            <w:vAlign w:val="center"/>
            <w:hideMark/>
          </w:tcPr>
          <w:p w:rsidR="003F2B0C" w:rsidRPr="0070453D" w:rsidRDefault="003F2B0C" w:rsidP="0084338D">
            <w:pPr>
              <w:spacing w:after="0" w:line="240" w:lineRule="auto"/>
              <w:jc w:val="left"/>
              <w:rPr>
                <w:rFonts w:eastAsia="Times New Roman" w:cs="Arial"/>
                <w:b/>
                <w:bCs/>
                <w:color w:val="000000"/>
                <w:kern w:val="0"/>
                <w:sz w:val="20"/>
                <w:szCs w:val="20"/>
                <w:lang w:eastAsia="pl-PL"/>
              </w:rPr>
            </w:pPr>
            <w:r w:rsidRPr="0070453D">
              <w:rPr>
                <w:rFonts w:eastAsia="Times New Roman" w:cs="Arial"/>
                <w:b/>
                <w:bCs/>
                <w:color w:val="000000"/>
                <w:kern w:val="0"/>
                <w:sz w:val="20"/>
                <w:szCs w:val="20"/>
                <w:lang w:eastAsia="pl-PL"/>
              </w:rPr>
              <w:t>Geograficzne nazwy</w:t>
            </w:r>
          </w:p>
        </w:tc>
        <w:tc>
          <w:tcPr>
            <w:tcW w:w="1184" w:type="dxa"/>
            <w:shd w:val="clear" w:color="auto" w:fill="FFC000"/>
            <w:vAlign w:val="center"/>
            <w:hideMark/>
          </w:tcPr>
          <w:p w:rsidR="003F2B0C" w:rsidRPr="0070453D" w:rsidRDefault="003F2B0C" w:rsidP="0084338D">
            <w:pPr>
              <w:spacing w:after="0" w:line="240" w:lineRule="auto"/>
              <w:jc w:val="left"/>
              <w:rPr>
                <w:rFonts w:eastAsia="Times New Roman" w:cs="Arial"/>
                <w:b/>
                <w:bCs/>
                <w:color w:val="000000"/>
                <w:kern w:val="0"/>
                <w:sz w:val="20"/>
                <w:szCs w:val="20"/>
                <w:lang w:eastAsia="pl-PL"/>
              </w:rPr>
            </w:pPr>
          </w:p>
        </w:tc>
        <w:tc>
          <w:tcPr>
            <w:tcW w:w="1184" w:type="dxa"/>
            <w:shd w:val="clear" w:color="auto" w:fill="FFC000"/>
            <w:vAlign w:val="center"/>
            <w:hideMark/>
          </w:tcPr>
          <w:p w:rsidR="003F2B0C" w:rsidRPr="0070453D" w:rsidRDefault="003F2B0C" w:rsidP="0084338D">
            <w:pPr>
              <w:spacing w:after="0" w:line="240" w:lineRule="auto"/>
              <w:jc w:val="left"/>
              <w:rPr>
                <w:rFonts w:eastAsia="Times New Roman" w:cs="Arial"/>
                <w:b/>
                <w:bCs/>
                <w:color w:val="000000"/>
                <w:kern w:val="0"/>
                <w:sz w:val="20"/>
                <w:szCs w:val="20"/>
                <w:lang w:eastAsia="pl-PL"/>
              </w:rPr>
            </w:pPr>
          </w:p>
        </w:tc>
        <w:tc>
          <w:tcPr>
            <w:tcW w:w="1184" w:type="dxa"/>
            <w:shd w:val="clear" w:color="auto" w:fill="FFC000"/>
            <w:vAlign w:val="center"/>
            <w:hideMark/>
          </w:tcPr>
          <w:p w:rsidR="003F2B0C" w:rsidRPr="0070453D" w:rsidRDefault="003F2B0C" w:rsidP="0084338D">
            <w:pPr>
              <w:spacing w:after="0" w:line="240" w:lineRule="auto"/>
              <w:jc w:val="left"/>
              <w:rPr>
                <w:rFonts w:eastAsia="Times New Roman" w:cs="Arial"/>
                <w:b/>
                <w:bCs/>
                <w:color w:val="000000"/>
                <w:kern w:val="0"/>
                <w:sz w:val="20"/>
                <w:szCs w:val="20"/>
                <w:lang w:eastAsia="pl-PL"/>
              </w:rPr>
            </w:pPr>
          </w:p>
        </w:tc>
        <w:tc>
          <w:tcPr>
            <w:tcW w:w="1290" w:type="dxa"/>
            <w:shd w:val="clear" w:color="auto" w:fill="FFC000"/>
            <w:vAlign w:val="center"/>
            <w:hideMark/>
          </w:tcPr>
          <w:p w:rsidR="003F2B0C" w:rsidRPr="0070453D" w:rsidRDefault="003F2B0C" w:rsidP="0084338D">
            <w:pPr>
              <w:spacing w:after="0" w:line="240" w:lineRule="auto"/>
              <w:jc w:val="left"/>
              <w:rPr>
                <w:rFonts w:eastAsia="Times New Roman" w:cs="Arial"/>
                <w:b/>
                <w:bCs/>
                <w:color w:val="000000"/>
                <w:kern w:val="0"/>
                <w:sz w:val="20"/>
                <w:szCs w:val="20"/>
                <w:lang w:eastAsia="pl-PL"/>
              </w:rPr>
            </w:pPr>
          </w:p>
        </w:tc>
      </w:tr>
      <w:tr w:rsidR="003F2B0C" w:rsidRPr="0070453D" w:rsidTr="0084338D">
        <w:trPr>
          <w:trHeight w:val="298"/>
        </w:trPr>
        <w:tc>
          <w:tcPr>
            <w:tcW w:w="1027" w:type="dxa"/>
            <w:shd w:val="clear" w:color="000000" w:fill="FFFFFF"/>
            <w:noWrap/>
            <w:vAlign w:val="center"/>
            <w:hideMark/>
          </w:tcPr>
          <w:p w:rsidR="003F2B0C" w:rsidRPr="0070453D" w:rsidRDefault="003F2B0C" w:rsidP="0084338D">
            <w:pPr>
              <w:spacing w:after="0" w:line="240" w:lineRule="auto"/>
              <w:jc w:val="left"/>
              <w:rPr>
                <w:rFonts w:eastAsia="Times New Roman" w:cs="Calibri"/>
                <w:kern w:val="0"/>
                <w:sz w:val="20"/>
                <w:szCs w:val="20"/>
                <w:lang w:eastAsia="pl-PL"/>
              </w:rPr>
            </w:pPr>
            <w:r w:rsidRPr="0070453D">
              <w:rPr>
                <w:rFonts w:eastAsia="Times New Roman" w:cs="Calibri"/>
                <w:kern w:val="0"/>
                <w:sz w:val="20"/>
                <w:szCs w:val="20"/>
                <w:lang w:eastAsia="pl-PL"/>
              </w:rPr>
              <w:t>NUTS 2</w:t>
            </w:r>
          </w:p>
        </w:tc>
        <w:tc>
          <w:tcPr>
            <w:tcW w:w="759" w:type="dxa"/>
            <w:shd w:val="clear" w:color="000000" w:fill="FFFFFF"/>
            <w:vAlign w:val="center"/>
          </w:tcPr>
          <w:p w:rsidR="003F2B0C" w:rsidRPr="0070453D" w:rsidRDefault="003F2B0C" w:rsidP="0084338D">
            <w:pPr>
              <w:spacing w:after="0" w:line="240" w:lineRule="auto"/>
              <w:jc w:val="left"/>
              <w:rPr>
                <w:rFonts w:eastAsia="Times New Roman" w:cs="Calibri"/>
                <w:kern w:val="0"/>
                <w:sz w:val="20"/>
                <w:szCs w:val="20"/>
                <w:lang w:eastAsia="pl-PL"/>
              </w:rPr>
            </w:pPr>
            <w:r w:rsidRPr="0070453D">
              <w:rPr>
                <w:rFonts w:cs="Arial"/>
                <w:b/>
                <w:bCs/>
                <w:sz w:val="18"/>
                <w:szCs w:val="18"/>
              </w:rPr>
              <w:t>CZ06</w:t>
            </w:r>
          </w:p>
        </w:tc>
        <w:tc>
          <w:tcPr>
            <w:tcW w:w="2604" w:type="dxa"/>
            <w:gridSpan w:val="2"/>
            <w:shd w:val="clear" w:color="000000" w:fill="FFFFFF"/>
            <w:noWrap/>
            <w:vAlign w:val="center"/>
            <w:hideMark/>
          </w:tcPr>
          <w:p w:rsidR="003F2B0C" w:rsidRPr="0070453D" w:rsidRDefault="003F2B0C" w:rsidP="0084338D">
            <w:pPr>
              <w:spacing w:after="0" w:line="240" w:lineRule="auto"/>
              <w:jc w:val="left"/>
              <w:rPr>
                <w:rFonts w:eastAsia="Times New Roman" w:cs="Calibri"/>
                <w:kern w:val="0"/>
                <w:sz w:val="20"/>
                <w:szCs w:val="20"/>
                <w:lang w:eastAsia="pl-PL"/>
              </w:rPr>
            </w:pPr>
            <w:proofErr w:type="spellStart"/>
            <w:r w:rsidRPr="0070453D">
              <w:rPr>
                <w:rFonts w:eastAsia="Times New Roman" w:cs="Calibri"/>
                <w:kern w:val="0"/>
                <w:sz w:val="20"/>
                <w:szCs w:val="20"/>
                <w:lang w:eastAsia="pl-PL"/>
              </w:rPr>
              <w:t>Jihovýchod</w:t>
            </w:r>
            <w:proofErr w:type="spellEnd"/>
            <w:r w:rsidRPr="0070453D">
              <w:rPr>
                <w:rFonts w:eastAsia="Times New Roman" w:cs="Calibri"/>
                <w:kern w:val="0"/>
                <w:sz w:val="20"/>
                <w:szCs w:val="20"/>
                <w:lang w:eastAsia="pl-PL"/>
              </w:rPr>
              <w:t xml:space="preserve"> (obszar do którego zakwalifikowano Brno i jego obszar metropolitalny)</w:t>
            </w:r>
          </w:p>
        </w:tc>
        <w:tc>
          <w:tcPr>
            <w:tcW w:w="1184" w:type="dxa"/>
            <w:shd w:val="clear" w:color="000000" w:fill="FFFFFF"/>
            <w:noWrap/>
            <w:vAlign w:val="center"/>
            <w:hideMark/>
          </w:tcPr>
          <w:p w:rsidR="003F2B0C" w:rsidRPr="0070453D" w:rsidRDefault="003F2B0C" w:rsidP="0084338D">
            <w:pPr>
              <w:spacing w:after="0" w:line="240" w:lineRule="auto"/>
              <w:jc w:val="right"/>
              <w:rPr>
                <w:rFonts w:eastAsia="Times New Roman" w:cs="Calibri"/>
                <w:kern w:val="0"/>
                <w:sz w:val="20"/>
                <w:szCs w:val="20"/>
                <w:lang w:eastAsia="pl-PL"/>
              </w:rPr>
            </w:pPr>
            <w:r w:rsidRPr="0070453D">
              <w:rPr>
                <w:rFonts w:eastAsia="Times New Roman" w:cs="Calibri"/>
                <w:kern w:val="0"/>
                <w:sz w:val="20"/>
                <w:szCs w:val="20"/>
                <w:lang w:eastAsia="pl-PL"/>
              </w:rPr>
              <w:t>27 300</w:t>
            </w:r>
          </w:p>
        </w:tc>
        <w:tc>
          <w:tcPr>
            <w:tcW w:w="1184" w:type="dxa"/>
            <w:shd w:val="clear" w:color="000000" w:fill="FFFFFF"/>
            <w:noWrap/>
            <w:vAlign w:val="center"/>
            <w:hideMark/>
          </w:tcPr>
          <w:p w:rsidR="003F2B0C" w:rsidRPr="0070453D" w:rsidRDefault="003F2B0C" w:rsidP="0084338D">
            <w:pPr>
              <w:spacing w:after="0" w:line="240" w:lineRule="auto"/>
              <w:jc w:val="right"/>
              <w:rPr>
                <w:rFonts w:eastAsia="Times New Roman" w:cs="Calibri"/>
                <w:kern w:val="0"/>
                <w:sz w:val="20"/>
                <w:szCs w:val="20"/>
                <w:lang w:eastAsia="pl-PL"/>
              </w:rPr>
            </w:pPr>
            <w:r w:rsidRPr="0070453D">
              <w:rPr>
                <w:rFonts w:eastAsia="Times New Roman" w:cs="Calibri"/>
                <w:kern w:val="0"/>
                <w:sz w:val="20"/>
                <w:szCs w:val="20"/>
                <w:lang w:eastAsia="pl-PL"/>
              </w:rPr>
              <w:t>28 700</w:t>
            </w:r>
          </w:p>
        </w:tc>
        <w:tc>
          <w:tcPr>
            <w:tcW w:w="1184" w:type="dxa"/>
            <w:shd w:val="clear" w:color="000000" w:fill="FFFFFF"/>
            <w:noWrap/>
            <w:vAlign w:val="center"/>
            <w:hideMark/>
          </w:tcPr>
          <w:p w:rsidR="003F2B0C" w:rsidRPr="0070453D" w:rsidRDefault="003F2B0C" w:rsidP="0084338D">
            <w:pPr>
              <w:spacing w:after="0" w:line="240" w:lineRule="auto"/>
              <w:jc w:val="right"/>
              <w:rPr>
                <w:rFonts w:eastAsia="Times New Roman" w:cs="Calibri"/>
                <w:kern w:val="0"/>
                <w:sz w:val="20"/>
                <w:szCs w:val="20"/>
                <w:lang w:eastAsia="pl-PL"/>
              </w:rPr>
            </w:pPr>
            <w:r w:rsidRPr="0070453D">
              <w:rPr>
                <w:rFonts w:eastAsia="Times New Roman" w:cs="Calibri"/>
                <w:kern w:val="0"/>
                <w:sz w:val="20"/>
                <w:szCs w:val="20"/>
                <w:lang w:eastAsia="pl-PL"/>
              </w:rPr>
              <w:t>29 900</w:t>
            </w:r>
          </w:p>
        </w:tc>
        <w:tc>
          <w:tcPr>
            <w:tcW w:w="1290" w:type="dxa"/>
            <w:shd w:val="clear" w:color="000000" w:fill="FFFFFF"/>
            <w:noWrap/>
            <w:vAlign w:val="center"/>
            <w:hideMark/>
          </w:tcPr>
          <w:p w:rsidR="003F2B0C" w:rsidRPr="0070453D" w:rsidRDefault="003F2B0C" w:rsidP="0084338D">
            <w:pPr>
              <w:spacing w:after="0" w:line="240" w:lineRule="auto"/>
              <w:jc w:val="right"/>
              <w:rPr>
                <w:rFonts w:eastAsia="Times New Roman" w:cs="Calibri"/>
                <w:b/>
                <w:bCs/>
                <w:kern w:val="0"/>
                <w:sz w:val="20"/>
                <w:szCs w:val="20"/>
                <w:lang w:eastAsia="pl-PL"/>
              </w:rPr>
            </w:pPr>
            <w:r w:rsidRPr="0070453D">
              <w:rPr>
                <w:rFonts w:eastAsia="Times New Roman" w:cs="Calibri"/>
                <w:b/>
                <w:bCs/>
                <w:kern w:val="0"/>
                <w:sz w:val="20"/>
                <w:szCs w:val="20"/>
                <w:lang w:eastAsia="pl-PL"/>
              </w:rPr>
              <w:t>32 400</w:t>
            </w:r>
          </w:p>
        </w:tc>
      </w:tr>
      <w:tr w:rsidR="003F2B0C" w:rsidRPr="0070453D" w:rsidTr="0084338D">
        <w:trPr>
          <w:trHeight w:val="298"/>
        </w:trPr>
        <w:tc>
          <w:tcPr>
            <w:tcW w:w="1027" w:type="dxa"/>
            <w:shd w:val="clear" w:color="000000" w:fill="FFFFFF"/>
            <w:noWrap/>
            <w:vAlign w:val="center"/>
            <w:hideMark/>
          </w:tcPr>
          <w:p w:rsidR="003F2B0C" w:rsidRPr="0070453D" w:rsidRDefault="003F2B0C" w:rsidP="0084338D">
            <w:pPr>
              <w:spacing w:after="0" w:line="240" w:lineRule="auto"/>
              <w:jc w:val="left"/>
              <w:rPr>
                <w:rFonts w:eastAsia="Times New Roman" w:cs="Calibri"/>
                <w:kern w:val="0"/>
                <w:sz w:val="20"/>
                <w:szCs w:val="20"/>
                <w:lang w:eastAsia="pl-PL"/>
              </w:rPr>
            </w:pPr>
            <w:r w:rsidRPr="0070453D">
              <w:rPr>
                <w:rFonts w:eastAsia="Times New Roman" w:cs="Calibri"/>
                <w:kern w:val="0"/>
                <w:sz w:val="20"/>
                <w:szCs w:val="20"/>
                <w:lang w:eastAsia="pl-PL"/>
              </w:rPr>
              <w:t>NUTS 2</w:t>
            </w:r>
          </w:p>
        </w:tc>
        <w:tc>
          <w:tcPr>
            <w:tcW w:w="759" w:type="dxa"/>
            <w:shd w:val="clear" w:color="000000" w:fill="FFFFFF"/>
            <w:vAlign w:val="center"/>
          </w:tcPr>
          <w:p w:rsidR="003F2B0C" w:rsidRPr="0070453D" w:rsidRDefault="003F2B0C" w:rsidP="0084338D">
            <w:pPr>
              <w:spacing w:after="0" w:line="240" w:lineRule="auto"/>
              <w:jc w:val="left"/>
              <w:rPr>
                <w:rFonts w:eastAsia="Times New Roman" w:cs="Calibri"/>
                <w:kern w:val="0"/>
                <w:sz w:val="20"/>
                <w:szCs w:val="20"/>
                <w:lang w:eastAsia="pl-PL"/>
              </w:rPr>
            </w:pPr>
            <w:r w:rsidRPr="0070453D">
              <w:rPr>
                <w:rFonts w:cs="Arial"/>
                <w:b/>
                <w:bCs/>
                <w:sz w:val="18"/>
                <w:szCs w:val="18"/>
              </w:rPr>
              <w:t>DED2</w:t>
            </w:r>
          </w:p>
        </w:tc>
        <w:tc>
          <w:tcPr>
            <w:tcW w:w="2604" w:type="dxa"/>
            <w:gridSpan w:val="2"/>
            <w:shd w:val="clear" w:color="000000" w:fill="FFFFFF"/>
            <w:noWrap/>
            <w:vAlign w:val="center"/>
            <w:hideMark/>
          </w:tcPr>
          <w:p w:rsidR="003F2B0C" w:rsidRPr="0070453D" w:rsidRDefault="003F2B0C" w:rsidP="0084338D">
            <w:pPr>
              <w:spacing w:after="0" w:line="240" w:lineRule="auto"/>
              <w:jc w:val="left"/>
              <w:rPr>
                <w:rFonts w:eastAsia="Times New Roman" w:cs="Calibri"/>
                <w:kern w:val="0"/>
                <w:sz w:val="20"/>
                <w:szCs w:val="20"/>
                <w:lang w:eastAsia="pl-PL"/>
              </w:rPr>
            </w:pPr>
            <w:proofErr w:type="spellStart"/>
            <w:r w:rsidRPr="0070453D">
              <w:rPr>
                <w:rFonts w:eastAsia="Times New Roman" w:cs="Calibri"/>
                <w:kern w:val="0"/>
                <w:sz w:val="20"/>
                <w:szCs w:val="20"/>
                <w:lang w:eastAsia="pl-PL"/>
              </w:rPr>
              <w:t>Dresden</w:t>
            </w:r>
            <w:proofErr w:type="spellEnd"/>
            <w:r w:rsidRPr="0070453D">
              <w:rPr>
                <w:rFonts w:eastAsia="Times New Roman" w:cs="Calibri"/>
                <w:kern w:val="0"/>
                <w:sz w:val="20"/>
                <w:szCs w:val="20"/>
                <w:lang w:eastAsia="pl-PL"/>
              </w:rPr>
              <w:t xml:space="preserve"> (obszar obejmujący także sąsiadujące powiaty)</w:t>
            </w:r>
          </w:p>
        </w:tc>
        <w:tc>
          <w:tcPr>
            <w:tcW w:w="1184" w:type="dxa"/>
            <w:shd w:val="clear" w:color="000000" w:fill="FFFFFF"/>
            <w:noWrap/>
            <w:vAlign w:val="center"/>
            <w:hideMark/>
          </w:tcPr>
          <w:p w:rsidR="003F2B0C" w:rsidRPr="0070453D" w:rsidRDefault="003F2B0C" w:rsidP="0084338D">
            <w:pPr>
              <w:spacing w:after="0" w:line="240" w:lineRule="auto"/>
              <w:jc w:val="right"/>
              <w:rPr>
                <w:rFonts w:eastAsia="Times New Roman" w:cs="Calibri"/>
                <w:kern w:val="0"/>
                <w:sz w:val="20"/>
                <w:szCs w:val="20"/>
                <w:lang w:eastAsia="pl-PL"/>
              </w:rPr>
            </w:pPr>
            <w:r w:rsidRPr="0070453D">
              <w:rPr>
                <w:rFonts w:eastAsia="Times New Roman" w:cs="Calibri"/>
                <w:kern w:val="0"/>
                <w:sz w:val="20"/>
                <w:szCs w:val="20"/>
                <w:lang w:eastAsia="pl-PL"/>
              </w:rPr>
              <w:t>29 400</w:t>
            </w:r>
          </w:p>
        </w:tc>
        <w:tc>
          <w:tcPr>
            <w:tcW w:w="1184" w:type="dxa"/>
            <w:shd w:val="clear" w:color="000000" w:fill="FFFFFF"/>
            <w:noWrap/>
            <w:vAlign w:val="center"/>
            <w:hideMark/>
          </w:tcPr>
          <w:p w:rsidR="003F2B0C" w:rsidRPr="0070453D" w:rsidRDefault="003F2B0C" w:rsidP="0084338D">
            <w:pPr>
              <w:spacing w:after="0" w:line="240" w:lineRule="auto"/>
              <w:jc w:val="right"/>
              <w:rPr>
                <w:rFonts w:eastAsia="Times New Roman" w:cs="Calibri"/>
                <w:kern w:val="0"/>
                <w:sz w:val="20"/>
                <w:szCs w:val="20"/>
                <w:lang w:eastAsia="pl-PL"/>
              </w:rPr>
            </w:pPr>
            <w:r w:rsidRPr="0070453D">
              <w:rPr>
                <w:rFonts w:eastAsia="Times New Roman" w:cs="Calibri"/>
                <w:kern w:val="0"/>
                <w:sz w:val="20"/>
                <w:szCs w:val="20"/>
                <w:lang w:eastAsia="pl-PL"/>
              </w:rPr>
              <w:t>31 000</w:t>
            </w:r>
          </w:p>
        </w:tc>
        <w:tc>
          <w:tcPr>
            <w:tcW w:w="1184" w:type="dxa"/>
            <w:shd w:val="clear" w:color="000000" w:fill="FFFFFF"/>
            <w:noWrap/>
            <w:vAlign w:val="center"/>
            <w:hideMark/>
          </w:tcPr>
          <w:p w:rsidR="003F2B0C" w:rsidRPr="0070453D" w:rsidRDefault="003F2B0C" w:rsidP="0084338D">
            <w:pPr>
              <w:spacing w:after="0" w:line="240" w:lineRule="auto"/>
              <w:jc w:val="right"/>
              <w:rPr>
                <w:rFonts w:eastAsia="Times New Roman" w:cs="Calibri"/>
                <w:kern w:val="0"/>
                <w:sz w:val="20"/>
                <w:szCs w:val="20"/>
                <w:lang w:eastAsia="pl-PL"/>
              </w:rPr>
            </w:pPr>
            <w:r w:rsidRPr="0070453D">
              <w:rPr>
                <w:rFonts w:eastAsia="Times New Roman" w:cs="Calibri"/>
                <w:kern w:val="0"/>
                <w:sz w:val="20"/>
                <w:szCs w:val="20"/>
                <w:lang w:eastAsia="pl-PL"/>
              </w:rPr>
              <w:t>33 800</w:t>
            </w:r>
          </w:p>
        </w:tc>
        <w:tc>
          <w:tcPr>
            <w:tcW w:w="1290" w:type="dxa"/>
            <w:shd w:val="clear" w:color="000000" w:fill="FFFFFF"/>
            <w:noWrap/>
            <w:vAlign w:val="center"/>
            <w:hideMark/>
          </w:tcPr>
          <w:p w:rsidR="003F2B0C" w:rsidRPr="0070453D" w:rsidRDefault="003F2B0C" w:rsidP="0084338D">
            <w:pPr>
              <w:spacing w:after="0" w:line="240" w:lineRule="auto"/>
              <w:jc w:val="right"/>
              <w:rPr>
                <w:rFonts w:eastAsia="Times New Roman" w:cs="Calibri"/>
                <w:b/>
                <w:bCs/>
                <w:kern w:val="0"/>
                <w:sz w:val="20"/>
                <w:szCs w:val="20"/>
                <w:lang w:eastAsia="pl-PL"/>
              </w:rPr>
            </w:pPr>
            <w:r w:rsidRPr="0070453D">
              <w:rPr>
                <w:rFonts w:eastAsia="Times New Roman" w:cs="Calibri"/>
                <w:b/>
                <w:bCs/>
                <w:kern w:val="0"/>
                <w:sz w:val="20"/>
                <w:szCs w:val="20"/>
                <w:lang w:eastAsia="pl-PL"/>
              </w:rPr>
              <w:t>35 600</w:t>
            </w:r>
          </w:p>
        </w:tc>
      </w:tr>
      <w:tr w:rsidR="003F2B0C" w:rsidRPr="0070453D" w:rsidTr="0084338D">
        <w:trPr>
          <w:trHeight w:val="298"/>
        </w:trPr>
        <w:tc>
          <w:tcPr>
            <w:tcW w:w="1027" w:type="dxa"/>
            <w:shd w:val="clear" w:color="000000" w:fill="FFFFFF"/>
            <w:noWrap/>
            <w:vAlign w:val="center"/>
            <w:hideMark/>
          </w:tcPr>
          <w:p w:rsidR="003F2B0C" w:rsidRPr="0070453D" w:rsidRDefault="003F2B0C" w:rsidP="0084338D">
            <w:pPr>
              <w:spacing w:after="0" w:line="240" w:lineRule="auto"/>
              <w:jc w:val="left"/>
              <w:rPr>
                <w:rFonts w:eastAsia="Times New Roman" w:cs="Calibri"/>
                <w:kern w:val="0"/>
                <w:sz w:val="20"/>
                <w:szCs w:val="20"/>
                <w:lang w:eastAsia="pl-PL"/>
              </w:rPr>
            </w:pPr>
            <w:r w:rsidRPr="0070453D">
              <w:rPr>
                <w:rFonts w:eastAsia="Times New Roman" w:cs="Calibri"/>
                <w:kern w:val="0"/>
                <w:sz w:val="20"/>
                <w:szCs w:val="20"/>
                <w:lang w:eastAsia="pl-PL"/>
              </w:rPr>
              <w:t>NUTS 3</w:t>
            </w:r>
          </w:p>
        </w:tc>
        <w:tc>
          <w:tcPr>
            <w:tcW w:w="759" w:type="dxa"/>
            <w:shd w:val="clear" w:color="000000" w:fill="FFFFFF"/>
            <w:vAlign w:val="center"/>
          </w:tcPr>
          <w:p w:rsidR="003F2B0C" w:rsidRPr="0070453D" w:rsidRDefault="003F2B0C" w:rsidP="0084338D">
            <w:pPr>
              <w:spacing w:after="0" w:line="240" w:lineRule="auto"/>
              <w:jc w:val="left"/>
              <w:rPr>
                <w:rFonts w:eastAsia="Times New Roman" w:cs="Calibri"/>
                <w:kern w:val="0"/>
                <w:sz w:val="20"/>
                <w:szCs w:val="20"/>
                <w:lang w:eastAsia="pl-PL"/>
              </w:rPr>
            </w:pPr>
            <w:r w:rsidRPr="0070453D">
              <w:rPr>
                <w:rFonts w:cs="Arial"/>
                <w:b/>
                <w:bCs/>
                <w:sz w:val="18"/>
                <w:szCs w:val="18"/>
              </w:rPr>
              <w:t>DED21</w:t>
            </w:r>
          </w:p>
        </w:tc>
        <w:tc>
          <w:tcPr>
            <w:tcW w:w="2604" w:type="dxa"/>
            <w:gridSpan w:val="2"/>
            <w:shd w:val="clear" w:color="000000" w:fill="FFFFFF"/>
            <w:noWrap/>
            <w:vAlign w:val="center"/>
            <w:hideMark/>
          </w:tcPr>
          <w:p w:rsidR="003F2B0C" w:rsidRPr="0070453D" w:rsidRDefault="003F2B0C" w:rsidP="0084338D">
            <w:pPr>
              <w:spacing w:after="0" w:line="240" w:lineRule="auto"/>
              <w:jc w:val="left"/>
              <w:rPr>
                <w:rFonts w:eastAsia="Times New Roman" w:cs="Calibri"/>
                <w:kern w:val="0"/>
                <w:sz w:val="20"/>
                <w:szCs w:val="20"/>
                <w:lang w:eastAsia="pl-PL"/>
              </w:rPr>
            </w:pPr>
            <w:proofErr w:type="spellStart"/>
            <w:r w:rsidRPr="0070453D">
              <w:rPr>
                <w:rFonts w:eastAsia="Times New Roman" w:cs="Calibri"/>
                <w:kern w:val="0"/>
                <w:sz w:val="20"/>
                <w:szCs w:val="20"/>
                <w:lang w:eastAsia="pl-PL"/>
              </w:rPr>
              <w:t>Dresden</w:t>
            </w:r>
            <w:proofErr w:type="spellEnd"/>
            <w:r w:rsidRPr="0070453D">
              <w:rPr>
                <w:rFonts w:eastAsia="Times New Roman" w:cs="Calibri"/>
                <w:kern w:val="0"/>
                <w:sz w:val="20"/>
                <w:szCs w:val="20"/>
                <w:lang w:eastAsia="pl-PL"/>
              </w:rPr>
              <w:t xml:space="preserve">, </w:t>
            </w:r>
            <w:proofErr w:type="spellStart"/>
            <w:r w:rsidRPr="0070453D">
              <w:rPr>
                <w:rFonts w:eastAsia="Times New Roman" w:cs="Calibri"/>
                <w:kern w:val="0"/>
                <w:sz w:val="20"/>
                <w:szCs w:val="20"/>
                <w:lang w:eastAsia="pl-PL"/>
              </w:rPr>
              <w:t>Kreisfreie</w:t>
            </w:r>
            <w:proofErr w:type="spellEnd"/>
            <w:r w:rsidRPr="0070453D">
              <w:rPr>
                <w:rFonts w:eastAsia="Times New Roman" w:cs="Calibri"/>
                <w:kern w:val="0"/>
                <w:sz w:val="20"/>
                <w:szCs w:val="20"/>
                <w:lang w:eastAsia="pl-PL"/>
              </w:rPr>
              <w:t xml:space="preserve"> Stadt ( Drezno jako obszar miejski)</w:t>
            </w:r>
          </w:p>
        </w:tc>
        <w:tc>
          <w:tcPr>
            <w:tcW w:w="1184" w:type="dxa"/>
            <w:shd w:val="clear" w:color="000000" w:fill="FFFFFF"/>
            <w:noWrap/>
            <w:vAlign w:val="center"/>
            <w:hideMark/>
          </w:tcPr>
          <w:p w:rsidR="003F2B0C" w:rsidRPr="0070453D" w:rsidRDefault="003F2B0C" w:rsidP="0084338D">
            <w:pPr>
              <w:spacing w:after="0" w:line="240" w:lineRule="auto"/>
              <w:jc w:val="right"/>
              <w:rPr>
                <w:rFonts w:eastAsia="Times New Roman" w:cs="Calibri"/>
                <w:kern w:val="0"/>
                <w:sz w:val="20"/>
                <w:szCs w:val="20"/>
                <w:lang w:eastAsia="pl-PL"/>
              </w:rPr>
            </w:pPr>
            <w:r w:rsidRPr="0070453D">
              <w:rPr>
                <w:rFonts w:eastAsia="Times New Roman" w:cs="Calibri"/>
                <w:kern w:val="0"/>
                <w:sz w:val="20"/>
                <w:szCs w:val="20"/>
                <w:lang w:eastAsia="pl-PL"/>
              </w:rPr>
              <w:t>38 400</w:t>
            </w:r>
          </w:p>
        </w:tc>
        <w:tc>
          <w:tcPr>
            <w:tcW w:w="1184" w:type="dxa"/>
            <w:shd w:val="clear" w:color="000000" w:fill="FFFFFF"/>
            <w:noWrap/>
            <w:vAlign w:val="center"/>
            <w:hideMark/>
          </w:tcPr>
          <w:p w:rsidR="003F2B0C" w:rsidRPr="0070453D" w:rsidRDefault="003F2B0C" w:rsidP="0084338D">
            <w:pPr>
              <w:spacing w:after="0" w:line="240" w:lineRule="auto"/>
              <w:jc w:val="right"/>
              <w:rPr>
                <w:rFonts w:eastAsia="Times New Roman" w:cs="Calibri"/>
                <w:kern w:val="0"/>
                <w:sz w:val="20"/>
                <w:szCs w:val="20"/>
                <w:lang w:eastAsia="pl-PL"/>
              </w:rPr>
            </w:pPr>
            <w:r w:rsidRPr="0070453D">
              <w:rPr>
                <w:rFonts w:eastAsia="Times New Roman" w:cs="Calibri"/>
                <w:kern w:val="0"/>
                <w:sz w:val="20"/>
                <w:szCs w:val="20"/>
                <w:lang w:eastAsia="pl-PL"/>
              </w:rPr>
              <w:t>39 900</w:t>
            </w:r>
          </w:p>
        </w:tc>
        <w:tc>
          <w:tcPr>
            <w:tcW w:w="1184" w:type="dxa"/>
            <w:shd w:val="clear" w:color="000000" w:fill="FFFFFF"/>
            <w:noWrap/>
            <w:vAlign w:val="center"/>
            <w:hideMark/>
          </w:tcPr>
          <w:p w:rsidR="003F2B0C" w:rsidRPr="0070453D" w:rsidRDefault="003F2B0C" w:rsidP="0084338D">
            <w:pPr>
              <w:spacing w:after="0" w:line="240" w:lineRule="auto"/>
              <w:jc w:val="right"/>
              <w:rPr>
                <w:rFonts w:eastAsia="Times New Roman" w:cs="Calibri"/>
                <w:kern w:val="0"/>
                <w:sz w:val="20"/>
                <w:szCs w:val="20"/>
                <w:lang w:eastAsia="pl-PL"/>
              </w:rPr>
            </w:pPr>
            <w:r w:rsidRPr="0070453D">
              <w:rPr>
                <w:rFonts w:eastAsia="Times New Roman" w:cs="Calibri"/>
                <w:kern w:val="0"/>
                <w:sz w:val="20"/>
                <w:szCs w:val="20"/>
                <w:lang w:eastAsia="pl-PL"/>
              </w:rPr>
              <w:t>43 200</w:t>
            </w:r>
          </w:p>
        </w:tc>
        <w:tc>
          <w:tcPr>
            <w:tcW w:w="1290" w:type="dxa"/>
            <w:shd w:val="clear" w:color="000000" w:fill="FFFFFF"/>
            <w:noWrap/>
            <w:vAlign w:val="center"/>
            <w:hideMark/>
          </w:tcPr>
          <w:p w:rsidR="003F2B0C" w:rsidRPr="0070453D" w:rsidRDefault="003F2B0C" w:rsidP="0084338D">
            <w:pPr>
              <w:spacing w:after="0" w:line="240" w:lineRule="auto"/>
              <w:jc w:val="center"/>
              <w:rPr>
                <w:rFonts w:eastAsia="Times New Roman" w:cs="Calibri"/>
                <w:kern w:val="0"/>
                <w:sz w:val="20"/>
                <w:szCs w:val="20"/>
                <w:lang w:eastAsia="pl-PL"/>
              </w:rPr>
            </w:pPr>
            <w:r w:rsidRPr="0070453D">
              <w:rPr>
                <w:rFonts w:eastAsia="Times New Roman" w:cs="Calibri"/>
                <w:kern w:val="0"/>
                <w:sz w:val="20"/>
                <w:szCs w:val="20"/>
                <w:lang w:eastAsia="pl-PL"/>
              </w:rPr>
              <w:t>Brak danych </w:t>
            </w:r>
          </w:p>
        </w:tc>
      </w:tr>
      <w:tr w:rsidR="003F2B0C" w:rsidRPr="0070453D" w:rsidTr="0084338D">
        <w:trPr>
          <w:trHeight w:val="477"/>
        </w:trPr>
        <w:tc>
          <w:tcPr>
            <w:tcW w:w="1027" w:type="dxa"/>
            <w:shd w:val="clear" w:color="000000" w:fill="FFFFFF"/>
            <w:noWrap/>
            <w:vAlign w:val="center"/>
            <w:hideMark/>
          </w:tcPr>
          <w:p w:rsidR="003F2B0C" w:rsidRPr="0070453D" w:rsidRDefault="003F2B0C" w:rsidP="0084338D">
            <w:pPr>
              <w:spacing w:after="0" w:line="240" w:lineRule="auto"/>
              <w:jc w:val="left"/>
              <w:rPr>
                <w:rFonts w:eastAsia="Times New Roman" w:cs="Calibri"/>
                <w:kern w:val="0"/>
                <w:sz w:val="20"/>
                <w:szCs w:val="20"/>
                <w:lang w:eastAsia="pl-PL"/>
              </w:rPr>
            </w:pPr>
            <w:r w:rsidRPr="0070453D">
              <w:rPr>
                <w:rFonts w:eastAsia="Times New Roman" w:cs="Calibri"/>
                <w:kern w:val="0"/>
                <w:sz w:val="20"/>
                <w:szCs w:val="20"/>
                <w:lang w:eastAsia="pl-PL"/>
              </w:rPr>
              <w:t>NUTS 2</w:t>
            </w:r>
          </w:p>
        </w:tc>
        <w:tc>
          <w:tcPr>
            <w:tcW w:w="759" w:type="dxa"/>
            <w:shd w:val="clear" w:color="000000" w:fill="FFFFFF"/>
            <w:vAlign w:val="center"/>
          </w:tcPr>
          <w:p w:rsidR="003F2B0C" w:rsidRPr="0070453D" w:rsidRDefault="003F2B0C" w:rsidP="0084338D">
            <w:pPr>
              <w:spacing w:after="0" w:line="240" w:lineRule="auto"/>
              <w:jc w:val="left"/>
              <w:rPr>
                <w:rFonts w:eastAsia="Times New Roman" w:cs="Calibri"/>
                <w:kern w:val="0"/>
                <w:sz w:val="20"/>
                <w:szCs w:val="20"/>
                <w:lang w:eastAsia="pl-PL"/>
              </w:rPr>
            </w:pPr>
            <w:r w:rsidRPr="0070453D">
              <w:rPr>
                <w:rFonts w:cs="Arial"/>
                <w:b/>
                <w:bCs/>
                <w:sz w:val="18"/>
                <w:szCs w:val="18"/>
              </w:rPr>
              <w:t>PL21</w:t>
            </w:r>
          </w:p>
        </w:tc>
        <w:tc>
          <w:tcPr>
            <w:tcW w:w="2604" w:type="dxa"/>
            <w:gridSpan w:val="2"/>
            <w:shd w:val="clear" w:color="000000" w:fill="FFFFFF"/>
            <w:noWrap/>
            <w:vAlign w:val="center"/>
            <w:hideMark/>
          </w:tcPr>
          <w:p w:rsidR="003F2B0C" w:rsidRPr="0070453D" w:rsidRDefault="003F2B0C" w:rsidP="0084338D">
            <w:pPr>
              <w:spacing w:after="0" w:line="240" w:lineRule="auto"/>
              <w:jc w:val="left"/>
              <w:rPr>
                <w:rFonts w:eastAsia="Times New Roman" w:cs="Calibri"/>
                <w:kern w:val="0"/>
                <w:sz w:val="20"/>
                <w:szCs w:val="20"/>
                <w:lang w:eastAsia="pl-PL"/>
              </w:rPr>
            </w:pPr>
            <w:r w:rsidRPr="0070453D">
              <w:rPr>
                <w:rFonts w:eastAsia="Times New Roman" w:cs="Calibri"/>
                <w:kern w:val="0"/>
                <w:sz w:val="20"/>
                <w:szCs w:val="20"/>
                <w:lang w:eastAsia="pl-PL"/>
              </w:rPr>
              <w:t>Małopolskie (województwo)</w:t>
            </w:r>
          </w:p>
        </w:tc>
        <w:tc>
          <w:tcPr>
            <w:tcW w:w="1184" w:type="dxa"/>
            <w:shd w:val="clear" w:color="000000" w:fill="FFFFFF"/>
            <w:noWrap/>
            <w:vAlign w:val="center"/>
            <w:hideMark/>
          </w:tcPr>
          <w:p w:rsidR="003F2B0C" w:rsidRPr="0070453D" w:rsidRDefault="003F2B0C" w:rsidP="0084338D">
            <w:pPr>
              <w:spacing w:after="0" w:line="240" w:lineRule="auto"/>
              <w:jc w:val="right"/>
              <w:rPr>
                <w:rFonts w:eastAsia="Times New Roman" w:cs="Calibri"/>
                <w:kern w:val="0"/>
                <w:sz w:val="20"/>
                <w:szCs w:val="20"/>
                <w:lang w:eastAsia="pl-PL"/>
              </w:rPr>
            </w:pPr>
            <w:r w:rsidRPr="0070453D">
              <w:rPr>
                <w:rFonts w:eastAsia="Times New Roman" w:cs="Calibri"/>
                <w:kern w:val="0"/>
                <w:sz w:val="20"/>
                <w:szCs w:val="20"/>
                <w:lang w:eastAsia="pl-PL"/>
              </w:rPr>
              <w:t>21 600</w:t>
            </w:r>
          </w:p>
        </w:tc>
        <w:tc>
          <w:tcPr>
            <w:tcW w:w="1184" w:type="dxa"/>
            <w:shd w:val="clear" w:color="000000" w:fill="FFFFFF"/>
            <w:noWrap/>
            <w:vAlign w:val="center"/>
            <w:hideMark/>
          </w:tcPr>
          <w:p w:rsidR="003F2B0C" w:rsidRPr="0070453D" w:rsidRDefault="003F2B0C" w:rsidP="0084338D">
            <w:pPr>
              <w:spacing w:after="0" w:line="240" w:lineRule="auto"/>
              <w:jc w:val="right"/>
              <w:rPr>
                <w:rFonts w:eastAsia="Times New Roman" w:cs="Calibri"/>
                <w:kern w:val="0"/>
                <w:sz w:val="20"/>
                <w:szCs w:val="20"/>
                <w:lang w:eastAsia="pl-PL"/>
              </w:rPr>
            </w:pPr>
            <w:r w:rsidRPr="0070453D">
              <w:rPr>
                <w:rFonts w:eastAsia="Times New Roman" w:cs="Calibri"/>
                <w:kern w:val="0"/>
                <w:sz w:val="20"/>
                <w:szCs w:val="20"/>
                <w:lang w:eastAsia="pl-PL"/>
              </w:rPr>
              <w:t>23 900</w:t>
            </w:r>
          </w:p>
        </w:tc>
        <w:tc>
          <w:tcPr>
            <w:tcW w:w="1184" w:type="dxa"/>
            <w:shd w:val="clear" w:color="000000" w:fill="FFFFFF"/>
            <w:noWrap/>
            <w:vAlign w:val="center"/>
            <w:hideMark/>
          </w:tcPr>
          <w:p w:rsidR="003F2B0C" w:rsidRPr="0070453D" w:rsidRDefault="003F2B0C" w:rsidP="0084338D">
            <w:pPr>
              <w:spacing w:after="0" w:line="240" w:lineRule="auto"/>
              <w:jc w:val="right"/>
              <w:rPr>
                <w:rFonts w:eastAsia="Times New Roman" w:cs="Calibri"/>
                <w:kern w:val="0"/>
                <w:sz w:val="20"/>
                <w:szCs w:val="20"/>
                <w:lang w:eastAsia="pl-PL"/>
              </w:rPr>
            </w:pPr>
            <w:r w:rsidRPr="0070453D">
              <w:rPr>
                <w:rFonts w:eastAsia="Times New Roman" w:cs="Calibri"/>
                <w:kern w:val="0"/>
                <w:sz w:val="20"/>
                <w:szCs w:val="20"/>
                <w:lang w:eastAsia="pl-PL"/>
              </w:rPr>
              <w:t>25 000</w:t>
            </w:r>
          </w:p>
        </w:tc>
        <w:tc>
          <w:tcPr>
            <w:tcW w:w="1290" w:type="dxa"/>
            <w:shd w:val="clear" w:color="000000" w:fill="FFFFFF"/>
            <w:noWrap/>
            <w:vAlign w:val="center"/>
            <w:hideMark/>
          </w:tcPr>
          <w:p w:rsidR="003F2B0C" w:rsidRPr="0070453D" w:rsidRDefault="003F2B0C" w:rsidP="0084338D">
            <w:pPr>
              <w:spacing w:after="0" w:line="240" w:lineRule="auto"/>
              <w:jc w:val="right"/>
              <w:rPr>
                <w:rFonts w:eastAsia="Times New Roman" w:cs="Calibri"/>
                <w:b/>
                <w:bCs/>
                <w:kern w:val="0"/>
                <w:sz w:val="20"/>
                <w:szCs w:val="20"/>
                <w:lang w:eastAsia="pl-PL"/>
              </w:rPr>
            </w:pPr>
            <w:r w:rsidRPr="0070453D">
              <w:rPr>
                <w:rFonts w:eastAsia="Times New Roman" w:cs="Calibri"/>
                <w:b/>
                <w:bCs/>
                <w:kern w:val="0"/>
                <w:sz w:val="20"/>
                <w:szCs w:val="20"/>
                <w:lang w:eastAsia="pl-PL"/>
              </w:rPr>
              <w:t>26 200</w:t>
            </w:r>
          </w:p>
        </w:tc>
      </w:tr>
      <w:tr w:rsidR="003F2B0C" w:rsidRPr="0070453D" w:rsidTr="0084338D">
        <w:trPr>
          <w:trHeight w:val="298"/>
        </w:trPr>
        <w:tc>
          <w:tcPr>
            <w:tcW w:w="1027" w:type="dxa"/>
            <w:shd w:val="clear" w:color="000000" w:fill="FFFFFF"/>
            <w:noWrap/>
            <w:vAlign w:val="center"/>
            <w:hideMark/>
          </w:tcPr>
          <w:p w:rsidR="003F2B0C" w:rsidRPr="0070453D" w:rsidRDefault="003F2B0C" w:rsidP="0084338D">
            <w:pPr>
              <w:spacing w:after="0" w:line="240" w:lineRule="auto"/>
              <w:jc w:val="left"/>
              <w:rPr>
                <w:rFonts w:eastAsia="Times New Roman" w:cs="Calibri"/>
                <w:kern w:val="0"/>
                <w:sz w:val="20"/>
                <w:szCs w:val="20"/>
                <w:lang w:eastAsia="pl-PL"/>
              </w:rPr>
            </w:pPr>
            <w:r w:rsidRPr="0070453D">
              <w:rPr>
                <w:rFonts w:eastAsia="Times New Roman" w:cs="Calibri"/>
                <w:kern w:val="0"/>
                <w:sz w:val="20"/>
                <w:szCs w:val="20"/>
                <w:lang w:eastAsia="pl-PL"/>
              </w:rPr>
              <w:t>NUTS 3</w:t>
            </w:r>
          </w:p>
        </w:tc>
        <w:tc>
          <w:tcPr>
            <w:tcW w:w="759" w:type="dxa"/>
            <w:shd w:val="clear" w:color="000000" w:fill="FFFFFF"/>
            <w:vAlign w:val="center"/>
          </w:tcPr>
          <w:p w:rsidR="003F2B0C" w:rsidRPr="0070453D" w:rsidRDefault="003F2B0C" w:rsidP="0084338D">
            <w:pPr>
              <w:spacing w:after="0" w:line="240" w:lineRule="auto"/>
              <w:jc w:val="left"/>
              <w:rPr>
                <w:rFonts w:eastAsia="Times New Roman" w:cs="Calibri"/>
                <w:kern w:val="0"/>
                <w:sz w:val="20"/>
                <w:szCs w:val="20"/>
                <w:lang w:eastAsia="pl-PL"/>
              </w:rPr>
            </w:pPr>
            <w:r w:rsidRPr="0070453D">
              <w:rPr>
                <w:rFonts w:cs="Arial"/>
                <w:b/>
                <w:bCs/>
                <w:sz w:val="18"/>
                <w:szCs w:val="18"/>
              </w:rPr>
              <w:t>PL213</w:t>
            </w:r>
          </w:p>
        </w:tc>
        <w:tc>
          <w:tcPr>
            <w:tcW w:w="2604" w:type="dxa"/>
            <w:gridSpan w:val="2"/>
            <w:shd w:val="clear" w:color="000000" w:fill="FFFFFF"/>
            <w:noWrap/>
            <w:vAlign w:val="center"/>
            <w:hideMark/>
          </w:tcPr>
          <w:p w:rsidR="003F2B0C" w:rsidRPr="0070453D" w:rsidRDefault="003F2B0C" w:rsidP="0084338D">
            <w:pPr>
              <w:spacing w:after="0" w:line="240" w:lineRule="auto"/>
              <w:jc w:val="left"/>
              <w:rPr>
                <w:rFonts w:eastAsia="Times New Roman" w:cs="Calibri"/>
                <w:kern w:val="0"/>
                <w:sz w:val="20"/>
                <w:szCs w:val="20"/>
                <w:lang w:eastAsia="pl-PL"/>
              </w:rPr>
            </w:pPr>
            <w:r w:rsidRPr="0070453D">
              <w:rPr>
                <w:rFonts w:eastAsia="Times New Roman" w:cs="Calibri"/>
                <w:kern w:val="0"/>
                <w:sz w:val="20"/>
                <w:szCs w:val="20"/>
                <w:lang w:eastAsia="pl-PL"/>
              </w:rPr>
              <w:t>Miasto Kraków (obszar miejski)</w:t>
            </w:r>
          </w:p>
        </w:tc>
        <w:tc>
          <w:tcPr>
            <w:tcW w:w="1184" w:type="dxa"/>
            <w:shd w:val="clear" w:color="000000" w:fill="FFFFFF"/>
            <w:noWrap/>
            <w:vAlign w:val="center"/>
            <w:hideMark/>
          </w:tcPr>
          <w:p w:rsidR="003F2B0C" w:rsidRPr="0070453D" w:rsidRDefault="003F2B0C" w:rsidP="0084338D">
            <w:pPr>
              <w:spacing w:after="0" w:line="240" w:lineRule="auto"/>
              <w:jc w:val="right"/>
              <w:rPr>
                <w:rFonts w:eastAsia="Times New Roman" w:cs="Calibri"/>
                <w:kern w:val="0"/>
                <w:sz w:val="20"/>
                <w:szCs w:val="20"/>
                <w:lang w:eastAsia="pl-PL"/>
              </w:rPr>
            </w:pPr>
            <w:r w:rsidRPr="0070453D">
              <w:rPr>
                <w:rFonts w:eastAsia="Times New Roman" w:cs="Calibri"/>
                <w:kern w:val="0"/>
                <w:sz w:val="20"/>
                <w:szCs w:val="20"/>
                <w:lang w:eastAsia="pl-PL"/>
              </w:rPr>
              <w:t>38 200</w:t>
            </w:r>
          </w:p>
        </w:tc>
        <w:tc>
          <w:tcPr>
            <w:tcW w:w="1184" w:type="dxa"/>
            <w:shd w:val="clear" w:color="000000" w:fill="FFFFFF"/>
            <w:noWrap/>
            <w:vAlign w:val="center"/>
            <w:hideMark/>
          </w:tcPr>
          <w:p w:rsidR="003F2B0C" w:rsidRPr="0070453D" w:rsidRDefault="003F2B0C" w:rsidP="0084338D">
            <w:pPr>
              <w:spacing w:after="0" w:line="240" w:lineRule="auto"/>
              <w:jc w:val="right"/>
              <w:rPr>
                <w:rFonts w:eastAsia="Times New Roman" w:cs="Calibri"/>
                <w:kern w:val="0"/>
                <w:sz w:val="20"/>
                <w:szCs w:val="20"/>
                <w:lang w:eastAsia="pl-PL"/>
              </w:rPr>
            </w:pPr>
            <w:r w:rsidRPr="0070453D">
              <w:rPr>
                <w:rFonts w:eastAsia="Times New Roman" w:cs="Calibri"/>
                <w:kern w:val="0"/>
                <w:sz w:val="20"/>
                <w:szCs w:val="20"/>
                <w:lang w:eastAsia="pl-PL"/>
              </w:rPr>
              <w:t>43 300</w:t>
            </w:r>
          </w:p>
        </w:tc>
        <w:tc>
          <w:tcPr>
            <w:tcW w:w="1184" w:type="dxa"/>
            <w:shd w:val="clear" w:color="000000" w:fill="FFFFFF"/>
            <w:noWrap/>
            <w:vAlign w:val="center"/>
            <w:hideMark/>
          </w:tcPr>
          <w:p w:rsidR="003F2B0C" w:rsidRPr="0070453D" w:rsidRDefault="003F2B0C" w:rsidP="0084338D">
            <w:pPr>
              <w:spacing w:after="0" w:line="240" w:lineRule="auto"/>
              <w:jc w:val="right"/>
              <w:rPr>
                <w:rFonts w:eastAsia="Times New Roman" w:cs="Calibri"/>
                <w:kern w:val="0"/>
                <w:sz w:val="20"/>
                <w:szCs w:val="20"/>
                <w:lang w:eastAsia="pl-PL"/>
              </w:rPr>
            </w:pPr>
            <w:r w:rsidRPr="0070453D">
              <w:rPr>
                <w:rFonts w:eastAsia="Times New Roman" w:cs="Calibri"/>
                <w:kern w:val="0"/>
                <w:sz w:val="20"/>
                <w:szCs w:val="20"/>
                <w:lang w:eastAsia="pl-PL"/>
              </w:rPr>
              <w:t>44 700</w:t>
            </w:r>
          </w:p>
        </w:tc>
        <w:tc>
          <w:tcPr>
            <w:tcW w:w="1290" w:type="dxa"/>
            <w:shd w:val="clear" w:color="000000" w:fill="FFFFFF"/>
            <w:noWrap/>
            <w:vAlign w:val="center"/>
            <w:hideMark/>
          </w:tcPr>
          <w:p w:rsidR="003F2B0C" w:rsidRPr="0070453D" w:rsidRDefault="003F2B0C" w:rsidP="0084338D">
            <w:pPr>
              <w:spacing w:after="0" w:line="240" w:lineRule="auto"/>
              <w:jc w:val="right"/>
              <w:rPr>
                <w:rFonts w:eastAsia="Times New Roman" w:cs="Calibri"/>
                <w:kern w:val="0"/>
                <w:sz w:val="20"/>
                <w:szCs w:val="20"/>
                <w:lang w:eastAsia="pl-PL"/>
              </w:rPr>
            </w:pPr>
            <w:r w:rsidRPr="0070453D">
              <w:rPr>
                <w:rFonts w:eastAsia="Times New Roman" w:cs="Calibri"/>
                <w:kern w:val="0"/>
                <w:sz w:val="20"/>
                <w:szCs w:val="20"/>
                <w:lang w:eastAsia="pl-PL"/>
              </w:rPr>
              <w:t>Brak danych  </w:t>
            </w:r>
          </w:p>
        </w:tc>
      </w:tr>
      <w:tr w:rsidR="003F2B0C" w:rsidRPr="0070453D" w:rsidTr="0084338D">
        <w:trPr>
          <w:trHeight w:val="298"/>
        </w:trPr>
        <w:tc>
          <w:tcPr>
            <w:tcW w:w="1027" w:type="dxa"/>
            <w:shd w:val="clear" w:color="000000" w:fill="FFFFFF"/>
            <w:noWrap/>
            <w:vAlign w:val="center"/>
            <w:hideMark/>
          </w:tcPr>
          <w:p w:rsidR="003F2B0C" w:rsidRPr="0070453D" w:rsidRDefault="003F2B0C" w:rsidP="0084338D">
            <w:pPr>
              <w:spacing w:after="0" w:line="240" w:lineRule="auto"/>
              <w:jc w:val="left"/>
              <w:rPr>
                <w:rFonts w:eastAsia="Times New Roman" w:cs="Calibri"/>
                <w:kern w:val="0"/>
                <w:sz w:val="20"/>
                <w:szCs w:val="20"/>
                <w:lang w:eastAsia="pl-PL"/>
              </w:rPr>
            </w:pPr>
            <w:r w:rsidRPr="0070453D">
              <w:rPr>
                <w:rFonts w:eastAsia="Times New Roman" w:cs="Calibri"/>
                <w:kern w:val="0"/>
                <w:sz w:val="20"/>
                <w:szCs w:val="20"/>
                <w:lang w:eastAsia="pl-PL"/>
              </w:rPr>
              <w:t>NUTS 3</w:t>
            </w:r>
          </w:p>
        </w:tc>
        <w:tc>
          <w:tcPr>
            <w:tcW w:w="759" w:type="dxa"/>
            <w:shd w:val="clear" w:color="000000" w:fill="FFFFFF"/>
            <w:vAlign w:val="center"/>
          </w:tcPr>
          <w:p w:rsidR="003F2B0C" w:rsidRPr="0070453D" w:rsidRDefault="003F2B0C" w:rsidP="0084338D">
            <w:pPr>
              <w:spacing w:after="0" w:line="240" w:lineRule="auto"/>
              <w:jc w:val="left"/>
              <w:rPr>
                <w:rFonts w:eastAsia="Times New Roman" w:cs="Calibri"/>
                <w:kern w:val="0"/>
                <w:sz w:val="20"/>
                <w:szCs w:val="20"/>
                <w:lang w:eastAsia="pl-PL"/>
              </w:rPr>
            </w:pPr>
            <w:r w:rsidRPr="0070453D">
              <w:rPr>
                <w:rFonts w:cs="Arial"/>
                <w:b/>
                <w:bCs/>
                <w:sz w:val="18"/>
                <w:szCs w:val="18"/>
              </w:rPr>
              <w:t>PL214</w:t>
            </w:r>
          </w:p>
        </w:tc>
        <w:tc>
          <w:tcPr>
            <w:tcW w:w="2604" w:type="dxa"/>
            <w:gridSpan w:val="2"/>
            <w:shd w:val="clear" w:color="000000" w:fill="FFFFFF"/>
            <w:noWrap/>
            <w:vAlign w:val="center"/>
            <w:hideMark/>
          </w:tcPr>
          <w:p w:rsidR="003F2B0C" w:rsidRPr="0070453D" w:rsidRDefault="003F2B0C" w:rsidP="0084338D">
            <w:pPr>
              <w:spacing w:after="0" w:line="240" w:lineRule="auto"/>
              <w:jc w:val="left"/>
              <w:rPr>
                <w:rFonts w:eastAsia="Times New Roman" w:cs="Calibri"/>
                <w:kern w:val="0"/>
                <w:sz w:val="20"/>
                <w:szCs w:val="20"/>
                <w:lang w:eastAsia="pl-PL"/>
              </w:rPr>
            </w:pPr>
            <w:r w:rsidRPr="0070453D">
              <w:rPr>
                <w:rFonts w:eastAsia="Times New Roman" w:cs="Calibri"/>
                <w:kern w:val="0"/>
                <w:sz w:val="20"/>
                <w:szCs w:val="20"/>
                <w:lang w:eastAsia="pl-PL"/>
              </w:rPr>
              <w:t>Krakowski (podregion)</w:t>
            </w:r>
          </w:p>
        </w:tc>
        <w:tc>
          <w:tcPr>
            <w:tcW w:w="1184" w:type="dxa"/>
            <w:shd w:val="clear" w:color="000000" w:fill="FFFFFF"/>
            <w:noWrap/>
            <w:vAlign w:val="center"/>
            <w:hideMark/>
          </w:tcPr>
          <w:p w:rsidR="003F2B0C" w:rsidRPr="0070453D" w:rsidRDefault="003F2B0C" w:rsidP="0084338D">
            <w:pPr>
              <w:spacing w:after="0" w:line="240" w:lineRule="auto"/>
              <w:jc w:val="right"/>
              <w:rPr>
                <w:rFonts w:eastAsia="Times New Roman" w:cs="Calibri"/>
                <w:kern w:val="0"/>
                <w:sz w:val="20"/>
                <w:szCs w:val="20"/>
                <w:lang w:eastAsia="pl-PL"/>
              </w:rPr>
            </w:pPr>
            <w:r w:rsidRPr="0070453D">
              <w:rPr>
                <w:rFonts w:eastAsia="Times New Roman" w:cs="Calibri"/>
                <w:kern w:val="0"/>
                <w:sz w:val="20"/>
                <w:szCs w:val="20"/>
                <w:lang w:eastAsia="pl-PL"/>
              </w:rPr>
              <w:t>17 100</w:t>
            </w:r>
          </w:p>
        </w:tc>
        <w:tc>
          <w:tcPr>
            <w:tcW w:w="1184" w:type="dxa"/>
            <w:shd w:val="clear" w:color="000000" w:fill="FFFFFF"/>
            <w:noWrap/>
            <w:vAlign w:val="center"/>
            <w:hideMark/>
          </w:tcPr>
          <w:p w:rsidR="003F2B0C" w:rsidRPr="0070453D" w:rsidRDefault="003F2B0C" w:rsidP="0084338D">
            <w:pPr>
              <w:spacing w:after="0" w:line="240" w:lineRule="auto"/>
              <w:jc w:val="right"/>
              <w:rPr>
                <w:rFonts w:eastAsia="Times New Roman" w:cs="Calibri"/>
                <w:kern w:val="0"/>
                <w:sz w:val="20"/>
                <w:szCs w:val="20"/>
                <w:lang w:eastAsia="pl-PL"/>
              </w:rPr>
            </w:pPr>
            <w:r w:rsidRPr="0070453D">
              <w:rPr>
                <w:rFonts w:eastAsia="Times New Roman" w:cs="Calibri"/>
                <w:kern w:val="0"/>
                <w:sz w:val="20"/>
                <w:szCs w:val="20"/>
                <w:lang w:eastAsia="pl-PL"/>
              </w:rPr>
              <w:t>18 700</w:t>
            </w:r>
          </w:p>
        </w:tc>
        <w:tc>
          <w:tcPr>
            <w:tcW w:w="1184" w:type="dxa"/>
            <w:shd w:val="clear" w:color="000000" w:fill="FFFFFF"/>
            <w:noWrap/>
            <w:vAlign w:val="center"/>
            <w:hideMark/>
          </w:tcPr>
          <w:p w:rsidR="003F2B0C" w:rsidRPr="0070453D" w:rsidRDefault="003F2B0C" w:rsidP="0084338D">
            <w:pPr>
              <w:spacing w:after="0" w:line="240" w:lineRule="auto"/>
              <w:jc w:val="right"/>
              <w:rPr>
                <w:rFonts w:eastAsia="Times New Roman" w:cs="Calibri"/>
                <w:kern w:val="0"/>
                <w:sz w:val="20"/>
                <w:szCs w:val="20"/>
                <w:lang w:eastAsia="pl-PL"/>
              </w:rPr>
            </w:pPr>
            <w:r w:rsidRPr="0070453D">
              <w:rPr>
                <w:rFonts w:eastAsia="Times New Roman" w:cs="Calibri"/>
                <w:kern w:val="0"/>
                <w:sz w:val="20"/>
                <w:szCs w:val="20"/>
                <w:lang w:eastAsia="pl-PL"/>
              </w:rPr>
              <w:t>19 700</w:t>
            </w:r>
          </w:p>
        </w:tc>
        <w:tc>
          <w:tcPr>
            <w:tcW w:w="1290" w:type="dxa"/>
            <w:shd w:val="clear" w:color="000000" w:fill="FFFFFF"/>
            <w:noWrap/>
            <w:vAlign w:val="center"/>
            <w:hideMark/>
          </w:tcPr>
          <w:p w:rsidR="003F2B0C" w:rsidRPr="0070453D" w:rsidRDefault="003F2B0C" w:rsidP="0084338D">
            <w:pPr>
              <w:spacing w:after="0" w:line="240" w:lineRule="auto"/>
              <w:jc w:val="right"/>
              <w:rPr>
                <w:rFonts w:eastAsia="Times New Roman" w:cs="Calibri"/>
                <w:kern w:val="0"/>
                <w:sz w:val="20"/>
                <w:szCs w:val="20"/>
                <w:lang w:eastAsia="pl-PL"/>
              </w:rPr>
            </w:pPr>
            <w:r w:rsidRPr="0070453D">
              <w:rPr>
                <w:rFonts w:eastAsia="Times New Roman" w:cs="Calibri"/>
                <w:kern w:val="0"/>
                <w:sz w:val="20"/>
                <w:szCs w:val="20"/>
                <w:lang w:eastAsia="pl-PL"/>
              </w:rPr>
              <w:t>Brak danych  </w:t>
            </w:r>
          </w:p>
        </w:tc>
      </w:tr>
      <w:tr w:rsidR="003F2B0C" w:rsidRPr="0070453D" w:rsidTr="0084338D">
        <w:trPr>
          <w:trHeight w:val="298"/>
        </w:trPr>
        <w:tc>
          <w:tcPr>
            <w:tcW w:w="1027" w:type="dxa"/>
            <w:shd w:val="clear" w:color="000000" w:fill="FFFFFF"/>
            <w:noWrap/>
            <w:vAlign w:val="center"/>
            <w:hideMark/>
          </w:tcPr>
          <w:p w:rsidR="003F2B0C" w:rsidRPr="0070453D" w:rsidRDefault="003F2B0C" w:rsidP="0084338D">
            <w:pPr>
              <w:spacing w:after="0" w:line="240" w:lineRule="auto"/>
              <w:jc w:val="left"/>
              <w:rPr>
                <w:rFonts w:eastAsia="Times New Roman" w:cs="Calibri"/>
                <w:kern w:val="0"/>
                <w:sz w:val="20"/>
                <w:szCs w:val="20"/>
                <w:lang w:eastAsia="pl-PL"/>
              </w:rPr>
            </w:pPr>
            <w:r w:rsidRPr="0070453D">
              <w:rPr>
                <w:rFonts w:eastAsia="Times New Roman" w:cs="Calibri"/>
                <w:kern w:val="0"/>
                <w:sz w:val="20"/>
                <w:szCs w:val="20"/>
                <w:lang w:eastAsia="pl-PL"/>
              </w:rPr>
              <w:t>NUTS 2</w:t>
            </w:r>
          </w:p>
        </w:tc>
        <w:tc>
          <w:tcPr>
            <w:tcW w:w="759" w:type="dxa"/>
            <w:shd w:val="clear" w:color="000000" w:fill="FFFFFF"/>
            <w:vAlign w:val="center"/>
          </w:tcPr>
          <w:p w:rsidR="003F2B0C" w:rsidRPr="0070453D" w:rsidRDefault="003F2B0C" w:rsidP="0084338D">
            <w:pPr>
              <w:spacing w:after="0" w:line="240" w:lineRule="auto"/>
              <w:jc w:val="left"/>
              <w:rPr>
                <w:rFonts w:eastAsia="Times New Roman" w:cs="Calibri"/>
                <w:kern w:val="0"/>
                <w:sz w:val="20"/>
                <w:szCs w:val="20"/>
                <w:lang w:eastAsia="pl-PL"/>
              </w:rPr>
            </w:pPr>
            <w:r w:rsidRPr="0070453D">
              <w:rPr>
                <w:rFonts w:cs="Arial"/>
                <w:b/>
                <w:bCs/>
                <w:sz w:val="18"/>
                <w:szCs w:val="18"/>
              </w:rPr>
              <w:t>PL41</w:t>
            </w:r>
          </w:p>
        </w:tc>
        <w:tc>
          <w:tcPr>
            <w:tcW w:w="2604" w:type="dxa"/>
            <w:gridSpan w:val="2"/>
            <w:shd w:val="clear" w:color="000000" w:fill="FFFFFF"/>
            <w:noWrap/>
            <w:vAlign w:val="center"/>
            <w:hideMark/>
          </w:tcPr>
          <w:p w:rsidR="003F2B0C" w:rsidRPr="0070453D" w:rsidRDefault="003F2B0C" w:rsidP="0084338D">
            <w:pPr>
              <w:spacing w:after="0" w:line="240" w:lineRule="auto"/>
              <w:jc w:val="left"/>
              <w:rPr>
                <w:rFonts w:eastAsia="Times New Roman" w:cs="Calibri"/>
                <w:kern w:val="0"/>
                <w:sz w:val="20"/>
                <w:szCs w:val="20"/>
                <w:lang w:eastAsia="pl-PL"/>
              </w:rPr>
            </w:pPr>
            <w:r w:rsidRPr="0070453D">
              <w:rPr>
                <w:rFonts w:eastAsia="Times New Roman" w:cs="Calibri"/>
                <w:kern w:val="0"/>
                <w:sz w:val="20"/>
                <w:szCs w:val="20"/>
                <w:lang w:eastAsia="pl-PL"/>
              </w:rPr>
              <w:t>Wielkopolskie (województwo)</w:t>
            </w:r>
          </w:p>
        </w:tc>
        <w:tc>
          <w:tcPr>
            <w:tcW w:w="1184" w:type="dxa"/>
            <w:shd w:val="clear" w:color="000000" w:fill="FFFFFF"/>
            <w:noWrap/>
            <w:vAlign w:val="center"/>
            <w:hideMark/>
          </w:tcPr>
          <w:p w:rsidR="003F2B0C" w:rsidRPr="0070453D" w:rsidRDefault="003F2B0C" w:rsidP="0084338D">
            <w:pPr>
              <w:spacing w:after="0" w:line="240" w:lineRule="auto"/>
              <w:jc w:val="right"/>
              <w:rPr>
                <w:rFonts w:eastAsia="Times New Roman" w:cs="Calibri"/>
                <w:kern w:val="0"/>
                <w:sz w:val="20"/>
                <w:szCs w:val="20"/>
                <w:lang w:eastAsia="pl-PL"/>
              </w:rPr>
            </w:pPr>
            <w:r w:rsidRPr="0070453D">
              <w:rPr>
                <w:rFonts w:eastAsia="Times New Roman" w:cs="Calibri"/>
                <w:kern w:val="0"/>
                <w:sz w:val="20"/>
                <w:szCs w:val="20"/>
                <w:lang w:eastAsia="pl-PL"/>
              </w:rPr>
              <w:t>25 600</w:t>
            </w:r>
          </w:p>
        </w:tc>
        <w:tc>
          <w:tcPr>
            <w:tcW w:w="1184" w:type="dxa"/>
            <w:shd w:val="clear" w:color="000000" w:fill="FFFFFF"/>
            <w:noWrap/>
            <w:vAlign w:val="center"/>
            <w:hideMark/>
          </w:tcPr>
          <w:p w:rsidR="003F2B0C" w:rsidRPr="0070453D" w:rsidRDefault="003F2B0C" w:rsidP="0084338D">
            <w:pPr>
              <w:spacing w:after="0" w:line="240" w:lineRule="auto"/>
              <w:jc w:val="right"/>
              <w:rPr>
                <w:rFonts w:eastAsia="Times New Roman" w:cs="Calibri"/>
                <w:kern w:val="0"/>
                <w:sz w:val="20"/>
                <w:szCs w:val="20"/>
                <w:lang w:eastAsia="pl-PL"/>
              </w:rPr>
            </w:pPr>
            <w:r w:rsidRPr="0070453D">
              <w:rPr>
                <w:rFonts w:eastAsia="Times New Roman" w:cs="Calibri"/>
                <w:kern w:val="0"/>
                <w:sz w:val="20"/>
                <w:szCs w:val="20"/>
                <w:lang w:eastAsia="pl-PL"/>
              </w:rPr>
              <w:t>27 700</w:t>
            </w:r>
          </w:p>
        </w:tc>
        <w:tc>
          <w:tcPr>
            <w:tcW w:w="1184" w:type="dxa"/>
            <w:shd w:val="clear" w:color="000000" w:fill="FFFFFF"/>
            <w:noWrap/>
            <w:vAlign w:val="center"/>
            <w:hideMark/>
          </w:tcPr>
          <w:p w:rsidR="003F2B0C" w:rsidRPr="0070453D" w:rsidRDefault="003F2B0C" w:rsidP="0084338D">
            <w:pPr>
              <w:spacing w:after="0" w:line="240" w:lineRule="auto"/>
              <w:jc w:val="right"/>
              <w:rPr>
                <w:rFonts w:eastAsia="Times New Roman" w:cs="Calibri"/>
                <w:kern w:val="0"/>
                <w:sz w:val="20"/>
                <w:szCs w:val="20"/>
                <w:lang w:eastAsia="pl-PL"/>
              </w:rPr>
            </w:pPr>
            <w:r w:rsidRPr="0070453D">
              <w:rPr>
                <w:rFonts w:eastAsia="Times New Roman" w:cs="Calibri"/>
                <w:kern w:val="0"/>
                <w:sz w:val="20"/>
                <w:szCs w:val="20"/>
                <w:lang w:eastAsia="pl-PL"/>
              </w:rPr>
              <w:t>29 400</w:t>
            </w:r>
          </w:p>
        </w:tc>
        <w:tc>
          <w:tcPr>
            <w:tcW w:w="1290" w:type="dxa"/>
            <w:shd w:val="clear" w:color="000000" w:fill="FFFFFF"/>
            <w:noWrap/>
            <w:vAlign w:val="center"/>
            <w:hideMark/>
          </w:tcPr>
          <w:p w:rsidR="003F2B0C" w:rsidRPr="0070453D" w:rsidRDefault="003F2B0C" w:rsidP="0084338D">
            <w:pPr>
              <w:spacing w:after="0" w:line="240" w:lineRule="auto"/>
              <w:jc w:val="right"/>
              <w:rPr>
                <w:rFonts w:eastAsia="Times New Roman" w:cs="Calibri"/>
                <w:b/>
                <w:bCs/>
                <w:kern w:val="0"/>
                <w:sz w:val="20"/>
                <w:szCs w:val="20"/>
                <w:lang w:eastAsia="pl-PL"/>
              </w:rPr>
            </w:pPr>
            <w:r w:rsidRPr="0070453D">
              <w:rPr>
                <w:rFonts w:eastAsia="Times New Roman" w:cs="Calibri"/>
                <w:b/>
                <w:bCs/>
                <w:kern w:val="0"/>
                <w:sz w:val="20"/>
                <w:szCs w:val="20"/>
                <w:lang w:eastAsia="pl-PL"/>
              </w:rPr>
              <w:t>30 800</w:t>
            </w:r>
          </w:p>
        </w:tc>
      </w:tr>
      <w:tr w:rsidR="003F2B0C" w:rsidRPr="0070453D" w:rsidTr="0084338D">
        <w:trPr>
          <w:trHeight w:val="298"/>
        </w:trPr>
        <w:tc>
          <w:tcPr>
            <w:tcW w:w="1027" w:type="dxa"/>
            <w:shd w:val="clear" w:color="000000" w:fill="FFFFFF"/>
            <w:noWrap/>
            <w:vAlign w:val="center"/>
            <w:hideMark/>
          </w:tcPr>
          <w:p w:rsidR="003F2B0C" w:rsidRPr="0070453D" w:rsidRDefault="003F2B0C" w:rsidP="0084338D">
            <w:pPr>
              <w:spacing w:after="0" w:line="240" w:lineRule="auto"/>
              <w:jc w:val="left"/>
              <w:rPr>
                <w:rFonts w:eastAsia="Times New Roman" w:cs="Calibri"/>
                <w:kern w:val="0"/>
                <w:sz w:val="20"/>
                <w:szCs w:val="20"/>
                <w:lang w:eastAsia="pl-PL"/>
              </w:rPr>
            </w:pPr>
            <w:r w:rsidRPr="0070453D">
              <w:rPr>
                <w:rFonts w:eastAsia="Times New Roman" w:cs="Calibri"/>
                <w:kern w:val="0"/>
                <w:sz w:val="20"/>
                <w:szCs w:val="20"/>
                <w:lang w:eastAsia="pl-PL"/>
              </w:rPr>
              <w:t>NUTS 3</w:t>
            </w:r>
          </w:p>
        </w:tc>
        <w:tc>
          <w:tcPr>
            <w:tcW w:w="759" w:type="dxa"/>
            <w:shd w:val="clear" w:color="000000" w:fill="FFFFFF"/>
            <w:vAlign w:val="center"/>
          </w:tcPr>
          <w:p w:rsidR="003F2B0C" w:rsidRPr="0070453D" w:rsidRDefault="003F2B0C" w:rsidP="0084338D">
            <w:pPr>
              <w:spacing w:after="0" w:line="240" w:lineRule="auto"/>
              <w:jc w:val="left"/>
              <w:rPr>
                <w:rFonts w:eastAsia="Times New Roman" w:cs="Calibri"/>
                <w:kern w:val="0"/>
                <w:sz w:val="20"/>
                <w:szCs w:val="20"/>
                <w:lang w:eastAsia="pl-PL"/>
              </w:rPr>
            </w:pPr>
            <w:r w:rsidRPr="0070453D">
              <w:rPr>
                <w:rFonts w:cs="Arial"/>
                <w:b/>
                <w:bCs/>
                <w:sz w:val="18"/>
                <w:szCs w:val="18"/>
              </w:rPr>
              <w:t>PL415</w:t>
            </w:r>
          </w:p>
        </w:tc>
        <w:tc>
          <w:tcPr>
            <w:tcW w:w="2604" w:type="dxa"/>
            <w:gridSpan w:val="2"/>
            <w:shd w:val="clear" w:color="000000" w:fill="FFFFFF"/>
            <w:noWrap/>
            <w:vAlign w:val="center"/>
            <w:hideMark/>
          </w:tcPr>
          <w:p w:rsidR="003F2B0C" w:rsidRPr="0070453D" w:rsidRDefault="003F2B0C" w:rsidP="0084338D">
            <w:pPr>
              <w:spacing w:after="0" w:line="240" w:lineRule="auto"/>
              <w:jc w:val="left"/>
              <w:rPr>
                <w:rFonts w:eastAsia="Times New Roman" w:cs="Calibri"/>
                <w:kern w:val="0"/>
                <w:sz w:val="20"/>
                <w:szCs w:val="20"/>
                <w:lang w:eastAsia="pl-PL"/>
              </w:rPr>
            </w:pPr>
            <w:r w:rsidRPr="0070453D">
              <w:rPr>
                <w:rFonts w:eastAsia="Times New Roman" w:cs="Calibri"/>
                <w:kern w:val="0"/>
                <w:sz w:val="20"/>
                <w:szCs w:val="20"/>
                <w:lang w:eastAsia="pl-PL"/>
              </w:rPr>
              <w:t>Miasto Poznań (obszar miejski)</w:t>
            </w:r>
          </w:p>
        </w:tc>
        <w:tc>
          <w:tcPr>
            <w:tcW w:w="1184" w:type="dxa"/>
            <w:shd w:val="clear" w:color="000000" w:fill="FFFFFF"/>
            <w:noWrap/>
            <w:vAlign w:val="center"/>
            <w:hideMark/>
          </w:tcPr>
          <w:p w:rsidR="003F2B0C" w:rsidRPr="0070453D" w:rsidRDefault="003F2B0C" w:rsidP="0084338D">
            <w:pPr>
              <w:spacing w:after="0" w:line="240" w:lineRule="auto"/>
              <w:jc w:val="right"/>
              <w:rPr>
                <w:rFonts w:eastAsia="Times New Roman" w:cs="Calibri"/>
                <w:kern w:val="0"/>
                <w:sz w:val="20"/>
                <w:szCs w:val="20"/>
                <w:lang w:eastAsia="pl-PL"/>
              </w:rPr>
            </w:pPr>
            <w:r w:rsidRPr="0070453D">
              <w:rPr>
                <w:rFonts w:eastAsia="Times New Roman" w:cs="Calibri"/>
                <w:kern w:val="0"/>
                <w:sz w:val="20"/>
                <w:szCs w:val="20"/>
                <w:lang w:eastAsia="pl-PL"/>
              </w:rPr>
              <w:t>45 800</w:t>
            </w:r>
          </w:p>
        </w:tc>
        <w:tc>
          <w:tcPr>
            <w:tcW w:w="1184" w:type="dxa"/>
            <w:shd w:val="clear" w:color="000000" w:fill="FFFFFF"/>
            <w:noWrap/>
            <w:vAlign w:val="center"/>
            <w:hideMark/>
          </w:tcPr>
          <w:p w:rsidR="003F2B0C" w:rsidRPr="0070453D" w:rsidRDefault="003F2B0C" w:rsidP="0084338D">
            <w:pPr>
              <w:spacing w:after="0" w:line="240" w:lineRule="auto"/>
              <w:jc w:val="right"/>
              <w:rPr>
                <w:rFonts w:eastAsia="Times New Roman" w:cs="Calibri"/>
                <w:kern w:val="0"/>
                <w:sz w:val="20"/>
                <w:szCs w:val="20"/>
                <w:lang w:eastAsia="pl-PL"/>
              </w:rPr>
            </w:pPr>
            <w:r w:rsidRPr="0070453D">
              <w:rPr>
                <w:rFonts w:eastAsia="Times New Roman" w:cs="Calibri"/>
                <w:kern w:val="0"/>
                <w:sz w:val="20"/>
                <w:szCs w:val="20"/>
                <w:lang w:eastAsia="pl-PL"/>
              </w:rPr>
              <w:t>51 200</w:t>
            </w:r>
          </w:p>
        </w:tc>
        <w:tc>
          <w:tcPr>
            <w:tcW w:w="1184" w:type="dxa"/>
            <w:shd w:val="clear" w:color="000000" w:fill="FFFFFF"/>
            <w:noWrap/>
            <w:vAlign w:val="center"/>
            <w:hideMark/>
          </w:tcPr>
          <w:p w:rsidR="003F2B0C" w:rsidRPr="0070453D" w:rsidRDefault="003F2B0C" w:rsidP="0084338D">
            <w:pPr>
              <w:spacing w:after="0" w:line="240" w:lineRule="auto"/>
              <w:jc w:val="right"/>
              <w:rPr>
                <w:rFonts w:eastAsia="Times New Roman" w:cs="Calibri"/>
                <w:kern w:val="0"/>
                <w:sz w:val="20"/>
                <w:szCs w:val="20"/>
                <w:lang w:eastAsia="pl-PL"/>
              </w:rPr>
            </w:pPr>
            <w:r w:rsidRPr="0070453D">
              <w:rPr>
                <w:rFonts w:eastAsia="Times New Roman" w:cs="Calibri"/>
                <w:kern w:val="0"/>
                <w:sz w:val="20"/>
                <w:szCs w:val="20"/>
                <w:lang w:eastAsia="pl-PL"/>
              </w:rPr>
              <w:t>53 300</w:t>
            </w:r>
          </w:p>
        </w:tc>
        <w:tc>
          <w:tcPr>
            <w:tcW w:w="1290" w:type="dxa"/>
            <w:shd w:val="clear" w:color="000000" w:fill="FFFFFF"/>
            <w:noWrap/>
            <w:vAlign w:val="center"/>
            <w:hideMark/>
          </w:tcPr>
          <w:p w:rsidR="003F2B0C" w:rsidRPr="0070453D" w:rsidRDefault="003F2B0C" w:rsidP="0084338D">
            <w:pPr>
              <w:spacing w:after="0" w:line="240" w:lineRule="auto"/>
              <w:jc w:val="right"/>
              <w:rPr>
                <w:rFonts w:eastAsia="Times New Roman" w:cs="Calibri"/>
                <w:kern w:val="0"/>
                <w:sz w:val="20"/>
                <w:szCs w:val="20"/>
                <w:lang w:eastAsia="pl-PL"/>
              </w:rPr>
            </w:pPr>
            <w:r w:rsidRPr="0070453D">
              <w:rPr>
                <w:rFonts w:eastAsia="Times New Roman" w:cs="Calibri"/>
                <w:kern w:val="0"/>
                <w:sz w:val="20"/>
                <w:szCs w:val="20"/>
                <w:lang w:eastAsia="pl-PL"/>
              </w:rPr>
              <w:t>Brak danych  </w:t>
            </w:r>
          </w:p>
        </w:tc>
      </w:tr>
      <w:tr w:rsidR="003F2B0C" w:rsidRPr="0070453D" w:rsidTr="0084338D">
        <w:trPr>
          <w:trHeight w:val="298"/>
        </w:trPr>
        <w:tc>
          <w:tcPr>
            <w:tcW w:w="1027" w:type="dxa"/>
            <w:shd w:val="clear" w:color="000000" w:fill="FFFFFF"/>
            <w:noWrap/>
            <w:vAlign w:val="center"/>
            <w:hideMark/>
          </w:tcPr>
          <w:p w:rsidR="003F2B0C" w:rsidRPr="0070453D" w:rsidRDefault="003F2B0C" w:rsidP="0084338D">
            <w:pPr>
              <w:spacing w:after="0" w:line="240" w:lineRule="auto"/>
              <w:jc w:val="left"/>
              <w:rPr>
                <w:rFonts w:eastAsia="Times New Roman" w:cs="Calibri"/>
                <w:kern w:val="0"/>
                <w:sz w:val="20"/>
                <w:szCs w:val="20"/>
                <w:lang w:eastAsia="pl-PL"/>
              </w:rPr>
            </w:pPr>
            <w:r w:rsidRPr="0070453D">
              <w:rPr>
                <w:rFonts w:eastAsia="Times New Roman" w:cs="Calibri"/>
                <w:kern w:val="0"/>
                <w:sz w:val="20"/>
                <w:szCs w:val="20"/>
                <w:lang w:eastAsia="pl-PL"/>
              </w:rPr>
              <w:t>NUTS 3</w:t>
            </w:r>
          </w:p>
        </w:tc>
        <w:tc>
          <w:tcPr>
            <w:tcW w:w="759" w:type="dxa"/>
            <w:shd w:val="clear" w:color="000000" w:fill="FFFFFF"/>
            <w:vAlign w:val="center"/>
          </w:tcPr>
          <w:p w:rsidR="003F2B0C" w:rsidRPr="0070453D" w:rsidRDefault="003F2B0C" w:rsidP="0084338D">
            <w:pPr>
              <w:spacing w:after="0" w:line="240" w:lineRule="auto"/>
              <w:jc w:val="left"/>
              <w:rPr>
                <w:rFonts w:eastAsia="Times New Roman" w:cs="Calibri"/>
                <w:kern w:val="0"/>
                <w:sz w:val="20"/>
                <w:szCs w:val="20"/>
                <w:lang w:eastAsia="pl-PL"/>
              </w:rPr>
            </w:pPr>
            <w:r w:rsidRPr="0070453D">
              <w:rPr>
                <w:rFonts w:cs="Arial"/>
                <w:b/>
                <w:bCs/>
                <w:sz w:val="18"/>
                <w:szCs w:val="18"/>
              </w:rPr>
              <w:t>PL418</w:t>
            </w:r>
          </w:p>
        </w:tc>
        <w:tc>
          <w:tcPr>
            <w:tcW w:w="2604" w:type="dxa"/>
            <w:gridSpan w:val="2"/>
            <w:shd w:val="clear" w:color="000000" w:fill="FFFFFF"/>
            <w:noWrap/>
            <w:vAlign w:val="center"/>
            <w:hideMark/>
          </w:tcPr>
          <w:p w:rsidR="003F2B0C" w:rsidRPr="0070453D" w:rsidRDefault="003F2B0C" w:rsidP="0084338D">
            <w:pPr>
              <w:spacing w:after="0" w:line="240" w:lineRule="auto"/>
              <w:jc w:val="left"/>
              <w:rPr>
                <w:rFonts w:eastAsia="Times New Roman" w:cs="Calibri"/>
                <w:kern w:val="0"/>
                <w:sz w:val="20"/>
                <w:szCs w:val="20"/>
                <w:lang w:eastAsia="pl-PL"/>
              </w:rPr>
            </w:pPr>
            <w:r w:rsidRPr="0070453D">
              <w:rPr>
                <w:rFonts w:eastAsia="Times New Roman" w:cs="Calibri"/>
                <w:kern w:val="0"/>
                <w:sz w:val="20"/>
                <w:szCs w:val="20"/>
                <w:lang w:eastAsia="pl-PL"/>
              </w:rPr>
              <w:t>Poznański (podregion)</w:t>
            </w:r>
          </w:p>
        </w:tc>
        <w:tc>
          <w:tcPr>
            <w:tcW w:w="1184" w:type="dxa"/>
            <w:shd w:val="clear" w:color="000000" w:fill="FFFFFF"/>
            <w:noWrap/>
            <w:vAlign w:val="center"/>
            <w:hideMark/>
          </w:tcPr>
          <w:p w:rsidR="003F2B0C" w:rsidRPr="0070453D" w:rsidRDefault="003F2B0C" w:rsidP="0084338D">
            <w:pPr>
              <w:spacing w:after="0" w:line="240" w:lineRule="auto"/>
              <w:jc w:val="right"/>
              <w:rPr>
                <w:rFonts w:eastAsia="Times New Roman" w:cs="Calibri"/>
                <w:kern w:val="0"/>
                <w:sz w:val="20"/>
                <w:szCs w:val="20"/>
                <w:lang w:eastAsia="pl-PL"/>
              </w:rPr>
            </w:pPr>
            <w:r w:rsidRPr="0070453D">
              <w:rPr>
                <w:rFonts w:eastAsia="Times New Roman" w:cs="Calibri"/>
                <w:kern w:val="0"/>
                <w:sz w:val="20"/>
                <w:szCs w:val="20"/>
                <w:lang w:eastAsia="pl-PL"/>
              </w:rPr>
              <w:t>26 900</w:t>
            </w:r>
          </w:p>
        </w:tc>
        <w:tc>
          <w:tcPr>
            <w:tcW w:w="1184" w:type="dxa"/>
            <w:shd w:val="clear" w:color="000000" w:fill="FFFFFF"/>
            <w:noWrap/>
            <w:vAlign w:val="center"/>
            <w:hideMark/>
          </w:tcPr>
          <w:p w:rsidR="003F2B0C" w:rsidRPr="0070453D" w:rsidRDefault="003F2B0C" w:rsidP="0084338D">
            <w:pPr>
              <w:spacing w:after="0" w:line="240" w:lineRule="auto"/>
              <w:jc w:val="right"/>
              <w:rPr>
                <w:rFonts w:eastAsia="Times New Roman" w:cs="Calibri"/>
                <w:kern w:val="0"/>
                <w:sz w:val="20"/>
                <w:szCs w:val="20"/>
                <w:lang w:eastAsia="pl-PL"/>
              </w:rPr>
            </w:pPr>
            <w:r w:rsidRPr="0070453D">
              <w:rPr>
                <w:rFonts w:eastAsia="Times New Roman" w:cs="Calibri"/>
                <w:kern w:val="0"/>
                <w:sz w:val="20"/>
                <w:szCs w:val="20"/>
                <w:lang w:eastAsia="pl-PL"/>
              </w:rPr>
              <w:t>28 600</w:t>
            </w:r>
          </w:p>
        </w:tc>
        <w:tc>
          <w:tcPr>
            <w:tcW w:w="1184" w:type="dxa"/>
            <w:shd w:val="clear" w:color="000000" w:fill="FFFFFF"/>
            <w:noWrap/>
            <w:vAlign w:val="center"/>
            <w:hideMark/>
          </w:tcPr>
          <w:p w:rsidR="003F2B0C" w:rsidRPr="0070453D" w:rsidRDefault="003F2B0C" w:rsidP="0084338D">
            <w:pPr>
              <w:spacing w:after="0" w:line="240" w:lineRule="auto"/>
              <w:jc w:val="right"/>
              <w:rPr>
                <w:rFonts w:eastAsia="Times New Roman" w:cs="Calibri"/>
                <w:kern w:val="0"/>
                <w:sz w:val="20"/>
                <w:szCs w:val="20"/>
                <w:lang w:eastAsia="pl-PL"/>
              </w:rPr>
            </w:pPr>
            <w:r w:rsidRPr="0070453D">
              <w:rPr>
                <w:rFonts w:eastAsia="Times New Roman" w:cs="Calibri"/>
                <w:kern w:val="0"/>
                <w:sz w:val="20"/>
                <w:szCs w:val="20"/>
                <w:lang w:eastAsia="pl-PL"/>
              </w:rPr>
              <w:t>30 100</w:t>
            </w:r>
          </w:p>
        </w:tc>
        <w:tc>
          <w:tcPr>
            <w:tcW w:w="1290" w:type="dxa"/>
            <w:shd w:val="clear" w:color="000000" w:fill="FFFFFF"/>
            <w:noWrap/>
            <w:vAlign w:val="center"/>
            <w:hideMark/>
          </w:tcPr>
          <w:p w:rsidR="003F2B0C" w:rsidRPr="0070453D" w:rsidRDefault="003F2B0C" w:rsidP="0084338D">
            <w:pPr>
              <w:spacing w:after="0" w:line="240" w:lineRule="auto"/>
              <w:jc w:val="right"/>
              <w:rPr>
                <w:rFonts w:eastAsia="Times New Roman" w:cs="Calibri"/>
                <w:kern w:val="0"/>
                <w:sz w:val="20"/>
                <w:szCs w:val="20"/>
                <w:lang w:eastAsia="pl-PL"/>
              </w:rPr>
            </w:pPr>
            <w:r w:rsidRPr="0070453D">
              <w:rPr>
                <w:rFonts w:eastAsia="Times New Roman" w:cs="Calibri"/>
                <w:kern w:val="0"/>
                <w:sz w:val="20"/>
                <w:szCs w:val="20"/>
                <w:lang w:eastAsia="pl-PL"/>
              </w:rPr>
              <w:t>Brak danych  </w:t>
            </w:r>
          </w:p>
        </w:tc>
      </w:tr>
      <w:tr w:rsidR="003F2B0C" w:rsidRPr="0070453D" w:rsidTr="0084338D">
        <w:trPr>
          <w:trHeight w:val="464"/>
        </w:trPr>
        <w:tc>
          <w:tcPr>
            <w:tcW w:w="1027" w:type="dxa"/>
            <w:shd w:val="clear" w:color="000000" w:fill="FFFFFF"/>
            <w:noWrap/>
            <w:vAlign w:val="center"/>
            <w:hideMark/>
          </w:tcPr>
          <w:p w:rsidR="003F2B0C" w:rsidRPr="0070453D" w:rsidRDefault="003F2B0C" w:rsidP="0084338D">
            <w:pPr>
              <w:spacing w:after="0" w:line="240" w:lineRule="auto"/>
              <w:jc w:val="left"/>
              <w:rPr>
                <w:rFonts w:eastAsia="Times New Roman" w:cs="Calibri"/>
                <w:kern w:val="0"/>
                <w:sz w:val="20"/>
                <w:szCs w:val="20"/>
                <w:lang w:eastAsia="pl-PL"/>
              </w:rPr>
            </w:pPr>
            <w:r w:rsidRPr="0070453D">
              <w:rPr>
                <w:rFonts w:eastAsia="Times New Roman" w:cs="Calibri"/>
                <w:kern w:val="0"/>
                <w:sz w:val="20"/>
                <w:szCs w:val="20"/>
                <w:lang w:eastAsia="pl-PL"/>
              </w:rPr>
              <w:t>NUTS 2</w:t>
            </w:r>
          </w:p>
        </w:tc>
        <w:tc>
          <w:tcPr>
            <w:tcW w:w="759" w:type="dxa"/>
            <w:shd w:val="clear" w:color="000000" w:fill="FFFFFF"/>
            <w:vAlign w:val="center"/>
          </w:tcPr>
          <w:p w:rsidR="003F2B0C" w:rsidRPr="0070453D" w:rsidRDefault="003F2B0C" w:rsidP="0084338D">
            <w:pPr>
              <w:spacing w:after="0" w:line="240" w:lineRule="auto"/>
              <w:jc w:val="left"/>
              <w:rPr>
                <w:rFonts w:eastAsia="Times New Roman" w:cs="Calibri"/>
                <w:kern w:val="0"/>
                <w:sz w:val="20"/>
                <w:szCs w:val="20"/>
                <w:lang w:eastAsia="pl-PL"/>
              </w:rPr>
            </w:pPr>
            <w:r w:rsidRPr="0070453D">
              <w:rPr>
                <w:rFonts w:cs="Arial"/>
                <w:b/>
                <w:bCs/>
                <w:sz w:val="18"/>
                <w:szCs w:val="18"/>
              </w:rPr>
              <w:t>PL51</w:t>
            </w:r>
          </w:p>
        </w:tc>
        <w:tc>
          <w:tcPr>
            <w:tcW w:w="2604" w:type="dxa"/>
            <w:gridSpan w:val="2"/>
            <w:shd w:val="clear" w:color="000000" w:fill="FFFFFF"/>
            <w:noWrap/>
            <w:vAlign w:val="center"/>
            <w:hideMark/>
          </w:tcPr>
          <w:p w:rsidR="003F2B0C" w:rsidRPr="0070453D" w:rsidRDefault="003F2B0C" w:rsidP="0084338D">
            <w:pPr>
              <w:spacing w:after="0" w:line="240" w:lineRule="auto"/>
              <w:jc w:val="left"/>
              <w:rPr>
                <w:rFonts w:eastAsia="Times New Roman" w:cs="Calibri"/>
                <w:kern w:val="0"/>
                <w:sz w:val="20"/>
                <w:szCs w:val="20"/>
                <w:lang w:eastAsia="pl-PL"/>
              </w:rPr>
            </w:pPr>
            <w:r w:rsidRPr="0070453D">
              <w:rPr>
                <w:rFonts w:eastAsia="Times New Roman" w:cs="Calibri"/>
                <w:kern w:val="0"/>
                <w:sz w:val="20"/>
                <w:szCs w:val="20"/>
                <w:lang w:eastAsia="pl-PL"/>
              </w:rPr>
              <w:t>Dolnośląskie (województwo)</w:t>
            </w:r>
          </w:p>
        </w:tc>
        <w:tc>
          <w:tcPr>
            <w:tcW w:w="1184" w:type="dxa"/>
            <w:shd w:val="clear" w:color="000000" w:fill="FFFFFF"/>
            <w:noWrap/>
            <w:vAlign w:val="center"/>
            <w:hideMark/>
          </w:tcPr>
          <w:p w:rsidR="003F2B0C" w:rsidRPr="0070453D" w:rsidRDefault="003F2B0C" w:rsidP="0084338D">
            <w:pPr>
              <w:spacing w:after="0" w:line="240" w:lineRule="auto"/>
              <w:jc w:val="right"/>
              <w:rPr>
                <w:rFonts w:eastAsia="Times New Roman" w:cs="Calibri"/>
                <w:kern w:val="0"/>
                <w:sz w:val="20"/>
                <w:szCs w:val="20"/>
                <w:lang w:eastAsia="pl-PL"/>
              </w:rPr>
            </w:pPr>
            <w:r w:rsidRPr="0070453D">
              <w:rPr>
                <w:rFonts w:eastAsia="Times New Roman" w:cs="Calibri"/>
                <w:kern w:val="0"/>
                <w:sz w:val="20"/>
                <w:szCs w:val="20"/>
                <w:lang w:eastAsia="pl-PL"/>
              </w:rPr>
              <w:t>26 100</w:t>
            </w:r>
          </w:p>
        </w:tc>
        <w:tc>
          <w:tcPr>
            <w:tcW w:w="1184" w:type="dxa"/>
            <w:shd w:val="clear" w:color="000000" w:fill="FFFFFF"/>
            <w:noWrap/>
            <w:vAlign w:val="center"/>
            <w:hideMark/>
          </w:tcPr>
          <w:p w:rsidR="003F2B0C" w:rsidRPr="0070453D" w:rsidRDefault="003F2B0C" w:rsidP="0084338D">
            <w:pPr>
              <w:spacing w:after="0" w:line="240" w:lineRule="auto"/>
              <w:jc w:val="right"/>
              <w:rPr>
                <w:rFonts w:eastAsia="Times New Roman" w:cs="Calibri"/>
                <w:kern w:val="0"/>
                <w:sz w:val="20"/>
                <w:szCs w:val="20"/>
                <w:lang w:eastAsia="pl-PL"/>
              </w:rPr>
            </w:pPr>
            <w:r w:rsidRPr="0070453D">
              <w:rPr>
                <w:rFonts w:eastAsia="Times New Roman" w:cs="Calibri"/>
                <w:kern w:val="0"/>
                <w:sz w:val="20"/>
                <w:szCs w:val="20"/>
                <w:lang w:eastAsia="pl-PL"/>
              </w:rPr>
              <w:t>29 000</w:t>
            </w:r>
          </w:p>
        </w:tc>
        <w:tc>
          <w:tcPr>
            <w:tcW w:w="1184" w:type="dxa"/>
            <w:shd w:val="clear" w:color="000000" w:fill="FFFFFF"/>
            <w:noWrap/>
            <w:vAlign w:val="center"/>
            <w:hideMark/>
          </w:tcPr>
          <w:p w:rsidR="003F2B0C" w:rsidRPr="0070453D" w:rsidRDefault="003F2B0C" w:rsidP="0084338D">
            <w:pPr>
              <w:spacing w:after="0" w:line="240" w:lineRule="auto"/>
              <w:jc w:val="right"/>
              <w:rPr>
                <w:rFonts w:eastAsia="Times New Roman" w:cs="Calibri"/>
                <w:kern w:val="0"/>
                <w:sz w:val="20"/>
                <w:szCs w:val="20"/>
                <w:lang w:eastAsia="pl-PL"/>
              </w:rPr>
            </w:pPr>
            <w:r w:rsidRPr="0070453D">
              <w:rPr>
                <w:rFonts w:eastAsia="Times New Roman" w:cs="Calibri"/>
                <w:kern w:val="0"/>
                <w:sz w:val="20"/>
                <w:szCs w:val="20"/>
                <w:lang w:eastAsia="pl-PL"/>
              </w:rPr>
              <w:t>30 300</w:t>
            </w:r>
          </w:p>
        </w:tc>
        <w:tc>
          <w:tcPr>
            <w:tcW w:w="1290" w:type="dxa"/>
            <w:shd w:val="clear" w:color="000000" w:fill="FFFFFF"/>
            <w:noWrap/>
            <w:vAlign w:val="center"/>
            <w:hideMark/>
          </w:tcPr>
          <w:p w:rsidR="003F2B0C" w:rsidRPr="0070453D" w:rsidRDefault="003F2B0C" w:rsidP="0084338D">
            <w:pPr>
              <w:spacing w:after="0" w:line="240" w:lineRule="auto"/>
              <w:jc w:val="right"/>
              <w:rPr>
                <w:rFonts w:eastAsia="Times New Roman" w:cs="Calibri"/>
                <w:b/>
                <w:bCs/>
                <w:kern w:val="0"/>
                <w:sz w:val="20"/>
                <w:szCs w:val="20"/>
                <w:lang w:eastAsia="pl-PL"/>
              </w:rPr>
            </w:pPr>
            <w:r w:rsidRPr="0070453D">
              <w:rPr>
                <w:rFonts w:eastAsia="Times New Roman" w:cs="Calibri"/>
                <w:b/>
                <w:bCs/>
                <w:kern w:val="0"/>
                <w:sz w:val="20"/>
                <w:szCs w:val="20"/>
                <w:lang w:eastAsia="pl-PL"/>
              </w:rPr>
              <w:t>31 600</w:t>
            </w:r>
          </w:p>
        </w:tc>
      </w:tr>
      <w:tr w:rsidR="003F2B0C" w:rsidRPr="0070453D" w:rsidTr="0084338D">
        <w:trPr>
          <w:trHeight w:val="298"/>
        </w:trPr>
        <w:tc>
          <w:tcPr>
            <w:tcW w:w="1027" w:type="dxa"/>
            <w:shd w:val="clear" w:color="000000" w:fill="FFFFFF"/>
            <w:noWrap/>
            <w:vAlign w:val="center"/>
            <w:hideMark/>
          </w:tcPr>
          <w:p w:rsidR="003F2B0C" w:rsidRPr="0070453D" w:rsidRDefault="003F2B0C" w:rsidP="0084338D">
            <w:pPr>
              <w:spacing w:after="0" w:line="240" w:lineRule="auto"/>
              <w:jc w:val="left"/>
              <w:rPr>
                <w:rFonts w:eastAsia="Times New Roman" w:cs="Calibri"/>
                <w:kern w:val="0"/>
                <w:sz w:val="20"/>
                <w:szCs w:val="20"/>
                <w:lang w:eastAsia="pl-PL"/>
              </w:rPr>
            </w:pPr>
            <w:r w:rsidRPr="0070453D">
              <w:rPr>
                <w:rFonts w:eastAsia="Times New Roman" w:cs="Calibri"/>
                <w:kern w:val="0"/>
                <w:sz w:val="20"/>
                <w:szCs w:val="20"/>
                <w:lang w:eastAsia="pl-PL"/>
              </w:rPr>
              <w:t>NUTS 3</w:t>
            </w:r>
          </w:p>
        </w:tc>
        <w:tc>
          <w:tcPr>
            <w:tcW w:w="759" w:type="dxa"/>
            <w:shd w:val="clear" w:color="000000" w:fill="FFFFFF"/>
            <w:vAlign w:val="center"/>
          </w:tcPr>
          <w:p w:rsidR="003F2B0C" w:rsidRPr="0070453D" w:rsidRDefault="003F2B0C" w:rsidP="0084338D">
            <w:pPr>
              <w:spacing w:after="0" w:line="240" w:lineRule="auto"/>
              <w:jc w:val="left"/>
              <w:rPr>
                <w:rFonts w:eastAsia="Times New Roman" w:cs="Calibri"/>
                <w:kern w:val="0"/>
                <w:sz w:val="20"/>
                <w:szCs w:val="20"/>
                <w:lang w:eastAsia="pl-PL"/>
              </w:rPr>
            </w:pPr>
            <w:r w:rsidRPr="0070453D">
              <w:rPr>
                <w:rFonts w:cs="Arial"/>
                <w:b/>
                <w:bCs/>
                <w:sz w:val="18"/>
                <w:szCs w:val="18"/>
              </w:rPr>
              <w:t>PL514</w:t>
            </w:r>
          </w:p>
        </w:tc>
        <w:tc>
          <w:tcPr>
            <w:tcW w:w="2604" w:type="dxa"/>
            <w:gridSpan w:val="2"/>
            <w:shd w:val="clear" w:color="000000" w:fill="FFFFFF"/>
            <w:noWrap/>
            <w:vAlign w:val="center"/>
            <w:hideMark/>
          </w:tcPr>
          <w:p w:rsidR="003F2B0C" w:rsidRPr="0070453D" w:rsidRDefault="003F2B0C" w:rsidP="0084338D">
            <w:pPr>
              <w:spacing w:after="0" w:line="240" w:lineRule="auto"/>
              <w:jc w:val="left"/>
              <w:rPr>
                <w:rFonts w:eastAsia="Times New Roman" w:cs="Calibri"/>
                <w:kern w:val="0"/>
                <w:sz w:val="20"/>
                <w:szCs w:val="20"/>
                <w:lang w:eastAsia="pl-PL"/>
              </w:rPr>
            </w:pPr>
            <w:r w:rsidRPr="0070453D">
              <w:rPr>
                <w:rFonts w:eastAsia="Times New Roman" w:cs="Calibri"/>
                <w:kern w:val="0"/>
                <w:sz w:val="20"/>
                <w:szCs w:val="20"/>
                <w:lang w:eastAsia="pl-PL"/>
              </w:rPr>
              <w:t>Miasto Wrocław (obszar miejski)</w:t>
            </w:r>
          </w:p>
        </w:tc>
        <w:tc>
          <w:tcPr>
            <w:tcW w:w="1184" w:type="dxa"/>
            <w:shd w:val="clear" w:color="000000" w:fill="FFFFFF"/>
            <w:noWrap/>
            <w:vAlign w:val="center"/>
            <w:hideMark/>
          </w:tcPr>
          <w:p w:rsidR="003F2B0C" w:rsidRPr="0070453D" w:rsidRDefault="003F2B0C" w:rsidP="0084338D">
            <w:pPr>
              <w:spacing w:after="0" w:line="240" w:lineRule="auto"/>
              <w:jc w:val="right"/>
              <w:rPr>
                <w:rFonts w:eastAsia="Times New Roman" w:cs="Calibri"/>
                <w:kern w:val="0"/>
                <w:sz w:val="20"/>
                <w:szCs w:val="20"/>
                <w:lang w:eastAsia="pl-PL"/>
              </w:rPr>
            </w:pPr>
            <w:r w:rsidRPr="0070453D">
              <w:rPr>
                <w:rFonts w:eastAsia="Times New Roman" w:cs="Calibri"/>
                <w:kern w:val="0"/>
                <w:sz w:val="20"/>
                <w:szCs w:val="20"/>
                <w:lang w:eastAsia="pl-PL"/>
              </w:rPr>
              <w:t>38 100</w:t>
            </w:r>
          </w:p>
        </w:tc>
        <w:tc>
          <w:tcPr>
            <w:tcW w:w="1184" w:type="dxa"/>
            <w:shd w:val="clear" w:color="000000" w:fill="FFFFFF"/>
            <w:noWrap/>
            <w:vAlign w:val="center"/>
            <w:hideMark/>
          </w:tcPr>
          <w:p w:rsidR="003F2B0C" w:rsidRPr="0070453D" w:rsidRDefault="003F2B0C" w:rsidP="0084338D">
            <w:pPr>
              <w:spacing w:after="0" w:line="240" w:lineRule="auto"/>
              <w:jc w:val="right"/>
              <w:rPr>
                <w:rFonts w:eastAsia="Times New Roman" w:cs="Calibri"/>
                <w:kern w:val="0"/>
                <w:sz w:val="20"/>
                <w:szCs w:val="20"/>
                <w:lang w:eastAsia="pl-PL"/>
              </w:rPr>
            </w:pPr>
            <w:r w:rsidRPr="0070453D">
              <w:rPr>
                <w:rFonts w:eastAsia="Times New Roman" w:cs="Calibri"/>
                <w:kern w:val="0"/>
                <w:sz w:val="20"/>
                <w:szCs w:val="20"/>
                <w:lang w:eastAsia="pl-PL"/>
              </w:rPr>
              <w:t>41 500</w:t>
            </w:r>
          </w:p>
        </w:tc>
        <w:tc>
          <w:tcPr>
            <w:tcW w:w="1184" w:type="dxa"/>
            <w:shd w:val="clear" w:color="000000" w:fill="FFFFFF"/>
            <w:noWrap/>
            <w:vAlign w:val="center"/>
            <w:hideMark/>
          </w:tcPr>
          <w:p w:rsidR="003F2B0C" w:rsidRPr="0070453D" w:rsidRDefault="003F2B0C" w:rsidP="0084338D">
            <w:pPr>
              <w:spacing w:after="0" w:line="240" w:lineRule="auto"/>
              <w:jc w:val="right"/>
              <w:rPr>
                <w:rFonts w:eastAsia="Times New Roman" w:cs="Calibri"/>
                <w:kern w:val="0"/>
                <w:sz w:val="20"/>
                <w:szCs w:val="20"/>
                <w:lang w:eastAsia="pl-PL"/>
              </w:rPr>
            </w:pPr>
            <w:r w:rsidRPr="0070453D">
              <w:rPr>
                <w:rFonts w:eastAsia="Times New Roman" w:cs="Calibri"/>
                <w:kern w:val="0"/>
                <w:sz w:val="20"/>
                <w:szCs w:val="20"/>
                <w:lang w:eastAsia="pl-PL"/>
              </w:rPr>
              <w:t>42 600</w:t>
            </w:r>
          </w:p>
        </w:tc>
        <w:tc>
          <w:tcPr>
            <w:tcW w:w="1290" w:type="dxa"/>
            <w:shd w:val="clear" w:color="000000" w:fill="FFFFFF"/>
            <w:noWrap/>
            <w:vAlign w:val="center"/>
            <w:hideMark/>
          </w:tcPr>
          <w:p w:rsidR="003F2B0C" w:rsidRPr="0070453D" w:rsidRDefault="003F2B0C" w:rsidP="0084338D">
            <w:pPr>
              <w:spacing w:after="0" w:line="240" w:lineRule="auto"/>
              <w:jc w:val="right"/>
              <w:rPr>
                <w:rFonts w:eastAsia="Times New Roman" w:cs="Calibri"/>
                <w:kern w:val="0"/>
                <w:sz w:val="20"/>
                <w:szCs w:val="20"/>
                <w:lang w:eastAsia="pl-PL"/>
              </w:rPr>
            </w:pPr>
            <w:r w:rsidRPr="0070453D">
              <w:rPr>
                <w:rFonts w:eastAsia="Times New Roman" w:cs="Calibri"/>
                <w:kern w:val="0"/>
                <w:sz w:val="20"/>
                <w:szCs w:val="20"/>
                <w:lang w:eastAsia="pl-PL"/>
              </w:rPr>
              <w:t>Brak danych  </w:t>
            </w:r>
          </w:p>
        </w:tc>
      </w:tr>
      <w:tr w:rsidR="003F2B0C" w:rsidRPr="0070453D" w:rsidTr="0084338D">
        <w:trPr>
          <w:trHeight w:val="298"/>
        </w:trPr>
        <w:tc>
          <w:tcPr>
            <w:tcW w:w="1027" w:type="dxa"/>
            <w:shd w:val="clear" w:color="000000" w:fill="FFFFFF"/>
            <w:noWrap/>
            <w:vAlign w:val="center"/>
            <w:hideMark/>
          </w:tcPr>
          <w:p w:rsidR="003F2B0C" w:rsidRPr="0070453D" w:rsidRDefault="003F2B0C" w:rsidP="0084338D">
            <w:pPr>
              <w:spacing w:after="0" w:line="240" w:lineRule="auto"/>
              <w:jc w:val="left"/>
              <w:rPr>
                <w:rFonts w:eastAsia="Times New Roman" w:cs="Calibri"/>
                <w:kern w:val="0"/>
                <w:sz w:val="20"/>
                <w:szCs w:val="20"/>
                <w:lang w:eastAsia="pl-PL"/>
              </w:rPr>
            </w:pPr>
            <w:r w:rsidRPr="0070453D">
              <w:rPr>
                <w:rFonts w:eastAsia="Times New Roman" w:cs="Calibri"/>
                <w:kern w:val="0"/>
                <w:sz w:val="20"/>
                <w:szCs w:val="20"/>
                <w:lang w:eastAsia="pl-PL"/>
              </w:rPr>
              <w:t>NUTS 3</w:t>
            </w:r>
          </w:p>
        </w:tc>
        <w:tc>
          <w:tcPr>
            <w:tcW w:w="759" w:type="dxa"/>
            <w:shd w:val="clear" w:color="000000" w:fill="FFFFFF"/>
            <w:vAlign w:val="center"/>
          </w:tcPr>
          <w:p w:rsidR="003F2B0C" w:rsidRPr="0070453D" w:rsidRDefault="003F2B0C" w:rsidP="0084338D">
            <w:pPr>
              <w:spacing w:after="0" w:line="240" w:lineRule="auto"/>
              <w:jc w:val="left"/>
              <w:rPr>
                <w:rFonts w:eastAsia="Times New Roman" w:cs="Calibri"/>
                <w:kern w:val="0"/>
                <w:sz w:val="20"/>
                <w:szCs w:val="20"/>
                <w:lang w:eastAsia="pl-PL"/>
              </w:rPr>
            </w:pPr>
            <w:r w:rsidRPr="0070453D">
              <w:rPr>
                <w:rFonts w:cs="Arial"/>
                <w:b/>
                <w:bCs/>
                <w:sz w:val="18"/>
                <w:szCs w:val="18"/>
              </w:rPr>
              <w:t>PL518</w:t>
            </w:r>
          </w:p>
        </w:tc>
        <w:tc>
          <w:tcPr>
            <w:tcW w:w="2604" w:type="dxa"/>
            <w:gridSpan w:val="2"/>
            <w:shd w:val="clear" w:color="000000" w:fill="FFFFFF"/>
            <w:noWrap/>
            <w:vAlign w:val="center"/>
            <w:hideMark/>
          </w:tcPr>
          <w:p w:rsidR="003F2B0C" w:rsidRPr="0070453D" w:rsidRDefault="003F2B0C" w:rsidP="0084338D">
            <w:pPr>
              <w:spacing w:after="0" w:line="240" w:lineRule="auto"/>
              <w:jc w:val="left"/>
              <w:rPr>
                <w:rFonts w:eastAsia="Times New Roman" w:cs="Calibri"/>
                <w:kern w:val="0"/>
                <w:sz w:val="20"/>
                <w:szCs w:val="20"/>
                <w:lang w:eastAsia="pl-PL"/>
              </w:rPr>
            </w:pPr>
            <w:r w:rsidRPr="0070453D">
              <w:rPr>
                <w:rFonts w:eastAsia="Times New Roman" w:cs="Calibri"/>
                <w:kern w:val="0"/>
                <w:sz w:val="20"/>
                <w:szCs w:val="20"/>
                <w:lang w:eastAsia="pl-PL"/>
              </w:rPr>
              <w:t>Wrocławski (podregion)</w:t>
            </w:r>
          </w:p>
        </w:tc>
        <w:tc>
          <w:tcPr>
            <w:tcW w:w="1184" w:type="dxa"/>
            <w:shd w:val="clear" w:color="000000" w:fill="FFFFFF"/>
            <w:noWrap/>
            <w:vAlign w:val="center"/>
            <w:hideMark/>
          </w:tcPr>
          <w:p w:rsidR="003F2B0C" w:rsidRPr="0070453D" w:rsidRDefault="003F2B0C" w:rsidP="0084338D">
            <w:pPr>
              <w:spacing w:after="0" w:line="240" w:lineRule="auto"/>
              <w:jc w:val="right"/>
              <w:rPr>
                <w:rFonts w:eastAsia="Times New Roman" w:cs="Calibri"/>
                <w:kern w:val="0"/>
                <w:sz w:val="20"/>
                <w:szCs w:val="20"/>
                <w:lang w:eastAsia="pl-PL"/>
              </w:rPr>
            </w:pPr>
            <w:r w:rsidRPr="0070453D">
              <w:rPr>
                <w:rFonts w:eastAsia="Times New Roman" w:cs="Calibri"/>
                <w:kern w:val="0"/>
                <w:sz w:val="20"/>
                <w:szCs w:val="20"/>
                <w:lang w:eastAsia="pl-PL"/>
              </w:rPr>
              <w:t>24 400</w:t>
            </w:r>
          </w:p>
        </w:tc>
        <w:tc>
          <w:tcPr>
            <w:tcW w:w="1184" w:type="dxa"/>
            <w:shd w:val="clear" w:color="000000" w:fill="FFFFFF"/>
            <w:noWrap/>
            <w:vAlign w:val="center"/>
            <w:hideMark/>
          </w:tcPr>
          <w:p w:rsidR="003F2B0C" w:rsidRPr="0070453D" w:rsidRDefault="003F2B0C" w:rsidP="0084338D">
            <w:pPr>
              <w:spacing w:after="0" w:line="240" w:lineRule="auto"/>
              <w:jc w:val="right"/>
              <w:rPr>
                <w:rFonts w:eastAsia="Times New Roman" w:cs="Calibri"/>
                <w:kern w:val="0"/>
                <w:sz w:val="20"/>
                <w:szCs w:val="20"/>
                <w:lang w:eastAsia="pl-PL"/>
              </w:rPr>
            </w:pPr>
            <w:r w:rsidRPr="0070453D">
              <w:rPr>
                <w:rFonts w:eastAsia="Times New Roman" w:cs="Calibri"/>
                <w:kern w:val="0"/>
                <w:sz w:val="20"/>
                <w:szCs w:val="20"/>
                <w:lang w:eastAsia="pl-PL"/>
              </w:rPr>
              <w:t>28 800</w:t>
            </w:r>
          </w:p>
        </w:tc>
        <w:tc>
          <w:tcPr>
            <w:tcW w:w="1184" w:type="dxa"/>
            <w:shd w:val="clear" w:color="000000" w:fill="FFFFFF"/>
            <w:noWrap/>
            <w:vAlign w:val="center"/>
            <w:hideMark/>
          </w:tcPr>
          <w:p w:rsidR="003F2B0C" w:rsidRPr="0070453D" w:rsidRDefault="003F2B0C" w:rsidP="0084338D">
            <w:pPr>
              <w:spacing w:after="0" w:line="240" w:lineRule="auto"/>
              <w:jc w:val="right"/>
              <w:rPr>
                <w:rFonts w:eastAsia="Times New Roman" w:cs="Calibri"/>
                <w:kern w:val="0"/>
                <w:sz w:val="20"/>
                <w:szCs w:val="20"/>
                <w:lang w:eastAsia="pl-PL"/>
              </w:rPr>
            </w:pPr>
            <w:r w:rsidRPr="0070453D">
              <w:rPr>
                <w:rFonts w:eastAsia="Times New Roman" w:cs="Calibri"/>
                <w:kern w:val="0"/>
                <w:sz w:val="20"/>
                <w:szCs w:val="20"/>
                <w:lang w:eastAsia="pl-PL"/>
              </w:rPr>
              <w:t>30 900</w:t>
            </w:r>
          </w:p>
        </w:tc>
        <w:tc>
          <w:tcPr>
            <w:tcW w:w="1290" w:type="dxa"/>
            <w:shd w:val="clear" w:color="000000" w:fill="FFFFFF"/>
            <w:noWrap/>
            <w:vAlign w:val="center"/>
            <w:hideMark/>
          </w:tcPr>
          <w:p w:rsidR="003F2B0C" w:rsidRPr="0070453D" w:rsidRDefault="003F2B0C" w:rsidP="0084338D">
            <w:pPr>
              <w:spacing w:after="0" w:line="240" w:lineRule="auto"/>
              <w:jc w:val="right"/>
              <w:rPr>
                <w:rFonts w:eastAsia="Times New Roman" w:cs="Calibri"/>
                <w:kern w:val="0"/>
                <w:sz w:val="20"/>
                <w:szCs w:val="20"/>
                <w:lang w:eastAsia="pl-PL"/>
              </w:rPr>
            </w:pPr>
            <w:r w:rsidRPr="0070453D">
              <w:rPr>
                <w:rFonts w:eastAsia="Times New Roman" w:cs="Calibri"/>
                <w:kern w:val="0"/>
                <w:sz w:val="20"/>
                <w:szCs w:val="20"/>
                <w:lang w:eastAsia="pl-PL"/>
              </w:rPr>
              <w:t>Brak danych  </w:t>
            </w:r>
          </w:p>
        </w:tc>
      </w:tr>
    </w:tbl>
    <w:p w:rsidR="003F2B0C" w:rsidRDefault="003F2B0C" w:rsidP="003F2B0C">
      <w:r w:rsidRPr="002737CB">
        <w:rPr>
          <w:iCs/>
          <w:color w:val="363735" w:themeColor="accent3"/>
          <w:sz w:val="20"/>
          <w:szCs w:val="18"/>
        </w:rPr>
        <w:t>Źródł</w:t>
      </w:r>
      <w:r>
        <w:rPr>
          <w:iCs/>
          <w:color w:val="363735" w:themeColor="accent3"/>
          <w:sz w:val="20"/>
          <w:szCs w:val="18"/>
        </w:rPr>
        <w:t>o:</w:t>
      </w:r>
      <w:r w:rsidRPr="002737CB">
        <w:rPr>
          <w:iCs/>
          <w:color w:val="363735" w:themeColor="accent3"/>
          <w:sz w:val="20"/>
          <w:szCs w:val="18"/>
        </w:rPr>
        <w:t xml:space="preserve"> opracowanie własne na podstawie</w:t>
      </w:r>
      <w:r>
        <w:rPr>
          <w:iCs/>
          <w:color w:val="363735" w:themeColor="accent3"/>
          <w:sz w:val="20"/>
          <w:szCs w:val="18"/>
        </w:rPr>
        <w:t xml:space="preserve"> EUROSTAT, dostęp 28.04.2025, zakres lat według dostępności danych w publicznej statystyce EUUROSTAT. </w:t>
      </w:r>
    </w:p>
    <w:p w:rsidR="003F2B0C" w:rsidRDefault="003F2B0C" w:rsidP="003F2B0C"/>
    <w:p w:rsidR="003F2B0C" w:rsidRPr="008E6994" w:rsidRDefault="003F2B0C" w:rsidP="003F2B0C">
      <w:r w:rsidRPr="008E6994">
        <w:t>W zakresie poziomu bezrobocia we Wrocławskim Obszarze Funkcjonalnym na koniec 2023 roku było zarejestrowanych 10 737 osób, a najniższa wartość odnotowano w Metropolii Poznań</w:t>
      </w:r>
      <w:r>
        <w:t xml:space="preserve"> – 6927 osób. W 2023 roku liczba osób poszukujących pracy w Brneńskim Obszarze Metropolitalnym wynosiła </w:t>
      </w:r>
      <w:r w:rsidRPr="00D579C2">
        <w:t>17</w:t>
      </w:r>
      <w:r>
        <w:t> </w:t>
      </w:r>
      <w:r w:rsidRPr="00D579C2">
        <w:t>503</w:t>
      </w:r>
      <w:r>
        <w:rPr>
          <w:rStyle w:val="Odwoanieprzypisudolnego"/>
        </w:rPr>
        <w:footnoteReference w:id="22"/>
      </w:r>
      <w:r>
        <w:t xml:space="preserve"> osoby, a na obszarze Drezna, dla którego udało się pozyskać dane- 18 492 osoby.</w:t>
      </w:r>
    </w:p>
    <w:p w:rsidR="003F2B0C" w:rsidRDefault="003F2B0C" w:rsidP="003F2B0C">
      <w:pPr>
        <w:pStyle w:val="Legenda"/>
        <w:rPr>
          <w:b/>
          <w:bCs/>
          <w:color w:val="FFC000"/>
        </w:rPr>
      </w:pPr>
      <w:bookmarkStart w:id="94" w:name="_Toc196867100"/>
      <w:bookmarkStart w:id="95" w:name="_Toc197678834"/>
      <w:r>
        <w:t xml:space="preserve">Wykres </w:t>
      </w:r>
      <w:fldSimple w:instr=" SEQ Wykres \* ARABIC ">
        <w:r w:rsidR="0084338D">
          <w:rPr>
            <w:noProof/>
          </w:rPr>
          <w:t>20</w:t>
        </w:r>
      </w:fldSimple>
      <w:r>
        <w:t>. Liczba osób bezrobotnych zarejestrowanych w latach 2018-2023</w:t>
      </w:r>
      <w:bookmarkEnd w:id="94"/>
      <w:bookmarkEnd w:id="95"/>
    </w:p>
    <w:p w:rsidR="003F2B0C" w:rsidRDefault="003F2B0C" w:rsidP="003F2B0C">
      <w:pPr>
        <w:rPr>
          <w:b/>
          <w:bCs/>
          <w:color w:val="FFC000"/>
        </w:rPr>
      </w:pPr>
      <w:r>
        <w:rPr>
          <w:noProof/>
          <w:lang w:eastAsia="pl-PL"/>
        </w:rPr>
        <w:lastRenderedPageBreak/>
        <w:drawing>
          <wp:inline distT="0" distB="0" distL="0" distR="0">
            <wp:extent cx="5791200" cy="1885950"/>
            <wp:effectExtent l="0" t="0" r="0" b="0"/>
            <wp:docPr id="268169913" name="Wykres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F7A44B5A-8AEA-DAA5-57B5-9C5819D407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3F2B0C" w:rsidRPr="002737CB" w:rsidRDefault="003F2B0C" w:rsidP="003F2B0C">
      <w:pPr>
        <w:spacing w:line="276" w:lineRule="auto"/>
        <w:rPr>
          <w:iCs/>
          <w:color w:val="363735" w:themeColor="accent3"/>
          <w:sz w:val="20"/>
          <w:szCs w:val="18"/>
        </w:rPr>
      </w:pPr>
      <w:r w:rsidRPr="002737CB">
        <w:rPr>
          <w:iCs/>
          <w:color w:val="363735" w:themeColor="accent3"/>
          <w:sz w:val="20"/>
          <w:szCs w:val="18"/>
        </w:rPr>
        <w:t xml:space="preserve">Źródło: opracowanie własne na podstawie danych GUS BDL, </w:t>
      </w:r>
      <w:r>
        <w:rPr>
          <w:iCs/>
          <w:color w:val="363735" w:themeColor="accent3"/>
          <w:sz w:val="20"/>
          <w:szCs w:val="18"/>
        </w:rPr>
        <w:t xml:space="preserve">dostęp </w:t>
      </w:r>
      <w:r w:rsidRPr="002737CB">
        <w:rPr>
          <w:iCs/>
          <w:color w:val="363735" w:themeColor="accent3"/>
          <w:sz w:val="20"/>
          <w:szCs w:val="18"/>
        </w:rPr>
        <w:t>30.01.2025</w:t>
      </w:r>
    </w:p>
    <w:p w:rsidR="003F2B0C" w:rsidRDefault="003F2B0C" w:rsidP="003F2B0C">
      <w:r>
        <w:t xml:space="preserve">Udział osób bezrobotnych w ogóle ludności był również najniższy w Metropolii Poznań (0,63%), a najwyższy w Metropolii Krakowskiej (1,26%). </w:t>
      </w:r>
    </w:p>
    <w:p w:rsidR="003F2B0C" w:rsidRDefault="003F2B0C" w:rsidP="003F2B0C">
      <w:pPr>
        <w:pStyle w:val="Legenda"/>
      </w:pPr>
      <w:bookmarkStart w:id="96" w:name="_Toc196905083"/>
      <w:r>
        <w:t xml:space="preserve">Tabela </w:t>
      </w:r>
      <w:fldSimple w:instr=" SEQ Tabela \* ARABIC ">
        <w:r w:rsidR="0084338D">
          <w:rPr>
            <w:noProof/>
          </w:rPr>
          <w:t>19</w:t>
        </w:r>
      </w:fldSimple>
      <w:r>
        <w:t>. Udział osób bezrobotnych w liczbie ludności ogółem w latach 2018-2023.</w:t>
      </w:r>
      <w:bookmarkEnd w:id="96"/>
      <w:r>
        <w:t xml:space="preserve"> </w:t>
      </w:r>
    </w:p>
    <w:tbl>
      <w:tblPr>
        <w:tblW w:w="9129" w:type="dxa"/>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CellMar>
          <w:left w:w="70" w:type="dxa"/>
          <w:right w:w="70" w:type="dxa"/>
        </w:tblCellMar>
        <w:tblLook w:val="04A0"/>
      </w:tblPr>
      <w:tblGrid>
        <w:gridCol w:w="2043"/>
        <w:gridCol w:w="1181"/>
        <w:gridCol w:w="1181"/>
        <w:gridCol w:w="1181"/>
        <w:gridCol w:w="1181"/>
        <w:gridCol w:w="1181"/>
        <w:gridCol w:w="1181"/>
      </w:tblGrid>
      <w:tr w:rsidR="003F2B0C" w:rsidRPr="00000B9E" w:rsidTr="0084338D">
        <w:trPr>
          <w:trHeight w:val="416"/>
        </w:trPr>
        <w:tc>
          <w:tcPr>
            <w:tcW w:w="2043" w:type="dxa"/>
            <w:shd w:val="clear" w:color="auto" w:fill="FFC000"/>
            <w:vAlign w:val="center"/>
          </w:tcPr>
          <w:p w:rsidR="003F2B0C" w:rsidRPr="00000B9E" w:rsidRDefault="003F2B0C" w:rsidP="0084338D">
            <w:pPr>
              <w:spacing w:after="0" w:line="240" w:lineRule="auto"/>
              <w:jc w:val="left"/>
              <w:rPr>
                <w:rFonts w:ascii="Calibri" w:eastAsia="Times New Roman" w:hAnsi="Calibri" w:cs="Calibri"/>
                <w:kern w:val="0"/>
                <w:lang w:eastAsia="pl-PL"/>
              </w:rPr>
            </w:pPr>
          </w:p>
        </w:tc>
        <w:tc>
          <w:tcPr>
            <w:tcW w:w="1181" w:type="dxa"/>
            <w:shd w:val="clear" w:color="auto" w:fill="FFC000"/>
            <w:noWrap/>
            <w:vAlign w:val="center"/>
          </w:tcPr>
          <w:p w:rsidR="003F2B0C" w:rsidRPr="00000B9E" w:rsidRDefault="003F2B0C" w:rsidP="0084338D">
            <w:pPr>
              <w:spacing w:after="0" w:line="240" w:lineRule="auto"/>
              <w:jc w:val="center"/>
              <w:rPr>
                <w:rFonts w:ascii="Calibri" w:eastAsia="Times New Roman" w:hAnsi="Calibri" w:cs="Calibri"/>
                <w:kern w:val="0"/>
                <w:lang w:eastAsia="pl-PL"/>
              </w:rPr>
            </w:pPr>
            <w:r w:rsidRPr="00000B9E">
              <w:rPr>
                <w:rFonts w:ascii="Calibri" w:eastAsia="Times New Roman" w:hAnsi="Calibri" w:cs="Calibri"/>
                <w:kern w:val="0"/>
                <w:lang w:eastAsia="pl-PL"/>
              </w:rPr>
              <w:t>2018</w:t>
            </w:r>
          </w:p>
        </w:tc>
        <w:tc>
          <w:tcPr>
            <w:tcW w:w="1181" w:type="dxa"/>
            <w:shd w:val="clear" w:color="auto" w:fill="FFC000"/>
            <w:noWrap/>
            <w:vAlign w:val="center"/>
          </w:tcPr>
          <w:p w:rsidR="003F2B0C" w:rsidRPr="00000B9E" w:rsidRDefault="003F2B0C" w:rsidP="0084338D">
            <w:pPr>
              <w:spacing w:after="0" w:line="240" w:lineRule="auto"/>
              <w:jc w:val="center"/>
              <w:rPr>
                <w:rFonts w:ascii="Calibri" w:eastAsia="Times New Roman" w:hAnsi="Calibri" w:cs="Calibri"/>
                <w:kern w:val="0"/>
                <w:lang w:eastAsia="pl-PL"/>
              </w:rPr>
            </w:pPr>
            <w:r w:rsidRPr="00000B9E">
              <w:rPr>
                <w:rFonts w:ascii="Calibri" w:eastAsia="Times New Roman" w:hAnsi="Calibri" w:cs="Calibri"/>
                <w:kern w:val="0"/>
                <w:lang w:eastAsia="pl-PL"/>
              </w:rPr>
              <w:t>2019</w:t>
            </w:r>
          </w:p>
        </w:tc>
        <w:tc>
          <w:tcPr>
            <w:tcW w:w="1181" w:type="dxa"/>
            <w:shd w:val="clear" w:color="auto" w:fill="FFC000"/>
            <w:noWrap/>
            <w:vAlign w:val="center"/>
          </w:tcPr>
          <w:p w:rsidR="003F2B0C" w:rsidRPr="00000B9E" w:rsidRDefault="003F2B0C" w:rsidP="0084338D">
            <w:pPr>
              <w:spacing w:after="0" w:line="240" w:lineRule="auto"/>
              <w:jc w:val="center"/>
              <w:rPr>
                <w:rFonts w:ascii="Calibri" w:eastAsia="Times New Roman" w:hAnsi="Calibri" w:cs="Calibri"/>
                <w:kern w:val="0"/>
                <w:lang w:eastAsia="pl-PL"/>
              </w:rPr>
            </w:pPr>
            <w:r w:rsidRPr="00000B9E">
              <w:rPr>
                <w:rFonts w:ascii="Calibri" w:eastAsia="Times New Roman" w:hAnsi="Calibri" w:cs="Calibri"/>
                <w:kern w:val="0"/>
                <w:lang w:eastAsia="pl-PL"/>
              </w:rPr>
              <w:t>2020</w:t>
            </w:r>
          </w:p>
        </w:tc>
        <w:tc>
          <w:tcPr>
            <w:tcW w:w="1181" w:type="dxa"/>
            <w:shd w:val="clear" w:color="auto" w:fill="FFC000"/>
            <w:noWrap/>
            <w:vAlign w:val="center"/>
          </w:tcPr>
          <w:p w:rsidR="003F2B0C" w:rsidRPr="00000B9E" w:rsidRDefault="003F2B0C" w:rsidP="0084338D">
            <w:pPr>
              <w:spacing w:after="0" w:line="240" w:lineRule="auto"/>
              <w:jc w:val="center"/>
              <w:rPr>
                <w:rFonts w:ascii="Calibri" w:eastAsia="Times New Roman" w:hAnsi="Calibri" w:cs="Calibri"/>
                <w:kern w:val="0"/>
                <w:lang w:eastAsia="pl-PL"/>
              </w:rPr>
            </w:pPr>
            <w:r w:rsidRPr="00000B9E">
              <w:rPr>
                <w:rFonts w:ascii="Calibri" w:eastAsia="Times New Roman" w:hAnsi="Calibri" w:cs="Calibri"/>
                <w:kern w:val="0"/>
                <w:lang w:eastAsia="pl-PL"/>
              </w:rPr>
              <w:t>2021</w:t>
            </w:r>
          </w:p>
        </w:tc>
        <w:tc>
          <w:tcPr>
            <w:tcW w:w="1181" w:type="dxa"/>
            <w:shd w:val="clear" w:color="auto" w:fill="FFC000"/>
            <w:noWrap/>
            <w:vAlign w:val="center"/>
          </w:tcPr>
          <w:p w:rsidR="003F2B0C" w:rsidRPr="00000B9E" w:rsidRDefault="003F2B0C" w:rsidP="0084338D">
            <w:pPr>
              <w:spacing w:after="0" w:line="240" w:lineRule="auto"/>
              <w:jc w:val="center"/>
              <w:rPr>
                <w:rFonts w:ascii="Calibri" w:eastAsia="Times New Roman" w:hAnsi="Calibri" w:cs="Calibri"/>
                <w:kern w:val="0"/>
                <w:lang w:eastAsia="pl-PL"/>
              </w:rPr>
            </w:pPr>
            <w:r w:rsidRPr="00000B9E">
              <w:rPr>
                <w:rFonts w:ascii="Calibri" w:eastAsia="Times New Roman" w:hAnsi="Calibri" w:cs="Calibri"/>
                <w:kern w:val="0"/>
                <w:lang w:eastAsia="pl-PL"/>
              </w:rPr>
              <w:t>2022</w:t>
            </w:r>
          </w:p>
        </w:tc>
        <w:tc>
          <w:tcPr>
            <w:tcW w:w="1181" w:type="dxa"/>
            <w:shd w:val="clear" w:color="auto" w:fill="FFC000"/>
            <w:noWrap/>
            <w:vAlign w:val="center"/>
          </w:tcPr>
          <w:p w:rsidR="003F2B0C" w:rsidRPr="00000B9E" w:rsidRDefault="003F2B0C" w:rsidP="0084338D">
            <w:pPr>
              <w:spacing w:after="0" w:line="240" w:lineRule="auto"/>
              <w:jc w:val="center"/>
              <w:rPr>
                <w:rFonts w:ascii="Calibri" w:eastAsia="Times New Roman" w:hAnsi="Calibri" w:cs="Calibri"/>
                <w:kern w:val="0"/>
                <w:lang w:eastAsia="pl-PL"/>
              </w:rPr>
            </w:pPr>
            <w:r w:rsidRPr="00000B9E">
              <w:rPr>
                <w:rFonts w:ascii="Calibri" w:eastAsia="Times New Roman" w:hAnsi="Calibri" w:cs="Calibri"/>
                <w:kern w:val="0"/>
                <w:lang w:eastAsia="pl-PL"/>
              </w:rPr>
              <w:t>2023</w:t>
            </w:r>
          </w:p>
        </w:tc>
      </w:tr>
      <w:tr w:rsidR="003F2B0C" w:rsidRPr="00000B9E" w:rsidTr="0084338D">
        <w:trPr>
          <w:trHeight w:val="705"/>
        </w:trPr>
        <w:tc>
          <w:tcPr>
            <w:tcW w:w="2043" w:type="dxa"/>
            <w:shd w:val="clear" w:color="auto" w:fill="auto"/>
            <w:vAlign w:val="center"/>
            <w:hideMark/>
          </w:tcPr>
          <w:p w:rsidR="003F2B0C" w:rsidRPr="00000B9E" w:rsidRDefault="003F2B0C" w:rsidP="0084338D">
            <w:pPr>
              <w:spacing w:after="0" w:line="240" w:lineRule="auto"/>
              <w:jc w:val="left"/>
              <w:rPr>
                <w:rFonts w:ascii="Calibri" w:eastAsia="Times New Roman" w:hAnsi="Calibri" w:cs="Calibri"/>
                <w:kern w:val="0"/>
                <w:lang w:eastAsia="pl-PL"/>
              </w:rPr>
            </w:pPr>
            <w:r w:rsidRPr="00000B9E">
              <w:rPr>
                <w:rFonts w:ascii="Calibri" w:eastAsia="Times New Roman" w:hAnsi="Calibri" w:cs="Calibri"/>
                <w:kern w:val="0"/>
                <w:lang w:eastAsia="pl-PL"/>
              </w:rPr>
              <w:t>Wrocławski Obszar Funkcjonalny</w:t>
            </w:r>
          </w:p>
        </w:tc>
        <w:tc>
          <w:tcPr>
            <w:tcW w:w="1181" w:type="dxa"/>
            <w:shd w:val="clear" w:color="auto" w:fill="auto"/>
            <w:noWrap/>
            <w:vAlign w:val="center"/>
          </w:tcPr>
          <w:p w:rsidR="003F2B0C" w:rsidRPr="00000B9E" w:rsidRDefault="003F2B0C" w:rsidP="0084338D">
            <w:pPr>
              <w:spacing w:after="0" w:line="240" w:lineRule="auto"/>
              <w:jc w:val="center"/>
              <w:rPr>
                <w:rFonts w:ascii="Calibri" w:eastAsia="Times New Roman" w:hAnsi="Calibri" w:cs="Calibri"/>
                <w:color w:val="000000"/>
                <w:kern w:val="0"/>
                <w:lang w:eastAsia="pl-PL"/>
              </w:rPr>
            </w:pPr>
            <w:r w:rsidRPr="00000B9E">
              <w:rPr>
                <w:rFonts w:ascii="Calibri" w:eastAsia="Times New Roman" w:hAnsi="Calibri" w:cs="Calibri"/>
                <w:color w:val="000000"/>
                <w:kern w:val="0"/>
                <w:lang w:eastAsia="pl-PL"/>
              </w:rPr>
              <w:t>1,26%</w:t>
            </w:r>
          </w:p>
        </w:tc>
        <w:tc>
          <w:tcPr>
            <w:tcW w:w="1181" w:type="dxa"/>
            <w:shd w:val="clear" w:color="auto" w:fill="auto"/>
            <w:noWrap/>
            <w:vAlign w:val="center"/>
          </w:tcPr>
          <w:p w:rsidR="003F2B0C" w:rsidRPr="00000B9E" w:rsidRDefault="003F2B0C" w:rsidP="0084338D">
            <w:pPr>
              <w:spacing w:after="0" w:line="240" w:lineRule="auto"/>
              <w:jc w:val="center"/>
              <w:rPr>
                <w:rFonts w:ascii="Calibri" w:eastAsia="Times New Roman" w:hAnsi="Calibri" w:cs="Calibri"/>
                <w:color w:val="000000"/>
                <w:kern w:val="0"/>
                <w:lang w:eastAsia="pl-PL"/>
              </w:rPr>
            </w:pPr>
            <w:r w:rsidRPr="00000B9E">
              <w:rPr>
                <w:rFonts w:ascii="Calibri" w:eastAsia="Times New Roman" w:hAnsi="Calibri" w:cs="Calibri"/>
                <w:color w:val="000000"/>
                <w:kern w:val="0"/>
                <w:lang w:eastAsia="pl-PL"/>
              </w:rPr>
              <w:t>1,10%</w:t>
            </w:r>
          </w:p>
        </w:tc>
        <w:tc>
          <w:tcPr>
            <w:tcW w:w="1181" w:type="dxa"/>
            <w:shd w:val="clear" w:color="auto" w:fill="auto"/>
            <w:noWrap/>
            <w:vAlign w:val="center"/>
          </w:tcPr>
          <w:p w:rsidR="003F2B0C" w:rsidRPr="00000B9E" w:rsidRDefault="003F2B0C" w:rsidP="0084338D">
            <w:pPr>
              <w:spacing w:after="0" w:line="240" w:lineRule="auto"/>
              <w:jc w:val="center"/>
              <w:rPr>
                <w:rFonts w:ascii="Calibri" w:eastAsia="Times New Roman" w:hAnsi="Calibri" w:cs="Calibri"/>
                <w:color w:val="000000"/>
                <w:kern w:val="0"/>
                <w:lang w:eastAsia="pl-PL"/>
              </w:rPr>
            </w:pPr>
            <w:r w:rsidRPr="00000B9E">
              <w:rPr>
                <w:rFonts w:ascii="Calibri" w:eastAsia="Times New Roman" w:hAnsi="Calibri" w:cs="Calibri"/>
                <w:color w:val="000000"/>
                <w:kern w:val="0"/>
                <w:lang w:eastAsia="pl-PL"/>
              </w:rPr>
              <w:t>1,47%</w:t>
            </w:r>
          </w:p>
        </w:tc>
        <w:tc>
          <w:tcPr>
            <w:tcW w:w="1181" w:type="dxa"/>
            <w:shd w:val="clear" w:color="auto" w:fill="auto"/>
            <w:noWrap/>
            <w:vAlign w:val="center"/>
          </w:tcPr>
          <w:p w:rsidR="003F2B0C" w:rsidRPr="00000B9E" w:rsidRDefault="003F2B0C" w:rsidP="0084338D">
            <w:pPr>
              <w:spacing w:after="0" w:line="240" w:lineRule="auto"/>
              <w:jc w:val="center"/>
              <w:rPr>
                <w:rFonts w:ascii="Calibri" w:eastAsia="Times New Roman" w:hAnsi="Calibri" w:cs="Calibri"/>
                <w:color w:val="000000"/>
                <w:kern w:val="0"/>
                <w:lang w:eastAsia="pl-PL"/>
              </w:rPr>
            </w:pPr>
            <w:r w:rsidRPr="00000B9E">
              <w:rPr>
                <w:rFonts w:ascii="Calibri" w:eastAsia="Times New Roman" w:hAnsi="Calibri" w:cs="Calibri"/>
                <w:color w:val="000000"/>
                <w:kern w:val="0"/>
                <w:lang w:eastAsia="pl-PL"/>
              </w:rPr>
              <w:t>1,19%</w:t>
            </w:r>
          </w:p>
        </w:tc>
        <w:tc>
          <w:tcPr>
            <w:tcW w:w="1181" w:type="dxa"/>
            <w:shd w:val="clear" w:color="auto" w:fill="auto"/>
            <w:noWrap/>
            <w:vAlign w:val="center"/>
          </w:tcPr>
          <w:p w:rsidR="003F2B0C" w:rsidRPr="00000B9E" w:rsidRDefault="003F2B0C" w:rsidP="0084338D">
            <w:pPr>
              <w:spacing w:after="0" w:line="240" w:lineRule="auto"/>
              <w:jc w:val="center"/>
              <w:rPr>
                <w:rFonts w:ascii="Calibri" w:eastAsia="Times New Roman" w:hAnsi="Calibri" w:cs="Calibri"/>
                <w:color w:val="000000"/>
                <w:kern w:val="0"/>
                <w:lang w:eastAsia="pl-PL"/>
              </w:rPr>
            </w:pPr>
            <w:r w:rsidRPr="00000B9E">
              <w:rPr>
                <w:rFonts w:ascii="Calibri" w:eastAsia="Times New Roman" w:hAnsi="Calibri" w:cs="Calibri"/>
                <w:color w:val="000000"/>
                <w:kern w:val="0"/>
                <w:lang w:eastAsia="pl-PL"/>
              </w:rPr>
              <w:t>1,03%</w:t>
            </w:r>
          </w:p>
        </w:tc>
        <w:tc>
          <w:tcPr>
            <w:tcW w:w="1181" w:type="dxa"/>
            <w:shd w:val="clear" w:color="auto" w:fill="auto"/>
            <w:noWrap/>
            <w:vAlign w:val="center"/>
          </w:tcPr>
          <w:p w:rsidR="003F2B0C" w:rsidRPr="00000B9E" w:rsidRDefault="003F2B0C" w:rsidP="0084338D">
            <w:pPr>
              <w:spacing w:after="0" w:line="240" w:lineRule="auto"/>
              <w:jc w:val="center"/>
              <w:rPr>
                <w:rFonts w:ascii="Calibri" w:eastAsia="Times New Roman" w:hAnsi="Calibri" w:cs="Calibri"/>
                <w:color w:val="000000"/>
                <w:kern w:val="0"/>
                <w:lang w:eastAsia="pl-PL"/>
              </w:rPr>
            </w:pPr>
            <w:r w:rsidRPr="00000B9E">
              <w:rPr>
                <w:rFonts w:ascii="Calibri" w:eastAsia="Times New Roman" w:hAnsi="Calibri" w:cs="Calibri"/>
                <w:color w:val="000000"/>
                <w:kern w:val="0"/>
                <w:lang w:eastAsia="pl-PL"/>
              </w:rPr>
              <w:t>1,00%</w:t>
            </w:r>
          </w:p>
        </w:tc>
      </w:tr>
      <w:tr w:rsidR="003F2B0C" w:rsidRPr="00000B9E" w:rsidTr="0084338D">
        <w:trPr>
          <w:trHeight w:val="573"/>
        </w:trPr>
        <w:tc>
          <w:tcPr>
            <w:tcW w:w="2043" w:type="dxa"/>
            <w:shd w:val="clear" w:color="auto" w:fill="auto"/>
            <w:vAlign w:val="center"/>
            <w:hideMark/>
          </w:tcPr>
          <w:p w:rsidR="003F2B0C" w:rsidRPr="00000B9E" w:rsidRDefault="003F2B0C" w:rsidP="0084338D">
            <w:pPr>
              <w:spacing w:after="0" w:line="240" w:lineRule="auto"/>
              <w:jc w:val="left"/>
              <w:rPr>
                <w:rFonts w:ascii="Calibri" w:eastAsia="Times New Roman" w:hAnsi="Calibri" w:cs="Calibri"/>
                <w:color w:val="000000"/>
                <w:kern w:val="0"/>
                <w:lang w:eastAsia="pl-PL"/>
              </w:rPr>
            </w:pPr>
            <w:r w:rsidRPr="00000B9E">
              <w:rPr>
                <w:rFonts w:ascii="Calibri" w:eastAsia="Times New Roman" w:hAnsi="Calibri" w:cs="Calibri"/>
                <w:color w:val="000000"/>
                <w:kern w:val="0"/>
                <w:lang w:eastAsia="pl-PL"/>
              </w:rPr>
              <w:t>Metropolia Krakowska</w:t>
            </w:r>
          </w:p>
        </w:tc>
        <w:tc>
          <w:tcPr>
            <w:tcW w:w="1181" w:type="dxa"/>
            <w:shd w:val="clear" w:color="auto" w:fill="auto"/>
            <w:noWrap/>
            <w:vAlign w:val="center"/>
            <w:hideMark/>
          </w:tcPr>
          <w:p w:rsidR="003F2B0C" w:rsidRPr="00000B9E" w:rsidRDefault="003F2B0C" w:rsidP="0084338D">
            <w:pPr>
              <w:spacing w:after="0" w:line="240" w:lineRule="auto"/>
              <w:jc w:val="center"/>
              <w:rPr>
                <w:rFonts w:ascii="Calibri" w:eastAsia="Times New Roman" w:hAnsi="Calibri" w:cs="Calibri"/>
                <w:color w:val="000000"/>
                <w:kern w:val="0"/>
                <w:lang w:eastAsia="pl-PL"/>
              </w:rPr>
            </w:pPr>
            <w:r w:rsidRPr="00000B9E">
              <w:rPr>
                <w:rFonts w:ascii="Calibri" w:eastAsia="Times New Roman" w:hAnsi="Calibri" w:cs="Calibri"/>
                <w:color w:val="000000"/>
                <w:kern w:val="0"/>
                <w:lang w:eastAsia="pl-PL"/>
              </w:rPr>
              <w:t>1,51%</w:t>
            </w:r>
          </w:p>
        </w:tc>
        <w:tc>
          <w:tcPr>
            <w:tcW w:w="1181" w:type="dxa"/>
            <w:shd w:val="clear" w:color="auto" w:fill="auto"/>
            <w:noWrap/>
            <w:vAlign w:val="center"/>
            <w:hideMark/>
          </w:tcPr>
          <w:p w:rsidR="003F2B0C" w:rsidRPr="00000B9E" w:rsidRDefault="003F2B0C" w:rsidP="0084338D">
            <w:pPr>
              <w:spacing w:after="0" w:line="240" w:lineRule="auto"/>
              <w:jc w:val="center"/>
              <w:rPr>
                <w:rFonts w:ascii="Calibri" w:eastAsia="Times New Roman" w:hAnsi="Calibri" w:cs="Calibri"/>
                <w:color w:val="000000"/>
                <w:kern w:val="0"/>
                <w:lang w:eastAsia="pl-PL"/>
              </w:rPr>
            </w:pPr>
            <w:r w:rsidRPr="00000B9E">
              <w:rPr>
                <w:rFonts w:ascii="Calibri" w:eastAsia="Times New Roman" w:hAnsi="Calibri" w:cs="Calibri"/>
                <w:color w:val="000000"/>
                <w:kern w:val="0"/>
                <w:lang w:eastAsia="pl-PL"/>
              </w:rPr>
              <w:t>1,31%</w:t>
            </w:r>
          </w:p>
        </w:tc>
        <w:tc>
          <w:tcPr>
            <w:tcW w:w="1181" w:type="dxa"/>
            <w:shd w:val="clear" w:color="auto" w:fill="auto"/>
            <w:noWrap/>
            <w:vAlign w:val="center"/>
            <w:hideMark/>
          </w:tcPr>
          <w:p w:rsidR="003F2B0C" w:rsidRPr="00000B9E" w:rsidRDefault="003F2B0C" w:rsidP="0084338D">
            <w:pPr>
              <w:spacing w:after="0" w:line="240" w:lineRule="auto"/>
              <w:jc w:val="center"/>
              <w:rPr>
                <w:rFonts w:ascii="Calibri" w:eastAsia="Times New Roman" w:hAnsi="Calibri" w:cs="Calibri"/>
                <w:color w:val="000000"/>
                <w:kern w:val="0"/>
                <w:lang w:eastAsia="pl-PL"/>
              </w:rPr>
            </w:pPr>
            <w:r w:rsidRPr="00000B9E">
              <w:rPr>
                <w:rFonts w:ascii="Calibri" w:eastAsia="Times New Roman" w:hAnsi="Calibri" w:cs="Calibri"/>
                <w:color w:val="000000"/>
                <w:kern w:val="0"/>
                <w:lang w:eastAsia="pl-PL"/>
              </w:rPr>
              <w:t>1,95%</w:t>
            </w:r>
          </w:p>
        </w:tc>
        <w:tc>
          <w:tcPr>
            <w:tcW w:w="1181" w:type="dxa"/>
            <w:shd w:val="clear" w:color="auto" w:fill="auto"/>
            <w:noWrap/>
            <w:vAlign w:val="center"/>
            <w:hideMark/>
          </w:tcPr>
          <w:p w:rsidR="003F2B0C" w:rsidRPr="00000B9E" w:rsidRDefault="003F2B0C" w:rsidP="0084338D">
            <w:pPr>
              <w:spacing w:after="0" w:line="240" w:lineRule="auto"/>
              <w:jc w:val="center"/>
              <w:rPr>
                <w:rFonts w:ascii="Calibri" w:eastAsia="Times New Roman" w:hAnsi="Calibri" w:cs="Calibri"/>
                <w:color w:val="000000"/>
                <w:kern w:val="0"/>
                <w:lang w:eastAsia="pl-PL"/>
              </w:rPr>
            </w:pPr>
            <w:r w:rsidRPr="00000B9E">
              <w:rPr>
                <w:rFonts w:ascii="Calibri" w:eastAsia="Times New Roman" w:hAnsi="Calibri" w:cs="Calibri"/>
                <w:color w:val="000000"/>
                <w:kern w:val="0"/>
                <w:lang w:eastAsia="pl-PL"/>
              </w:rPr>
              <w:t>1,78%</w:t>
            </w:r>
          </w:p>
        </w:tc>
        <w:tc>
          <w:tcPr>
            <w:tcW w:w="1181" w:type="dxa"/>
            <w:shd w:val="clear" w:color="auto" w:fill="auto"/>
            <w:noWrap/>
            <w:vAlign w:val="center"/>
            <w:hideMark/>
          </w:tcPr>
          <w:p w:rsidR="003F2B0C" w:rsidRPr="00000B9E" w:rsidRDefault="003F2B0C" w:rsidP="0084338D">
            <w:pPr>
              <w:spacing w:after="0" w:line="240" w:lineRule="auto"/>
              <w:jc w:val="center"/>
              <w:rPr>
                <w:rFonts w:ascii="Calibri" w:eastAsia="Times New Roman" w:hAnsi="Calibri" w:cs="Calibri"/>
                <w:color w:val="000000"/>
                <w:kern w:val="0"/>
                <w:lang w:eastAsia="pl-PL"/>
              </w:rPr>
            </w:pPr>
            <w:r w:rsidRPr="00000B9E">
              <w:rPr>
                <w:rFonts w:ascii="Calibri" w:eastAsia="Times New Roman" w:hAnsi="Calibri" w:cs="Calibri"/>
                <w:color w:val="000000"/>
                <w:kern w:val="0"/>
                <w:lang w:eastAsia="pl-PL"/>
              </w:rPr>
              <w:t>1,48%</w:t>
            </w:r>
          </w:p>
        </w:tc>
        <w:tc>
          <w:tcPr>
            <w:tcW w:w="1181" w:type="dxa"/>
            <w:shd w:val="clear" w:color="auto" w:fill="auto"/>
            <w:noWrap/>
            <w:vAlign w:val="center"/>
            <w:hideMark/>
          </w:tcPr>
          <w:p w:rsidR="003F2B0C" w:rsidRPr="00000B9E" w:rsidRDefault="003F2B0C" w:rsidP="0084338D">
            <w:pPr>
              <w:spacing w:after="0" w:line="240" w:lineRule="auto"/>
              <w:jc w:val="center"/>
              <w:rPr>
                <w:rFonts w:ascii="Calibri" w:eastAsia="Times New Roman" w:hAnsi="Calibri" w:cs="Calibri"/>
                <w:color w:val="000000"/>
                <w:kern w:val="0"/>
                <w:lang w:eastAsia="pl-PL"/>
              </w:rPr>
            </w:pPr>
            <w:r w:rsidRPr="00000B9E">
              <w:rPr>
                <w:rFonts w:ascii="Calibri" w:eastAsia="Times New Roman" w:hAnsi="Calibri" w:cs="Calibri"/>
                <w:color w:val="000000"/>
                <w:kern w:val="0"/>
                <w:lang w:eastAsia="pl-PL"/>
              </w:rPr>
              <w:t>1,26%</w:t>
            </w:r>
          </w:p>
        </w:tc>
      </w:tr>
      <w:tr w:rsidR="003F2B0C" w:rsidRPr="00000B9E" w:rsidTr="0084338D">
        <w:trPr>
          <w:trHeight w:val="579"/>
        </w:trPr>
        <w:tc>
          <w:tcPr>
            <w:tcW w:w="2043" w:type="dxa"/>
            <w:shd w:val="clear" w:color="auto" w:fill="auto"/>
            <w:vAlign w:val="center"/>
            <w:hideMark/>
          </w:tcPr>
          <w:p w:rsidR="003F2B0C" w:rsidRPr="00000B9E" w:rsidRDefault="003F2B0C" w:rsidP="0084338D">
            <w:pPr>
              <w:spacing w:after="0" w:line="240" w:lineRule="auto"/>
              <w:jc w:val="left"/>
              <w:rPr>
                <w:rFonts w:ascii="Calibri" w:eastAsia="Times New Roman" w:hAnsi="Calibri" w:cs="Calibri"/>
                <w:color w:val="000000"/>
                <w:kern w:val="0"/>
                <w:lang w:eastAsia="pl-PL"/>
              </w:rPr>
            </w:pPr>
            <w:r w:rsidRPr="00000B9E">
              <w:rPr>
                <w:rFonts w:ascii="Calibri" w:eastAsia="Times New Roman" w:hAnsi="Calibri" w:cs="Calibri"/>
                <w:color w:val="000000"/>
                <w:kern w:val="0"/>
                <w:lang w:eastAsia="pl-PL"/>
              </w:rPr>
              <w:t>Metropolia Poznań</w:t>
            </w:r>
          </w:p>
        </w:tc>
        <w:tc>
          <w:tcPr>
            <w:tcW w:w="1181" w:type="dxa"/>
            <w:shd w:val="clear" w:color="auto" w:fill="auto"/>
            <w:noWrap/>
            <w:vAlign w:val="center"/>
            <w:hideMark/>
          </w:tcPr>
          <w:p w:rsidR="003F2B0C" w:rsidRPr="00000B9E" w:rsidRDefault="003F2B0C" w:rsidP="0084338D">
            <w:pPr>
              <w:spacing w:after="0" w:line="240" w:lineRule="auto"/>
              <w:jc w:val="center"/>
              <w:rPr>
                <w:rFonts w:ascii="Calibri" w:eastAsia="Times New Roman" w:hAnsi="Calibri" w:cs="Calibri"/>
                <w:color w:val="000000"/>
                <w:kern w:val="0"/>
                <w:lang w:eastAsia="pl-PL"/>
              </w:rPr>
            </w:pPr>
            <w:r w:rsidRPr="00000B9E">
              <w:rPr>
                <w:rFonts w:ascii="Calibri" w:eastAsia="Times New Roman" w:hAnsi="Calibri" w:cs="Calibri"/>
                <w:color w:val="000000"/>
                <w:kern w:val="0"/>
                <w:lang w:eastAsia="pl-PL"/>
              </w:rPr>
              <w:t>0,78%</w:t>
            </w:r>
          </w:p>
        </w:tc>
        <w:tc>
          <w:tcPr>
            <w:tcW w:w="1181" w:type="dxa"/>
            <w:shd w:val="clear" w:color="auto" w:fill="auto"/>
            <w:noWrap/>
            <w:vAlign w:val="center"/>
            <w:hideMark/>
          </w:tcPr>
          <w:p w:rsidR="003F2B0C" w:rsidRPr="00000B9E" w:rsidRDefault="003F2B0C" w:rsidP="0084338D">
            <w:pPr>
              <w:spacing w:after="0" w:line="240" w:lineRule="auto"/>
              <w:jc w:val="center"/>
              <w:rPr>
                <w:rFonts w:ascii="Calibri" w:eastAsia="Times New Roman" w:hAnsi="Calibri" w:cs="Calibri"/>
                <w:color w:val="000000"/>
                <w:kern w:val="0"/>
                <w:lang w:eastAsia="pl-PL"/>
              </w:rPr>
            </w:pPr>
            <w:r w:rsidRPr="00000B9E">
              <w:rPr>
                <w:rFonts w:ascii="Calibri" w:eastAsia="Times New Roman" w:hAnsi="Calibri" w:cs="Calibri"/>
                <w:color w:val="000000"/>
                <w:kern w:val="0"/>
                <w:lang w:eastAsia="pl-PL"/>
              </w:rPr>
              <w:t>0,67%</w:t>
            </w:r>
          </w:p>
        </w:tc>
        <w:tc>
          <w:tcPr>
            <w:tcW w:w="1181" w:type="dxa"/>
            <w:shd w:val="clear" w:color="auto" w:fill="auto"/>
            <w:noWrap/>
            <w:vAlign w:val="center"/>
            <w:hideMark/>
          </w:tcPr>
          <w:p w:rsidR="003F2B0C" w:rsidRPr="00000B9E" w:rsidRDefault="003F2B0C" w:rsidP="0084338D">
            <w:pPr>
              <w:spacing w:after="0" w:line="240" w:lineRule="auto"/>
              <w:jc w:val="center"/>
              <w:rPr>
                <w:rFonts w:ascii="Calibri" w:eastAsia="Times New Roman" w:hAnsi="Calibri" w:cs="Calibri"/>
                <w:color w:val="000000"/>
                <w:kern w:val="0"/>
                <w:lang w:eastAsia="pl-PL"/>
              </w:rPr>
            </w:pPr>
            <w:r w:rsidRPr="00000B9E">
              <w:rPr>
                <w:rFonts w:ascii="Calibri" w:eastAsia="Times New Roman" w:hAnsi="Calibri" w:cs="Calibri"/>
                <w:color w:val="000000"/>
                <w:kern w:val="0"/>
                <w:lang w:eastAsia="pl-PL"/>
              </w:rPr>
              <w:t>1,16%</w:t>
            </w:r>
          </w:p>
        </w:tc>
        <w:tc>
          <w:tcPr>
            <w:tcW w:w="1181" w:type="dxa"/>
            <w:shd w:val="clear" w:color="auto" w:fill="auto"/>
            <w:noWrap/>
            <w:vAlign w:val="center"/>
            <w:hideMark/>
          </w:tcPr>
          <w:p w:rsidR="003F2B0C" w:rsidRPr="00000B9E" w:rsidRDefault="003F2B0C" w:rsidP="0084338D">
            <w:pPr>
              <w:spacing w:after="0" w:line="240" w:lineRule="auto"/>
              <w:jc w:val="center"/>
              <w:rPr>
                <w:rFonts w:ascii="Calibri" w:eastAsia="Times New Roman" w:hAnsi="Calibri" w:cs="Calibri"/>
                <w:color w:val="000000"/>
                <w:kern w:val="0"/>
                <w:lang w:eastAsia="pl-PL"/>
              </w:rPr>
            </w:pPr>
            <w:r w:rsidRPr="00000B9E">
              <w:rPr>
                <w:rFonts w:ascii="Calibri" w:eastAsia="Times New Roman" w:hAnsi="Calibri" w:cs="Calibri"/>
                <w:color w:val="000000"/>
                <w:kern w:val="0"/>
                <w:lang w:eastAsia="pl-PL"/>
              </w:rPr>
              <w:t>0,94%</w:t>
            </w:r>
          </w:p>
        </w:tc>
        <w:tc>
          <w:tcPr>
            <w:tcW w:w="1181" w:type="dxa"/>
            <w:shd w:val="clear" w:color="auto" w:fill="auto"/>
            <w:noWrap/>
            <w:vAlign w:val="center"/>
            <w:hideMark/>
          </w:tcPr>
          <w:p w:rsidR="003F2B0C" w:rsidRPr="00000B9E" w:rsidRDefault="003F2B0C" w:rsidP="0084338D">
            <w:pPr>
              <w:spacing w:after="0" w:line="240" w:lineRule="auto"/>
              <w:jc w:val="center"/>
              <w:rPr>
                <w:rFonts w:ascii="Calibri" w:eastAsia="Times New Roman" w:hAnsi="Calibri" w:cs="Calibri"/>
                <w:color w:val="000000"/>
                <w:kern w:val="0"/>
                <w:lang w:eastAsia="pl-PL"/>
              </w:rPr>
            </w:pPr>
            <w:r w:rsidRPr="00000B9E">
              <w:rPr>
                <w:rFonts w:ascii="Calibri" w:eastAsia="Times New Roman" w:hAnsi="Calibri" w:cs="Calibri"/>
                <w:color w:val="000000"/>
                <w:kern w:val="0"/>
                <w:lang w:eastAsia="pl-PL"/>
              </w:rPr>
              <w:t>0,64%</w:t>
            </w:r>
          </w:p>
        </w:tc>
        <w:tc>
          <w:tcPr>
            <w:tcW w:w="1181" w:type="dxa"/>
            <w:shd w:val="clear" w:color="auto" w:fill="auto"/>
            <w:noWrap/>
            <w:vAlign w:val="center"/>
            <w:hideMark/>
          </w:tcPr>
          <w:p w:rsidR="003F2B0C" w:rsidRPr="00000B9E" w:rsidRDefault="003F2B0C" w:rsidP="0084338D">
            <w:pPr>
              <w:spacing w:after="0" w:line="240" w:lineRule="auto"/>
              <w:jc w:val="center"/>
              <w:rPr>
                <w:rFonts w:ascii="Calibri" w:eastAsia="Times New Roman" w:hAnsi="Calibri" w:cs="Calibri"/>
                <w:color w:val="000000"/>
                <w:kern w:val="0"/>
                <w:lang w:eastAsia="pl-PL"/>
              </w:rPr>
            </w:pPr>
            <w:r w:rsidRPr="00000B9E">
              <w:rPr>
                <w:rFonts w:ascii="Calibri" w:eastAsia="Times New Roman" w:hAnsi="Calibri" w:cs="Calibri"/>
                <w:color w:val="000000"/>
                <w:kern w:val="0"/>
                <w:lang w:eastAsia="pl-PL"/>
              </w:rPr>
              <w:t>0,63%</w:t>
            </w:r>
          </w:p>
        </w:tc>
      </w:tr>
    </w:tbl>
    <w:p w:rsidR="003F2B0C" w:rsidRPr="002737CB" w:rsidRDefault="003F2B0C" w:rsidP="003F2B0C">
      <w:pPr>
        <w:spacing w:line="276" w:lineRule="auto"/>
        <w:rPr>
          <w:iCs/>
          <w:color w:val="363735" w:themeColor="accent3"/>
          <w:sz w:val="20"/>
          <w:szCs w:val="18"/>
        </w:rPr>
      </w:pPr>
      <w:r w:rsidRPr="002737CB">
        <w:rPr>
          <w:iCs/>
          <w:color w:val="363735" w:themeColor="accent3"/>
          <w:sz w:val="20"/>
          <w:szCs w:val="18"/>
        </w:rPr>
        <w:t xml:space="preserve">Źródło: opracowanie własne na podstawie danych GUS BDL, </w:t>
      </w:r>
      <w:r>
        <w:rPr>
          <w:iCs/>
          <w:color w:val="363735" w:themeColor="accent3"/>
          <w:sz w:val="20"/>
          <w:szCs w:val="18"/>
        </w:rPr>
        <w:t xml:space="preserve">dostęp </w:t>
      </w:r>
      <w:r w:rsidRPr="002737CB">
        <w:rPr>
          <w:iCs/>
          <w:color w:val="363735" w:themeColor="accent3"/>
          <w:sz w:val="20"/>
          <w:szCs w:val="18"/>
        </w:rPr>
        <w:t>30.01.2025</w:t>
      </w:r>
    </w:p>
    <w:p w:rsidR="003F2B0C" w:rsidRDefault="003F2B0C" w:rsidP="003F2B0C"/>
    <w:p w:rsidR="003F2B0C" w:rsidRDefault="003F2B0C" w:rsidP="003F2B0C">
      <w:r w:rsidRPr="00803B28">
        <w:t>Wrocławski Obszar Funkcjonalny we wskaźniku bezrobotnych do 30 roku życia</w:t>
      </w:r>
      <w:r>
        <w:t xml:space="preserve"> osiągnął w 2023 roku wartość – 1901 bezrobotnych podczas gdy pozostałe dwa porównywane polskie obszary osiągnęły kolejno wartości – 1 312 (Metropolia Poznań) i 2628 (Metropolia Krakowska). Warto również zwrócić uwagę, że na przestrzeni lat 2028-2023 wartość tego wskaźnika spadła we wszystkich krajowych obszarach funkcjonalnych. </w:t>
      </w:r>
    </w:p>
    <w:p w:rsidR="003F2B0C" w:rsidRPr="00803B28" w:rsidRDefault="003F2B0C" w:rsidP="003F2B0C">
      <w:bookmarkStart w:id="97" w:name="_Toc196867101"/>
      <w:bookmarkStart w:id="98" w:name="_Toc197678835"/>
      <w:r>
        <w:t xml:space="preserve">Wykres </w:t>
      </w:r>
      <w:fldSimple w:instr=" SEQ Wykres \* ARABIC ">
        <w:r w:rsidR="0084338D">
          <w:rPr>
            <w:noProof/>
          </w:rPr>
          <w:t>21</w:t>
        </w:r>
      </w:fldSimple>
      <w:r>
        <w:t>. Bezrobotni zarejestrowani do 30 roku życia w latach 2018-2023</w:t>
      </w:r>
      <w:bookmarkEnd w:id="97"/>
      <w:bookmarkEnd w:id="98"/>
    </w:p>
    <w:p w:rsidR="003F2B0C" w:rsidRPr="002737CB" w:rsidRDefault="003F2B0C" w:rsidP="003F2B0C">
      <w:pPr>
        <w:spacing w:line="276" w:lineRule="auto"/>
        <w:rPr>
          <w:iCs/>
          <w:color w:val="363735" w:themeColor="accent3"/>
          <w:sz w:val="20"/>
          <w:szCs w:val="18"/>
        </w:rPr>
      </w:pPr>
      <w:r w:rsidRPr="002737CB">
        <w:rPr>
          <w:iCs/>
          <w:noProof/>
          <w:color w:val="363735" w:themeColor="accent3"/>
          <w:sz w:val="20"/>
          <w:szCs w:val="18"/>
          <w:lang w:eastAsia="pl-PL"/>
        </w:rPr>
        <w:drawing>
          <wp:inline distT="0" distB="0" distL="0" distR="0">
            <wp:extent cx="5638800" cy="1786270"/>
            <wp:effectExtent l="0" t="0" r="0" b="4445"/>
            <wp:docPr id="121279083" name="Wykres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DA3D1B34-9504-35F9-2580-68097E044F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3F2B0C" w:rsidRPr="002737CB" w:rsidRDefault="003F2B0C" w:rsidP="003F2B0C">
      <w:pPr>
        <w:spacing w:line="276" w:lineRule="auto"/>
        <w:rPr>
          <w:iCs/>
          <w:color w:val="363735" w:themeColor="accent3"/>
          <w:sz w:val="20"/>
          <w:szCs w:val="18"/>
        </w:rPr>
      </w:pPr>
      <w:r w:rsidRPr="002737CB">
        <w:rPr>
          <w:iCs/>
          <w:color w:val="363735" w:themeColor="accent3"/>
          <w:sz w:val="20"/>
          <w:szCs w:val="18"/>
        </w:rPr>
        <w:lastRenderedPageBreak/>
        <w:t xml:space="preserve">Źródło: opracowanie własne na podstawie danych GUS BDL, </w:t>
      </w:r>
      <w:r>
        <w:rPr>
          <w:iCs/>
          <w:color w:val="363735" w:themeColor="accent3"/>
          <w:sz w:val="20"/>
          <w:szCs w:val="18"/>
        </w:rPr>
        <w:t>dostęp</w:t>
      </w:r>
      <w:r w:rsidRPr="002737CB">
        <w:rPr>
          <w:iCs/>
          <w:color w:val="363735" w:themeColor="accent3"/>
          <w:sz w:val="20"/>
          <w:szCs w:val="18"/>
        </w:rPr>
        <w:t xml:space="preserve"> 30.01.2025</w:t>
      </w:r>
    </w:p>
    <w:p w:rsidR="003F2B0C" w:rsidRDefault="003F2B0C" w:rsidP="003F2B0C">
      <w:r w:rsidRPr="00803B28">
        <w:t xml:space="preserve">Wśród długotrwale bezrobotnych najwięcej osób </w:t>
      </w:r>
      <w:r>
        <w:t>w 2023 roku zamieszkiwało obszar Metropolii Krakowskiej - 6 539 osób, następnie obszar Wrocławskiego Obszaru Funkcjonalnego – 4 520, a najmniej takich osób odnotowano w Metropolii Poznań – 2 141. Wartość tego wskaźnika jednak systematycznie na przestrzeni lat 2018-2023 spada.</w:t>
      </w:r>
    </w:p>
    <w:p w:rsidR="003F2B0C" w:rsidRDefault="003F2B0C" w:rsidP="003F2B0C">
      <w:pPr>
        <w:pStyle w:val="Legenda"/>
        <w:rPr>
          <w:b/>
          <w:bCs/>
          <w:color w:val="FFC000"/>
        </w:rPr>
      </w:pPr>
      <w:bookmarkStart w:id="99" w:name="_Toc196867102"/>
      <w:bookmarkStart w:id="100" w:name="_Toc197678836"/>
      <w:r>
        <w:t xml:space="preserve">Wykres </w:t>
      </w:r>
      <w:fldSimple w:instr=" SEQ Wykres \* ARABIC ">
        <w:r w:rsidR="0084338D">
          <w:rPr>
            <w:noProof/>
          </w:rPr>
          <w:t>22</w:t>
        </w:r>
      </w:fldSimple>
      <w:r>
        <w:t>. Długotrwale bezrobotni w latach 2018-2023.</w:t>
      </w:r>
      <w:bookmarkEnd w:id="99"/>
      <w:bookmarkEnd w:id="100"/>
    </w:p>
    <w:p w:rsidR="003F2B0C" w:rsidRPr="002737CB" w:rsidRDefault="003F2B0C" w:rsidP="003F2B0C">
      <w:pPr>
        <w:spacing w:line="276" w:lineRule="auto"/>
        <w:rPr>
          <w:iCs/>
          <w:color w:val="363735" w:themeColor="accent3"/>
          <w:sz w:val="20"/>
          <w:szCs w:val="18"/>
        </w:rPr>
      </w:pPr>
      <w:r w:rsidRPr="002737CB">
        <w:rPr>
          <w:iCs/>
          <w:noProof/>
          <w:color w:val="363735" w:themeColor="accent3"/>
          <w:sz w:val="20"/>
          <w:szCs w:val="18"/>
          <w:lang w:eastAsia="pl-PL"/>
        </w:rPr>
        <w:drawing>
          <wp:inline distT="0" distB="0" distL="0" distR="0">
            <wp:extent cx="5762625" cy="2477386"/>
            <wp:effectExtent l="0" t="0" r="9525" b="18415"/>
            <wp:docPr id="1738633893" name="Wykres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B04BB139-AEB4-E063-5780-30B5573BF8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3F2B0C" w:rsidRPr="002737CB" w:rsidRDefault="003F2B0C" w:rsidP="003F2B0C">
      <w:pPr>
        <w:spacing w:line="276" w:lineRule="auto"/>
        <w:rPr>
          <w:iCs/>
          <w:color w:val="363735" w:themeColor="accent3"/>
          <w:sz w:val="20"/>
          <w:szCs w:val="18"/>
        </w:rPr>
      </w:pPr>
      <w:r w:rsidRPr="002737CB">
        <w:rPr>
          <w:iCs/>
          <w:color w:val="363735" w:themeColor="accent3"/>
          <w:sz w:val="20"/>
          <w:szCs w:val="18"/>
        </w:rPr>
        <w:t>Źródło: opracowanie własne na podstawie danych GUS BDL,</w:t>
      </w:r>
      <w:r>
        <w:rPr>
          <w:iCs/>
          <w:color w:val="363735" w:themeColor="accent3"/>
          <w:sz w:val="20"/>
          <w:szCs w:val="18"/>
        </w:rPr>
        <w:t xml:space="preserve"> dostęp</w:t>
      </w:r>
      <w:r w:rsidRPr="002737CB">
        <w:rPr>
          <w:iCs/>
          <w:color w:val="363735" w:themeColor="accent3"/>
          <w:sz w:val="20"/>
          <w:szCs w:val="18"/>
        </w:rPr>
        <w:t xml:space="preserve"> 30.01.2025</w:t>
      </w:r>
    </w:p>
    <w:p w:rsidR="003F2B0C" w:rsidRDefault="003F2B0C" w:rsidP="003F2B0C">
      <w:r>
        <w:t xml:space="preserve">W przypadku Brneńskiego Obszaru Metropolitalnego liczba długotrwale bezrobotnych w 2023 roku wynosiła </w:t>
      </w:r>
      <w:r w:rsidRPr="00272FFE">
        <w:t>6</w:t>
      </w:r>
      <w:r>
        <w:t> </w:t>
      </w:r>
      <w:r w:rsidRPr="00272FFE">
        <w:t>874</w:t>
      </w:r>
      <w:r>
        <w:t xml:space="preserve"> i wzrosła od roku 2018 o 1583 osoby. Widać więc, że zachodzi tu odwrotny trend niż na obszarze polski. </w:t>
      </w:r>
    </w:p>
    <w:p w:rsidR="003F2B0C" w:rsidRDefault="003F2B0C" w:rsidP="003F2B0C">
      <w:r>
        <w:t xml:space="preserve">Niestety Aglomeracja Drezdeńska nie gromadzi w swoich statystykach publicznych danych możliwych do porównania z polskimi obszarami funkcjonalnymi w zakresie bezrobocia ludzi do 30 roku życia i bezrobotnych długotrwale. </w:t>
      </w:r>
    </w:p>
    <w:p w:rsidR="003F2B0C" w:rsidRDefault="003F2B0C" w:rsidP="003F2B0C">
      <w:r>
        <w:t xml:space="preserve">Europejskie obszary funkcjonalne według dostępnych statystyk publicznych są możliwe do porównania z polskimi obszarami na poziomie NUTS 2.W 2023 roku najwyższą stopę bezrobocia odnotowano w NUTS 2 Dolnośląskie gdzie wskaźnik osiągnął wartość 3,0%, natomiast najniższą wartość osiągnął region NUTS 2 </w:t>
      </w:r>
      <w:proofErr w:type="spellStart"/>
      <w:r w:rsidRPr="004C4034">
        <w:t>Jihovýchod</w:t>
      </w:r>
      <w:proofErr w:type="spellEnd"/>
      <w:r>
        <w:t xml:space="preserve">, w którym znajduje się Brno i jego obszar metropolitalny (2,2 %). </w:t>
      </w:r>
    </w:p>
    <w:p w:rsidR="003F2B0C" w:rsidRDefault="003F2B0C" w:rsidP="003F2B0C">
      <w:pPr>
        <w:pStyle w:val="Legenda"/>
      </w:pPr>
      <w:bookmarkStart w:id="101" w:name="_Toc196867072"/>
      <w:bookmarkStart w:id="102" w:name="_Toc196905084"/>
      <w:r>
        <w:t xml:space="preserve">Tabela </w:t>
      </w:r>
      <w:fldSimple w:instr=" SEQ Tabela \* ARABIC ">
        <w:r w:rsidR="0084338D">
          <w:rPr>
            <w:noProof/>
          </w:rPr>
          <w:t>20</w:t>
        </w:r>
      </w:fldSimple>
      <w:r>
        <w:t>. Stopa bezrobocia (%) wśród osób w wieku 15-74 w latach 2018-2023</w:t>
      </w:r>
      <w:bookmarkEnd w:id="101"/>
      <w:bookmarkEnd w:id="102"/>
    </w:p>
    <w:tbl>
      <w:tblPr>
        <w:tblW w:w="9062" w:type="dxa"/>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CellMar>
          <w:left w:w="70" w:type="dxa"/>
          <w:right w:w="70" w:type="dxa"/>
        </w:tblCellMar>
        <w:tblLook w:val="04A0"/>
      </w:tblPr>
      <w:tblGrid>
        <w:gridCol w:w="782"/>
        <w:gridCol w:w="921"/>
        <w:gridCol w:w="1341"/>
        <w:gridCol w:w="1003"/>
        <w:gridCol w:w="1003"/>
        <w:gridCol w:w="1003"/>
        <w:gridCol w:w="1003"/>
        <w:gridCol w:w="1003"/>
        <w:gridCol w:w="1003"/>
      </w:tblGrid>
      <w:tr w:rsidR="003F2B0C" w:rsidRPr="0070453D" w:rsidTr="0084338D">
        <w:trPr>
          <w:trHeight w:val="228"/>
        </w:trPr>
        <w:tc>
          <w:tcPr>
            <w:tcW w:w="782" w:type="dxa"/>
            <w:shd w:val="clear" w:color="auto" w:fill="FFC000"/>
          </w:tcPr>
          <w:p w:rsidR="003F2B0C" w:rsidRPr="0070453D" w:rsidRDefault="003F2B0C" w:rsidP="0084338D">
            <w:pPr>
              <w:spacing w:after="0" w:line="240" w:lineRule="auto"/>
              <w:jc w:val="right"/>
              <w:rPr>
                <w:rFonts w:eastAsia="Times New Roman" w:cs="Arial"/>
                <w:b/>
                <w:bCs/>
                <w:kern w:val="0"/>
                <w:sz w:val="18"/>
                <w:szCs w:val="18"/>
                <w:lang w:eastAsia="pl-PL"/>
              </w:rPr>
            </w:pPr>
          </w:p>
        </w:tc>
        <w:tc>
          <w:tcPr>
            <w:tcW w:w="2262" w:type="dxa"/>
            <w:gridSpan w:val="2"/>
            <w:shd w:val="clear" w:color="auto" w:fill="FFC000"/>
            <w:noWrap/>
            <w:vAlign w:val="center"/>
            <w:hideMark/>
          </w:tcPr>
          <w:p w:rsidR="003F2B0C" w:rsidRPr="0070453D" w:rsidRDefault="003F2B0C" w:rsidP="0084338D">
            <w:pPr>
              <w:spacing w:after="0" w:line="240" w:lineRule="auto"/>
              <w:jc w:val="right"/>
              <w:rPr>
                <w:rFonts w:eastAsia="Times New Roman" w:cs="Arial"/>
                <w:b/>
                <w:bCs/>
                <w:kern w:val="0"/>
                <w:sz w:val="18"/>
                <w:szCs w:val="18"/>
                <w:lang w:eastAsia="pl-PL"/>
              </w:rPr>
            </w:pPr>
          </w:p>
        </w:tc>
        <w:tc>
          <w:tcPr>
            <w:tcW w:w="1003" w:type="dxa"/>
            <w:vMerge w:val="restart"/>
            <w:shd w:val="clear" w:color="auto" w:fill="FFC000"/>
            <w:noWrap/>
            <w:vAlign w:val="center"/>
            <w:hideMark/>
          </w:tcPr>
          <w:p w:rsidR="003F2B0C" w:rsidRPr="0070453D" w:rsidRDefault="003F2B0C" w:rsidP="0084338D">
            <w:pPr>
              <w:spacing w:after="0" w:line="240" w:lineRule="auto"/>
              <w:jc w:val="center"/>
              <w:rPr>
                <w:rFonts w:eastAsia="Times New Roman" w:cs="Arial"/>
                <w:b/>
                <w:bCs/>
                <w:kern w:val="0"/>
                <w:sz w:val="18"/>
                <w:szCs w:val="18"/>
                <w:lang w:eastAsia="pl-PL"/>
              </w:rPr>
            </w:pPr>
            <w:r w:rsidRPr="0070453D">
              <w:rPr>
                <w:rFonts w:eastAsia="Times New Roman" w:cs="Arial"/>
                <w:b/>
                <w:bCs/>
                <w:kern w:val="0"/>
                <w:sz w:val="18"/>
                <w:szCs w:val="18"/>
                <w:lang w:eastAsia="pl-PL"/>
              </w:rPr>
              <w:t>2018</w:t>
            </w:r>
          </w:p>
          <w:p w:rsidR="003F2B0C" w:rsidRPr="0070453D" w:rsidRDefault="003F2B0C" w:rsidP="0084338D">
            <w:pPr>
              <w:spacing w:after="0" w:line="240" w:lineRule="auto"/>
              <w:jc w:val="center"/>
              <w:rPr>
                <w:rFonts w:eastAsia="Times New Roman" w:cs="Arial"/>
                <w:b/>
                <w:bCs/>
                <w:kern w:val="0"/>
                <w:sz w:val="18"/>
                <w:szCs w:val="18"/>
                <w:lang w:eastAsia="pl-PL"/>
              </w:rPr>
            </w:pPr>
          </w:p>
        </w:tc>
        <w:tc>
          <w:tcPr>
            <w:tcW w:w="1003" w:type="dxa"/>
            <w:vMerge w:val="restart"/>
            <w:shd w:val="clear" w:color="auto" w:fill="FFC000"/>
            <w:noWrap/>
            <w:vAlign w:val="center"/>
            <w:hideMark/>
          </w:tcPr>
          <w:p w:rsidR="003F2B0C" w:rsidRPr="0070453D" w:rsidRDefault="003F2B0C" w:rsidP="0084338D">
            <w:pPr>
              <w:spacing w:after="0" w:line="240" w:lineRule="auto"/>
              <w:jc w:val="center"/>
              <w:rPr>
                <w:rFonts w:eastAsia="Times New Roman" w:cs="Arial"/>
                <w:b/>
                <w:bCs/>
                <w:kern w:val="0"/>
                <w:sz w:val="18"/>
                <w:szCs w:val="18"/>
                <w:lang w:eastAsia="pl-PL"/>
              </w:rPr>
            </w:pPr>
            <w:r w:rsidRPr="0070453D">
              <w:rPr>
                <w:rFonts w:eastAsia="Times New Roman" w:cs="Arial"/>
                <w:b/>
                <w:bCs/>
                <w:kern w:val="0"/>
                <w:sz w:val="18"/>
                <w:szCs w:val="18"/>
                <w:lang w:eastAsia="pl-PL"/>
              </w:rPr>
              <w:t>2019</w:t>
            </w:r>
          </w:p>
          <w:p w:rsidR="003F2B0C" w:rsidRPr="0070453D" w:rsidRDefault="003F2B0C" w:rsidP="0084338D">
            <w:pPr>
              <w:spacing w:after="0" w:line="240" w:lineRule="auto"/>
              <w:jc w:val="center"/>
              <w:rPr>
                <w:rFonts w:eastAsia="Times New Roman" w:cs="Arial"/>
                <w:b/>
                <w:bCs/>
                <w:kern w:val="0"/>
                <w:sz w:val="18"/>
                <w:szCs w:val="18"/>
                <w:lang w:eastAsia="pl-PL"/>
              </w:rPr>
            </w:pPr>
          </w:p>
        </w:tc>
        <w:tc>
          <w:tcPr>
            <w:tcW w:w="1003" w:type="dxa"/>
            <w:vMerge w:val="restart"/>
            <w:shd w:val="clear" w:color="auto" w:fill="FFC000"/>
            <w:noWrap/>
            <w:vAlign w:val="center"/>
            <w:hideMark/>
          </w:tcPr>
          <w:p w:rsidR="003F2B0C" w:rsidRPr="0070453D" w:rsidRDefault="003F2B0C" w:rsidP="0084338D">
            <w:pPr>
              <w:spacing w:after="0" w:line="240" w:lineRule="auto"/>
              <w:jc w:val="center"/>
              <w:rPr>
                <w:rFonts w:eastAsia="Times New Roman" w:cs="Arial"/>
                <w:b/>
                <w:bCs/>
                <w:kern w:val="0"/>
                <w:sz w:val="18"/>
                <w:szCs w:val="18"/>
                <w:lang w:eastAsia="pl-PL"/>
              </w:rPr>
            </w:pPr>
            <w:r w:rsidRPr="0070453D">
              <w:rPr>
                <w:rFonts w:eastAsia="Times New Roman" w:cs="Arial"/>
                <w:b/>
                <w:bCs/>
                <w:kern w:val="0"/>
                <w:sz w:val="18"/>
                <w:szCs w:val="18"/>
                <w:lang w:eastAsia="pl-PL"/>
              </w:rPr>
              <w:t>2020</w:t>
            </w:r>
          </w:p>
          <w:p w:rsidR="003F2B0C" w:rsidRPr="0070453D" w:rsidRDefault="003F2B0C" w:rsidP="0084338D">
            <w:pPr>
              <w:spacing w:after="0" w:line="240" w:lineRule="auto"/>
              <w:jc w:val="center"/>
              <w:rPr>
                <w:rFonts w:eastAsia="Times New Roman" w:cs="Arial"/>
                <w:b/>
                <w:bCs/>
                <w:kern w:val="0"/>
                <w:sz w:val="18"/>
                <w:szCs w:val="18"/>
                <w:lang w:eastAsia="pl-PL"/>
              </w:rPr>
            </w:pPr>
          </w:p>
        </w:tc>
        <w:tc>
          <w:tcPr>
            <w:tcW w:w="1003" w:type="dxa"/>
            <w:vMerge w:val="restart"/>
            <w:shd w:val="clear" w:color="auto" w:fill="FFC000"/>
            <w:noWrap/>
            <w:vAlign w:val="center"/>
            <w:hideMark/>
          </w:tcPr>
          <w:p w:rsidR="003F2B0C" w:rsidRPr="0070453D" w:rsidRDefault="003F2B0C" w:rsidP="0084338D">
            <w:pPr>
              <w:spacing w:after="0" w:line="240" w:lineRule="auto"/>
              <w:jc w:val="center"/>
              <w:rPr>
                <w:rFonts w:eastAsia="Times New Roman" w:cs="Arial"/>
                <w:b/>
                <w:bCs/>
                <w:kern w:val="0"/>
                <w:sz w:val="18"/>
                <w:szCs w:val="18"/>
                <w:lang w:eastAsia="pl-PL"/>
              </w:rPr>
            </w:pPr>
            <w:r w:rsidRPr="0070453D">
              <w:rPr>
                <w:rFonts w:eastAsia="Times New Roman" w:cs="Arial"/>
                <w:b/>
                <w:bCs/>
                <w:kern w:val="0"/>
                <w:sz w:val="18"/>
                <w:szCs w:val="18"/>
                <w:lang w:eastAsia="pl-PL"/>
              </w:rPr>
              <w:t>2021</w:t>
            </w:r>
          </w:p>
          <w:p w:rsidR="003F2B0C" w:rsidRPr="0070453D" w:rsidRDefault="003F2B0C" w:rsidP="0084338D">
            <w:pPr>
              <w:spacing w:after="0" w:line="240" w:lineRule="auto"/>
              <w:jc w:val="center"/>
              <w:rPr>
                <w:rFonts w:eastAsia="Times New Roman" w:cs="Arial"/>
                <w:b/>
                <w:bCs/>
                <w:kern w:val="0"/>
                <w:sz w:val="18"/>
                <w:szCs w:val="18"/>
                <w:lang w:eastAsia="pl-PL"/>
              </w:rPr>
            </w:pPr>
          </w:p>
        </w:tc>
        <w:tc>
          <w:tcPr>
            <w:tcW w:w="1003" w:type="dxa"/>
            <w:vMerge w:val="restart"/>
            <w:shd w:val="clear" w:color="auto" w:fill="FFC000"/>
            <w:noWrap/>
            <w:vAlign w:val="center"/>
            <w:hideMark/>
          </w:tcPr>
          <w:p w:rsidR="003F2B0C" w:rsidRPr="0070453D" w:rsidRDefault="003F2B0C" w:rsidP="0084338D">
            <w:pPr>
              <w:spacing w:after="0" w:line="240" w:lineRule="auto"/>
              <w:jc w:val="center"/>
              <w:rPr>
                <w:rFonts w:eastAsia="Times New Roman" w:cs="Arial"/>
                <w:b/>
                <w:bCs/>
                <w:kern w:val="0"/>
                <w:sz w:val="18"/>
                <w:szCs w:val="18"/>
                <w:lang w:eastAsia="pl-PL"/>
              </w:rPr>
            </w:pPr>
            <w:r w:rsidRPr="0070453D">
              <w:rPr>
                <w:rFonts w:eastAsia="Times New Roman" w:cs="Arial"/>
                <w:b/>
                <w:bCs/>
                <w:kern w:val="0"/>
                <w:sz w:val="18"/>
                <w:szCs w:val="18"/>
                <w:lang w:eastAsia="pl-PL"/>
              </w:rPr>
              <w:t>2022</w:t>
            </w:r>
          </w:p>
          <w:p w:rsidR="003F2B0C" w:rsidRPr="0070453D" w:rsidRDefault="003F2B0C" w:rsidP="0084338D">
            <w:pPr>
              <w:spacing w:after="0" w:line="240" w:lineRule="auto"/>
              <w:jc w:val="center"/>
              <w:rPr>
                <w:rFonts w:eastAsia="Times New Roman" w:cs="Arial"/>
                <w:b/>
                <w:bCs/>
                <w:kern w:val="0"/>
                <w:sz w:val="18"/>
                <w:szCs w:val="18"/>
                <w:lang w:eastAsia="pl-PL"/>
              </w:rPr>
            </w:pPr>
          </w:p>
        </w:tc>
        <w:tc>
          <w:tcPr>
            <w:tcW w:w="1003" w:type="dxa"/>
            <w:vMerge w:val="restart"/>
            <w:shd w:val="clear" w:color="auto" w:fill="FFC000"/>
            <w:noWrap/>
            <w:vAlign w:val="center"/>
            <w:hideMark/>
          </w:tcPr>
          <w:p w:rsidR="003F2B0C" w:rsidRPr="0070453D" w:rsidRDefault="003F2B0C" w:rsidP="0084338D">
            <w:pPr>
              <w:spacing w:after="0" w:line="240" w:lineRule="auto"/>
              <w:jc w:val="center"/>
              <w:rPr>
                <w:rFonts w:eastAsia="Times New Roman" w:cs="Arial"/>
                <w:b/>
                <w:bCs/>
                <w:kern w:val="0"/>
                <w:sz w:val="18"/>
                <w:szCs w:val="18"/>
                <w:lang w:eastAsia="pl-PL"/>
              </w:rPr>
            </w:pPr>
            <w:r w:rsidRPr="0070453D">
              <w:rPr>
                <w:rFonts w:eastAsia="Times New Roman" w:cs="Arial"/>
                <w:b/>
                <w:bCs/>
                <w:kern w:val="0"/>
                <w:sz w:val="18"/>
                <w:szCs w:val="18"/>
                <w:lang w:eastAsia="pl-PL"/>
              </w:rPr>
              <w:t>2023</w:t>
            </w:r>
          </w:p>
          <w:p w:rsidR="003F2B0C" w:rsidRPr="0070453D" w:rsidRDefault="003F2B0C" w:rsidP="0084338D">
            <w:pPr>
              <w:spacing w:after="0" w:line="240" w:lineRule="auto"/>
              <w:jc w:val="center"/>
              <w:rPr>
                <w:rFonts w:eastAsia="Times New Roman" w:cs="Arial"/>
                <w:b/>
                <w:bCs/>
                <w:kern w:val="0"/>
                <w:sz w:val="18"/>
                <w:szCs w:val="18"/>
                <w:lang w:eastAsia="pl-PL"/>
              </w:rPr>
            </w:pPr>
          </w:p>
        </w:tc>
      </w:tr>
      <w:tr w:rsidR="003F2B0C" w:rsidRPr="0070453D" w:rsidTr="0084338D">
        <w:trPr>
          <w:trHeight w:val="228"/>
        </w:trPr>
        <w:tc>
          <w:tcPr>
            <w:tcW w:w="782" w:type="dxa"/>
            <w:shd w:val="clear" w:color="auto" w:fill="FFC000"/>
          </w:tcPr>
          <w:p w:rsidR="003F2B0C" w:rsidRPr="0070453D" w:rsidRDefault="003F2B0C" w:rsidP="0084338D">
            <w:pPr>
              <w:spacing w:after="0" w:line="240" w:lineRule="auto"/>
              <w:jc w:val="left"/>
              <w:rPr>
                <w:rFonts w:eastAsia="Times New Roman" w:cs="Arial"/>
                <w:b/>
                <w:bCs/>
                <w:kern w:val="0"/>
                <w:sz w:val="18"/>
                <w:szCs w:val="18"/>
                <w:lang w:eastAsia="pl-PL"/>
              </w:rPr>
            </w:pPr>
            <w:r w:rsidRPr="0070453D">
              <w:rPr>
                <w:rFonts w:eastAsia="Times New Roman" w:cs="Arial"/>
                <w:b/>
                <w:bCs/>
                <w:kern w:val="0"/>
                <w:sz w:val="18"/>
                <w:szCs w:val="18"/>
                <w:lang w:eastAsia="pl-PL"/>
              </w:rPr>
              <w:t>Poziom NUTS</w:t>
            </w:r>
          </w:p>
        </w:tc>
        <w:tc>
          <w:tcPr>
            <w:tcW w:w="921" w:type="dxa"/>
            <w:shd w:val="clear" w:color="auto" w:fill="FFC000"/>
            <w:noWrap/>
            <w:vAlign w:val="center"/>
            <w:hideMark/>
          </w:tcPr>
          <w:p w:rsidR="003F2B0C" w:rsidRPr="0070453D" w:rsidRDefault="003F2B0C" w:rsidP="0084338D">
            <w:pPr>
              <w:spacing w:after="0" w:line="240" w:lineRule="auto"/>
              <w:jc w:val="left"/>
              <w:rPr>
                <w:rFonts w:eastAsia="Times New Roman" w:cs="Arial"/>
                <w:b/>
                <w:bCs/>
                <w:kern w:val="0"/>
                <w:sz w:val="18"/>
                <w:szCs w:val="18"/>
                <w:lang w:eastAsia="pl-PL"/>
              </w:rPr>
            </w:pPr>
            <w:r w:rsidRPr="0070453D">
              <w:rPr>
                <w:rFonts w:eastAsia="Times New Roman" w:cs="Arial"/>
                <w:b/>
                <w:bCs/>
                <w:kern w:val="0"/>
                <w:sz w:val="18"/>
                <w:szCs w:val="18"/>
                <w:lang w:eastAsia="pl-PL"/>
              </w:rPr>
              <w:t>Kod regionu</w:t>
            </w:r>
          </w:p>
        </w:tc>
        <w:tc>
          <w:tcPr>
            <w:tcW w:w="1341" w:type="dxa"/>
            <w:shd w:val="clear" w:color="auto" w:fill="FFC000"/>
            <w:noWrap/>
            <w:vAlign w:val="center"/>
            <w:hideMark/>
          </w:tcPr>
          <w:p w:rsidR="003F2B0C" w:rsidRPr="0070453D" w:rsidRDefault="003F2B0C" w:rsidP="0084338D">
            <w:pPr>
              <w:spacing w:after="0" w:line="240" w:lineRule="auto"/>
              <w:jc w:val="left"/>
              <w:rPr>
                <w:rFonts w:eastAsia="Times New Roman" w:cs="Arial"/>
                <w:b/>
                <w:bCs/>
                <w:kern w:val="0"/>
                <w:sz w:val="18"/>
                <w:szCs w:val="18"/>
                <w:lang w:eastAsia="pl-PL"/>
              </w:rPr>
            </w:pPr>
            <w:r w:rsidRPr="0070453D">
              <w:rPr>
                <w:rFonts w:eastAsia="Times New Roman" w:cs="Arial"/>
                <w:b/>
                <w:bCs/>
                <w:kern w:val="0"/>
                <w:sz w:val="18"/>
                <w:szCs w:val="18"/>
                <w:lang w:eastAsia="pl-PL"/>
              </w:rPr>
              <w:t>Nazwa regionu</w:t>
            </w:r>
          </w:p>
        </w:tc>
        <w:tc>
          <w:tcPr>
            <w:tcW w:w="1003" w:type="dxa"/>
            <w:vMerge/>
            <w:shd w:val="pct50" w:color="000000" w:fill="C0C0C0"/>
            <w:noWrap/>
            <w:vAlign w:val="bottom"/>
            <w:hideMark/>
          </w:tcPr>
          <w:p w:rsidR="003F2B0C" w:rsidRPr="0070453D" w:rsidRDefault="003F2B0C" w:rsidP="0084338D">
            <w:pPr>
              <w:spacing w:after="0" w:line="240" w:lineRule="auto"/>
              <w:jc w:val="left"/>
              <w:rPr>
                <w:rFonts w:eastAsia="Times New Roman" w:cs="Calibri"/>
                <w:color w:val="000000"/>
                <w:kern w:val="0"/>
                <w:lang w:eastAsia="pl-PL"/>
              </w:rPr>
            </w:pPr>
          </w:p>
        </w:tc>
        <w:tc>
          <w:tcPr>
            <w:tcW w:w="1003" w:type="dxa"/>
            <w:vMerge/>
            <w:shd w:val="pct50" w:color="000000" w:fill="C0C0C0"/>
            <w:noWrap/>
            <w:vAlign w:val="bottom"/>
            <w:hideMark/>
          </w:tcPr>
          <w:p w:rsidR="003F2B0C" w:rsidRPr="0070453D" w:rsidRDefault="003F2B0C" w:rsidP="0084338D">
            <w:pPr>
              <w:spacing w:after="0" w:line="240" w:lineRule="auto"/>
              <w:jc w:val="left"/>
              <w:rPr>
                <w:rFonts w:eastAsia="Times New Roman" w:cs="Calibri"/>
                <w:color w:val="000000"/>
                <w:kern w:val="0"/>
                <w:lang w:eastAsia="pl-PL"/>
              </w:rPr>
            </w:pPr>
          </w:p>
        </w:tc>
        <w:tc>
          <w:tcPr>
            <w:tcW w:w="1003" w:type="dxa"/>
            <w:vMerge/>
            <w:shd w:val="pct50" w:color="000000" w:fill="C0C0C0"/>
            <w:noWrap/>
            <w:vAlign w:val="bottom"/>
            <w:hideMark/>
          </w:tcPr>
          <w:p w:rsidR="003F2B0C" w:rsidRPr="0070453D" w:rsidRDefault="003F2B0C" w:rsidP="0084338D">
            <w:pPr>
              <w:spacing w:after="0" w:line="240" w:lineRule="auto"/>
              <w:jc w:val="left"/>
              <w:rPr>
                <w:rFonts w:eastAsia="Times New Roman" w:cs="Calibri"/>
                <w:color w:val="000000"/>
                <w:kern w:val="0"/>
                <w:lang w:eastAsia="pl-PL"/>
              </w:rPr>
            </w:pPr>
          </w:p>
        </w:tc>
        <w:tc>
          <w:tcPr>
            <w:tcW w:w="1003" w:type="dxa"/>
            <w:vMerge/>
            <w:shd w:val="pct50" w:color="000000" w:fill="C0C0C0"/>
            <w:noWrap/>
            <w:vAlign w:val="bottom"/>
            <w:hideMark/>
          </w:tcPr>
          <w:p w:rsidR="003F2B0C" w:rsidRPr="0070453D" w:rsidRDefault="003F2B0C" w:rsidP="0084338D">
            <w:pPr>
              <w:spacing w:after="0" w:line="240" w:lineRule="auto"/>
              <w:jc w:val="left"/>
              <w:rPr>
                <w:rFonts w:eastAsia="Times New Roman" w:cs="Calibri"/>
                <w:color w:val="000000"/>
                <w:kern w:val="0"/>
                <w:lang w:eastAsia="pl-PL"/>
              </w:rPr>
            </w:pPr>
          </w:p>
        </w:tc>
        <w:tc>
          <w:tcPr>
            <w:tcW w:w="1003" w:type="dxa"/>
            <w:vMerge/>
            <w:shd w:val="pct50" w:color="000000" w:fill="C0C0C0"/>
            <w:noWrap/>
            <w:vAlign w:val="bottom"/>
            <w:hideMark/>
          </w:tcPr>
          <w:p w:rsidR="003F2B0C" w:rsidRPr="0070453D" w:rsidRDefault="003F2B0C" w:rsidP="0084338D">
            <w:pPr>
              <w:spacing w:after="0" w:line="240" w:lineRule="auto"/>
              <w:jc w:val="left"/>
              <w:rPr>
                <w:rFonts w:eastAsia="Times New Roman" w:cs="Calibri"/>
                <w:color w:val="000000"/>
                <w:kern w:val="0"/>
                <w:lang w:eastAsia="pl-PL"/>
              </w:rPr>
            </w:pPr>
          </w:p>
        </w:tc>
        <w:tc>
          <w:tcPr>
            <w:tcW w:w="1003" w:type="dxa"/>
            <w:vMerge/>
            <w:shd w:val="pct50" w:color="000000" w:fill="C0C0C0"/>
            <w:noWrap/>
            <w:vAlign w:val="bottom"/>
            <w:hideMark/>
          </w:tcPr>
          <w:p w:rsidR="003F2B0C" w:rsidRPr="0070453D" w:rsidRDefault="003F2B0C" w:rsidP="0084338D">
            <w:pPr>
              <w:spacing w:after="0" w:line="240" w:lineRule="auto"/>
              <w:jc w:val="left"/>
              <w:rPr>
                <w:rFonts w:eastAsia="Times New Roman" w:cs="Calibri"/>
                <w:color w:val="000000"/>
                <w:kern w:val="0"/>
                <w:lang w:eastAsia="pl-PL"/>
              </w:rPr>
            </w:pPr>
          </w:p>
        </w:tc>
      </w:tr>
      <w:tr w:rsidR="003F2B0C" w:rsidRPr="0070453D" w:rsidTr="0084338D">
        <w:trPr>
          <w:trHeight w:val="228"/>
        </w:trPr>
        <w:tc>
          <w:tcPr>
            <w:tcW w:w="782" w:type="dxa"/>
            <w:shd w:val="clear" w:color="auto" w:fill="FFFFFF" w:themeFill="background1"/>
          </w:tcPr>
          <w:p w:rsidR="003F2B0C" w:rsidRPr="0070453D" w:rsidRDefault="003F2B0C" w:rsidP="0084338D">
            <w:pPr>
              <w:spacing w:after="0" w:line="240" w:lineRule="auto"/>
              <w:jc w:val="left"/>
              <w:rPr>
                <w:rFonts w:eastAsia="Times New Roman" w:cs="Arial"/>
                <w:b/>
                <w:bCs/>
                <w:kern w:val="0"/>
                <w:sz w:val="18"/>
                <w:szCs w:val="18"/>
                <w:lang w:eastAsia="pl-PL"/>
              </w:rPr>
            </w:pPr>
            <w:r w:rsidRPr="0070453D">
              <w:rPr>
                <w:rFonts w:eastAsia="Times New Roman" w:cs="Arial"/>
                <w:b/>
                <w:bCs/>
                <w:kern w:val="0"/>
                <w:sz w:val="18"/>
                <w:szCs w:val="18"/>
                <w:lang w:eastAsia="pl-PL"/>
              </w:rPr>
              <w:t>NUTS 2</w:t>
            </w:r>
          </w:p>
        </w:tc>
        <w:tc>
          <w:tcPr>
            <w:tcW w:w="921" w:type="dxa"/>
            <w:shd w:val="clear" w:color="auto" w:fill="FFFFFF" w:themeFill="background1"/>
            <w:noWrap/>
            <w:vAlign w:val="center"/>
            <w:hideMark/>
          </w:tcPr>
          <w:p w:rsidR="003F2B0C" w:rsidRPr="0070453D" w:rsidRDefault="003F2B0C" w:rsidP="0084338D">
            <w:pPr>
              <w:spacing w:after="0" w:line="240" w:lineRule="auto"/>
              <w:jc w:val="left"/>
              <w:rPr>
                <w:rFonts w:eastAsia="Times New Roman" w:cs="Arial"/>
                <w:b/>
                <w:bCs/>
                <w:kern w:val="0"/>
                <w:sz w:val="18"/>
                <w:szCs w:val="18"/>
                <w:lang w:eastAsia="pl-PL"/>
              </w:rPr>
            </w:pPr>
            <w:r w:rsidRPr="0070453D">
              <w:rPr>
                <w:rFonts w:eastAsia="Times New Roman" w:cs="Arial"/>
                <w:b/>
                <w:bCs/>
                <w:kern w:val="0"/>
                <w:sz w:val="18"/>
                <w:szCs w:val="18"/>
                <w:lang w:eastAsia="pl-PL"/>
              </w:rPr>
              <w:t>CZ06</w:t>
            </w:r>
          </w:p>
        </w:tc>
        <w:tc>
          <w:tcPr>
            <w:tcW w:w="1341" w:type="dxa"/>
            <w:shd w:val="clear" w:color="auto" w:fill="FFFFFF" w:themeFill="background1"/>
            <w:noWrap/>
            <w:vAlign w:val="center"/>
            <w:hideMark/>
          </w:tcPr>
          <w:p w:rsidR="003F2B0C" w:rsidRPr="0070453D" w:rsidRDefault="003F2B0C" w:rsidP="0084338D">
            <w:pPr>
              <w:spacing w:after="0" w:line="240" w:lineRule="auto"/>
              <w:jc w:val="left"/>
              <w:rPr>
                <w:rFonts w:eastAsia="Times New Roman" w:cs="Arial"/>
                <w:b/>
                <w:bCs/>
                <w:kern w:val="0"/>
                <w:sz w:val="18"/>
                <w:szCs w:val="18"/>
                <w:lang w:eastAsia="pl-PL"/>
              </w:rPr>
            </w:pPr>
            <w:proofErr w:type="spellStart"/>
            <w:r w:rsidRPr="0070453D">
              <w:rPr>
                <w:rFonts w:eastAsia="Times New Roman" w:cs="Arial"/>
                <w:b/>
                <w:bCs/>
                <w:kern w:val="0"/>
                <w:sz w:val="18"/>
                <w:szCs w:val="18"/>
                <w:lang w:eastAsia="pl-PL"/>
              </w:rPr>
              <w:t>Jihovýchod</w:t>
            </w:r>
            <w:proofErr w:type="spellEnd"/>
          </w:p>
        </w:tc>
        <w:tc>
          <w:tcPr>
            <w:tcW w:w="1003" w:type="dxa"/>
            <w:shd w:val="clear" w:color="000000" w:fill="F6F6F6"/>
            <w:noWrap/>
            <w:vAlign w:val="center"/>
            <w:hideMark/>
          </w:tcPr>
          <w:p w:rsidR="003F2B0C" w:rsidRPr="0070453D" w:rsidRDefault="003F2B0C" w:rsidP="0084338D">
            <w:pPr>
              <w:spacing w:after="0" w:line="240" w:lineRule="auto"/>
              <w:jc w:val="right"/>
              <w:rPr>
                <w:rFonts w:eastAsia="Times New Roman" w:cs="Arial"/>
                <w:kern w:val="0"/>
                <w:sz w:val="18"/>
                <w:szCs w:val="18"/>
                <w:lang w:eastAsia="pl-PL"/>
              </w:rPr>
            </w:pPr>
            <w:r w:rsidRPr="0070453D">
              <w:rPr>
                <w:rFonts w:eastAsia="Times New Roman" w:cs="Arial"/>
                <w:kern w:val="0"/>
                <w:sz w:val="18"/>
                <w:szCs w:val="18"/>
                <w:lang w:eastAsia="pl-PL"/>
              </w:rPr>
              <w:t>2,3</w:t>
            </w:r>
          </w:p>
        </w:tc>
        <w:tc>
          <w:tcPr>
            <w:tcW w:w="1003" w:type="dxa"/>
            <w:shd w:val="clear" w:color="000000" w:fill="F6F6F6"/>
            <w:noWrap/>
            <w:vAlign w:val="center"/>
            <w:hideMark/>
          </w:tcPr>
          <w:p w:rsidR="003F2B0C" w:rsidRPr="0070453D" w:rsidRDefault="003F2B0C" w:rsidP="0084338D">
            <w:pPr>
              <w:spacing w:after="0" w:line="240" w:lineRule="auto"/>
              <w:jc w:val="right"/>
              <w:rPr>
                <w:rFonts w:eastAsia="Times New Roman" w:cs="Arial"/>
                <w:kern w:val="0"/>
                <w:sz w:val="18"/>
                <w:szCs w:val="18"/>
                <w:lang w:eastAsia="pl-PL"/>
              </w:rPr>
            </w:pPr>
            <w:r w:rsidRPr="0070453D">
              <w:rPr>
                <w:rFonts w:eastAsia="Times New Roman" w:cs="Arial"/>
                <w:kern w:val="0"/>
                <w:sz w:val="18"/>
                <w:szCs w:val="18"/>
                <w:lang w:eastAsia="pl-PL"/>
              </w:rPr>
              <w:t>1,9</w:t>
            </w:r>
          </w:p>
        </w:tc>
        <w:tc>
          <w:tcPr>
            <w:tcW w:w="1003" w:type="dxa"/>
            <w:shd w:val="clear" w:color="000000" w:fill="F6F6F6"/>
            <w:noWrap/>
            <w:vAlign w:val="center"/>
            <w:hideMark/>
          </w:tcPr>
          <w:p w:rsidR="003F2B0C" w:rsidRPr="0070453D" w:rsidRDefault="003F2B0C" w:rsidP="0084338D">
            <w:pPr>
              <w:spacing w:after="0" w:line="240" w:lineRule="auto"/>
              <w:jc w:val="right"/>
              <w:rPr>
                <w:rFonts w:eastAsia="Times New Roman" w:cs="Arial"/>
                <w:kern w:val="0"/>
                <w:sz w:val="18"/>
                <w:szCs w:val="18"/>
                <w:lang w:eastAsia="pl-PL"/>
              </w:rPr>
            </w:pPr>
            <w:r w:rsidRPr="0070453D">
              <w:rPr>
                <w:rFonts w:eastAsia="Times New Roman" w:cs="Arial"/>
                <w:kern w:val="0"/>
                <w:sz w:val="18"/>
                <w:szCs w:val="18"/>
                <w:lang w:eastAsia="pl-PL"/>
              </w:rPr>
              <w:t>2,3</w:t>
            </w:r>
          </w:p>
        </w:tc>
        <w:tc>
          <w:tcPr>
            <w:tcW w:w="1003" w:type="dxa"/>
            <w:shd w:val="clear" w:color="000000" w:fill="F6F6F6"/>
            <w:noWrap/>
            <w:vAlign w:val="center"/>
            <w:hideMark/>
          </w:tcPr>
          <w:p w:rsidR="003F2B0C" w:rsidRPr="0070453D" w:rsidRDefault="003F2B0C" w:rsidP="0084338D">
            <w:pPr>
              <w:spacing w:after="0" w:line="240" w:lineRule="auto"/>
              <w:jc w:val="right"/>
              <w:rPr>
                <w:rFonts w:eastAsia="Times New Roman" w:cs="Arial"/>
                <w:kern w:val="0"/>
                <w:sz w:val="18"/>
                <w:szCs w:val="18"/>
                <w:lang w:eastAsia="pl-PL"/>
              </w:rPr>
            </w:pPr>
            <w:r w:rsidRPr="0070453D">
              <w:rPr>
                <w:rFonts w:eastAsia="Times New Roman" w:cs="Arial"/>
                <w:kern w:val="0"/>
                <w:sz w:val="18"/>
                <w:szCs w:val="18"/>
                <w:lang w:eastAsia="pl-PL"/>
              </w:rPr>
              <w:t>2,4</w:t>
            </w:r>
          </w:p>
        </w:tc>
        <w:tc>
          <w:tcPr>
            <w:tcW w:w="1003" w:type="dxa"/>
            <w:shd w:val="clear" w:color="000000" w:fill="F6F6F6"/>
            <w:noWrap/>
            <w:vAlign w:val="center"/>
            <w:hideMark/>
          </w:tcPr>
          <w:p w:rsidR="003F2B0C" w:rsidRPr="0070453D" w:rsidRDefault="003F2B0C" w:rsidP="0084338D">
            <w:pPr>
              <w:spacing w:after="0" w:line="240" w:lineRule="auto"/>
              <w:jc w:val="right"/>
              <w:rPr>
                <w:rFonts w:eastAsia="Times New Roman" w:cs="Arial"/>
                <w:kern w:val="0"/>
                <w:sz w:val="18"/>
                <w:szCs w:val="18"/>
                <w:lang w:eastAsia="pl-PL"/>
              </w:rPr>
            </w:pPr>
            <w:r w:rsidRPr="0070453D">
              <w:rPr>
                <w:rFonts w:eastAsia="Times New Roman" w:cs="Arial"/>
                <w:kern w:val="0"/>
                <w:sz w:val="18"/>
                <w:szCs w:val="18"/>
                <w:lang w:eastAsia="pl-PL"/>
              </w:rPr>
              <w:t>1,7</w:t>
            </w:r>
          </w:p>
        </w:tc>
        <w:tc>
          <w:tcPr>
            <w:tcW w:w="1003" w:type="dxa"/>
            <w:shd w:val="clear" w:color="000000" w:fill="F6F6F6"/>
            <w:noWrap/>
            <w:vAlign w:val="center"/>
            <w:hideMark/>
          </w:tcPr>
          <w:p w:rsidR="003F2B0C" w:rsidRPr="0070453D" w:rsidRDefault="003F2B0C" w:rsidP="0084338D">
            <w:pPr>
              <w:spacing w:after="0" w:line="240" w:lineRule="auto"/>
              <w:jc w:val="right"/>
              <w:rPr>
                <w:rFonts w:eastAsia="Times New Roman" w:cs="Arial"/>
                <w:kern w:val="0"/>
                <w:sz w:val="18"/>
                <w:szCs w:val="18"/>
                <w:lang w:eastAsia="pl-PL"/>
              </w:rPr>
            </w:pPr>
            <w:r w:rsidRPr="0070453D">
              <w:rPr>
                <w:rFonts w:eastAsia="Times New Roman" w:cs="Arial"/>
                <w:kern w:val="0"/>
                <w:sz w:val="18"/>
                <w:szCs w:val="18"/>
                <w:lang w:eastAsia="pl-PL"/>
              </w:rPr>
              <w:t>2,2</w:t>
            </w:r>
          </w:p>
        </w:tc>
      </w:tr>
      <w:tr w:rsidR="003F2B0C" w:rsidRPr="0070453D" w:rsidTr="0084338D">
        <w:trPr>
          <w:trHeight w:val="228"/>
        </w:trPr>
        <w:tc>
          <w:tcPr>
            <w:tcW w:w="782" w:type="dxa"/>
            <w:shd w:val="clear" w:color="auto" w:fill="FFFFFF" w:themeFill="background1"/>
          </w:tcPr>
          <w:p w:rsidR="003F2B0C" w:rsidRPr="0070453D" w:rsidRDefault="003F2B0C" w:rsidP="0084338D">
            <w:pPr>
              <w:spacing w:after="0" w:line="240" w:lineRule="auto"/>
              <w:jc w:val="left"/>
              <w:rPr>
                <w:rFonts w:eastAsia="Times New Roman" w:cs="Arial"/>
                <w:b/>
                <w:bCs/>
                <w:kern w:val="0"/>
                <w:sz w:val="18"/>
                <w:szCs w:val="18"/>
                <w:lang w:eastAsia="pl-PL"/>
              </w:rPr>
            </w:pPr>
            <w:r w:rsidRPr="0070453D">
              <w:rPr>
                <w:rFonts w:eastAsia="Times New Roman" w:cs="Arial"/>
                <w:b/>
                <w:bCs/>
                <w:kern w:val="0"/>
                <w:sz w:val="18"/>
                <w:szCs w:val="18"/>
                <w:lang w:eastAsia="pl-PL"/>
              </w:rPr>
              <w:t>NUTS 2</w:t>
            </w:r>
          </w:p>
        </w:tc>
        <w:tc>
          <w:tcPr>
            <w:tcW w:w="921" w:type="dxa"/>
            <w:shd w:val="clear" w:color="auto" w:fill="FFFFFF" w:themeFill="background1"/>
            <w:noWrap/>
            <w:vAlign w:val="center"/>
            <w:hideMark/>
          </w:tcPr>
          <w:p w:rsidR="003F2B0C" w:rsidRPr="0070453D" w:rsidRDefault="003F2B0C" w:rsidP="0084338D">
            <w:pPr>
              <w:spacing w:after="0" w:line="240" w:lineRule="auto"/>
              <w:jc w:val="left"/>
              <w:rPr>
                <w:rFonts w:eastAsia="Times New Roman" w:cs="Arial"/>
                <w:b/>
                <w:bCs/>
                <w:kern w:val="0"/>
                <w:sz w:val="18"/>
                <w:szCs w:val="18"/>
                <w:lang w:eastAsia="pl-PL"/>
              </w:rPr>
            </w:pPr>
            <w:r w:rsidRPr="0070453D">
              <w:rPr>
                <w:rFonts w:eastAsia="Times New Roman" w:cs="Arial"/>
                <w:b/>
                <w:bCs/>
                <w:kern w:val="0"/>
                <w:sz w:val="18"/>
                <w:szCs w:val="18"/>
                <w:lang w:eastAsia="pl-PL"/>
              </w:rPr>
              <w:t>DED2</w:t>
            </w:r>
          </w:p>
        </w:tc>
        <w:tc>
          <w:tcPr>
            <w:tcW w:w="1341" w:type="dxa"/>
            <w:shd w:val="clear" w:color="auto" w:fill="FFFFFF" w:themeFill="background1"/>
            <w:noWrap/>
            <w:vAlign w:val="center"/>
            <w:hideMark/>
          </w:tcPr>
          <w:p w:rsidR="003F2B0C" w:rsidRPr="0070453D" w:rsidRDefault="003F2B0C" w:rsidP="0084338D">
            <w:pPr>
              <w:spacing w:after="0" w:line="240" w:lineRule="auto"/>
              <w:jc w:val="left"/>
              <w:rPr>
                <w:rFonts w:eastAsia="Times New Roman" w:cs="Arial"/>
                <w:b/>
                <w:bCs/>
                <w:kern w:val="0"/>
                <w:sz w:val="18"/>
                <w:szCs w:val="18"/>
                <w:lang w:eastAsia="pl-PL"/>
              </w:rPr>
            </w:pPr>
            <w:proofErr w:type="spellStart"/>
            <w:r w:rsidRPr="0070453D">
              <w:rPr>
                <w:rFonts w:eastAsia="Times New Roman" w:cs="Arial"/>
                <w:b/>
                <w:bCs/>
                <w:kern w:val="0"/>
                <w:sz w:val="18"/>
                <w:szCs w:val="18"/>
                <w:lang w:eastAsia="pl-PL"/>
              </w:rPr>
              <w:t>Dresden</w:t>
            </w:r>
            <w:proofErr w:type="spellEnd"/>
          </w:p>
        </w:tc>
        <w:tc>
          <w:tcPr>
            <w:tcW w:w="1003" w:type="dxa"/>
            <w:shd w:val="clear" w:color="000000" w:fill="F6F6F6"/>
            <w:noWrap/>
            <w:vAlign w:val="center"/>
            <w:hideMark/>
          </w:tcPr>
          <w:p w:rsidR="003F2B0C" w:rsidRPr="0070453D" w:rsidRDefault="003F2B0C" w:rsidP="0084338D">
            <w:pPr>
              <w:spacing w:after="0" w:line="240" w:lineRule="auto"/>
              <w:jc w:val="right"/>
              <w:rPr>
                <w:rFonts w:eastAsia="Times New Roman" w:cs="Arial"/>
                <w:kern w:val="0"/>
                <w:sz w:val="18"/>
                <w:szCs w:val="18"/>
                <w:lang w:eastAsia="pl-PL"/>
              </w:rPr>
            </w:pPr>
            <w:r w:rsidRPr="0070453D">
              <w:rPr>
                <w:rFonts w:eastAsia="Times New Roman" w:cs="Arial"/>
                <w:kern w:val="0"/>
                <w:sz w:val="18"/>
                <w:szCs w:val="18"/>
                <w:lang w:eastAsia="pl-PL"/>
              </w:rPr>
              <w:t>4,1</w:t>
            </w:r>
          </w:p>
        </w:tc>
        <w:tc>
          <w:tcPr>
            <w:tcW w:w="1003" w:type="dxa"/>
            <w:shd w:val="clear" w:color="000000" w:fill="F6F6F6"/>
            <w:noWrap/>
            <w:vAlign w:val="center"/>
            <w:hideMark/>
          </w:tcPr>
          <w:p w:rsidR="003F2B0C" w:rsidRPr="0070453D" w:rsidRDefault="003F2B0C" w:rsidP="0084338D">
            <w:pPr>
              <w:spacing w:after="0" w:line="240" w:lineRule="auto"/>
              <w:jc w:val="right"/>
              <w:rPr>
                <w:rFonts w:eastAsia="Times New Roman" w:cs="Arial"/>
                <w:kern w:val="0"/>
                <w:sz w:val="18"/>
                <w:szCs w:val="18"/>
                <w:lang w:eastAsia="pl-PL"/>
              </w:rPr>
            </w:pPr>
            <w:r w:rsidRPr="0070453D">
              <w:rPr>
                <w:rFonts w:eastAsia="Times New Roman" w:cs="Arial"/>
                <w:kern w:val="0"/>
                <w:sz w:val="18"/>
                <w:szCs w:val="18"/>
                <w:lang w:eastAsia="pl-PL"/>
              </w:rPr>
              <w:t>3,5</w:t>
            </w:r>
          </w:p>
        </w:tc>
        <w:tc>
          <w:tcPr>
            <w:tcW w:w="1003" w:type="dxa"/>
            <w:shd w:val="clear" w:color="000000" w:fill="F6F6F6"/>
            <w:noWrap/>
            <w:vAlign w:val="center"/>
            <w:hideMark/>
          </w:tcPr>
          <w:p w:rsidR="003F2B0C" w:rsidRPr="0070453D" w:rsidRDefault="003F2B0C" w:rsidP="0084338D">
            <w:pPr>
              <w:spacing w:after="0" w:line="240" w:lineRule="auto"/>
              <w:jc w:val="right"/>
              <w:rPr>
                <w:rFonts w:eastAsia="Times New Roman" w:cs="Arial"/>
                <w:kern w:val="0"/>
                <w:sz w:val="18"/>
                <w:szCs w:val="18"/>
                <w:lang w:eastAsia="pl-PL"/>
              </w:rPr>
            </w:pPr>
            <w:r w:rsidRPr="0070453D">
              <w:rPr>
                <w:rFonts w:eastAsia="Times New Roman" w:cs="Arial"/>
                <w:kern w:val="0"/>
                <w:sz w:val="18"/>
                <w:szCs w:val="18"/>
                <w:lang w:eastAsia="pl-PL"/>
              </w:rPr>
              <w:t>3,6</w:t>
            </w:r>
          </w:p>
        </w:tc>
        <w:tc>
          <w:tcPr>
            <w:tcW w:w="1003" w:type="dxa"/>
            <w:shd w:val="clear" w:color="000000" w:fill="F6F6F6"/>
            <w:noWrap/>
            <w:vAlign w:val="center"/>
            <w:hideMark/>
          </w:tcPr>
          <w:p w:rsidR="003F2B0C" w:rsidRPr="0070453D" w:rsidRDefault="003F2B0C" w:rsidP="0084338D">
            <w:pPr>
              <w:spacing w:after="0" w:line="240" w:lineRule="auto"/>
              <w:jc w:val="right"/>
              <w:rPr>
                <w:rFonts w:eastAsia="Times New Roman" w:cs="Arial"/>
                <w:kern w:val="0"/>
                <w:sz w:val="18"/>
                <w:szCs w:val="18"/>
                <w:lang w:eastAsia="pl-PL"/>
              </w:rPr>
            </w:pPr>
            <w:r w:rsidRPr="0070453D">
              <w:rPr>
                <w:rFonts w:eastAsia="Times New Roman" w:cs="Arial"/>
                <w:kern w:val="0"/>
                <w:sz w:val="18"/>
                <w:szCs w:val="18"/>
                <w:lang w:eastAsia="pl-PL"/>
              </w:rPr>
              <w:t>3,4</w:t>
            </w:r>
          </w:p>
        </w:tc>
        <w:tc>
          <w:tcPr>
            <w:tcW w:w="1003" w:type="dxa"/>
            <w:shd w:val="clear" w:color="000000" w:fill="F6F6F6"/>
            <w:noWrap/>
            <w:vAlign w:val="center"/>
            <w:hideMark/>
          </w:tcPr>
          <w:p w:rsidR="003F2B0C" w:rsidRPr="0070453D" w:rsidRDefault="003F2B0C" w:rsidP="0084338D">
            <w:pPr>
              <w:spacing w:after="0" w:line="240" w:lineRule="auto"/>
              <w:jc w:val="right"/>
              <w:rPr>
                <w:rFonts w:eastAsia="Times New Roman" w:cs="Arial"/>
                <w:kern w:val="0"/>
                <w:sz w:val="18"/>
                <w:szCs w:val="18"/>
                <w:lang w:eastAsia="pl-PL"/>
              </w:rPr>
            </w:pPr>
            <w:r w:rsidRPr="0070453D">
              <w:rPr>
                <w:rFonts w:eastAsia="Times New Roman" w:cs="Arial"/>
                <w:kern w:val="0"/>
                <w:sz w:val="18"/>
                <w:szCs w:val="18"/>
                <w:lang w:eastAsia="pl-PL"/>
              </w:rPr>
              <w:t>3,4</w:t>
            </w:r>
          </w:p>
        </w:tc>
        <w:tc>
          <w:tcPr>
            <w:tcW w:w="1003" w:type="dxa"/>
            <w:shd w:val="clear" w:color="000000" w:fill="F6F6F6"/>
            <w:noWrap/>
            <w:vAlign w:val="center"/>
            <w:hideMark/>
          </w:tcPr>
          <w:p w:rsidR="003F2B0C" w:rsidRPr="0070453D" w:rsidRDefault="003F2B0C" w:rsidP="0084338D">
            <w:pPr>
              <w:spacing w:after="0" w:line="240" w:lineRule="auto"/>
              <w:jc w:val="right"/>
              <w:rPr>
                <w:rFonts w:eastAsia="Times New Roman" w:cs="Arial"/>
                <w:kern w:val="0"/>
                <w:sz w:val="18"/>
                <w:szCs w:val="18"/>
                <w:lang w:eastAsia="pl-PL"/>
              </w:rPr>
            </w:pPr>
            <w:r w:rsidRPr="0070453D">
              <w:rPr>
                <w:rFonts w:eastAsia="Times New Roman" w:cs="Arial"/>
                <w:kern w:val="0"/>
                <w:sz w:val="18"/>
                <w:szCs w:val="18"/>
                <w:lang w:eastAsia="pl-PL"/>
              </w:rPr>
              <w:t>2,5</w:t>
            </w:r>
          </w:p>
        </w:tc>
      </w:tr>
      <w:tr w:rsidR="003F2B0C" w:rsidRPr="0070453D" w:rsidTr="0084338D">
        <w:trPr>
          <w:trHeight w:val="228"/>
        </w:trPr>
        <w:tc>
          <w:tcPr>
            <w:tcW w:w="782" w:type="dxa"/>
            <w:shd w:val="clear" w:color="auto" w:fill="FFFFFF" w:themeFill="background1"/>
          </w:tcPr>
          <w:p w:rsidR="003F2B0C" w:rsidRPr="0070453D" w:rsidRDefault="003F2B0C" w:rsidP="0084338D">
            <w:pPr>
              <w:spacing w:after="0" w:line="240" w:lineRule="auto"/>
              <w:jc w:val="left"/>
              <w:rPr>
                <w:rFonts w:eastAsia="Times New Roman" w:cs="Arial"/>
                <w:b/>
                <w:bCs/>
                <w:kern w:val="0"/>
                <w:sz w:val="18"/>
                <w:szCs w:val="18"/>
                <w:lang w:eastAsia="pl-PL"/>
              </w:rPr>
            </w:pPr>
            <w:r w:rsidRPr="0070453D">
              <w:rPr>
                <w:rFonts w:eastAsia="Times New Roman" w:cs="Arial"/>
                <w:b/>
                <w:bCs/>
                <w:kern w:val="0"/>
                <w:sz w:val="18"/>
                <w:szCs w:val="18"/>
                <w:lang w:eastAsia="pl-PL"/>
              </w:rPr>
              <w:lastRenderedPageBreak/>
              <w:t>NUTS 2</w:t>
            </w:r>
          </w:p>
        </w:tc>
        <w:tc>
          <w:tcPr>
            <w:tcW w:w="921" w:type="dxa"/>
            <w:shd w:val="clear" w:color="auto" w:fill="FFFFFF" w:themeFill="background1"/>
            <w:noWrap/>
            <w:vAlign w:val="center"/>
            <w:hideMark/>
          </w:tcPr>
          <w:p w:rsidR="003F2B0C" w:rsidRPr="0070453D" w:rsidRDefault="003F2B0C" w:rsidP="0084338D">
            <w:pPr>
              <w:spacing w:after="0" w:line="240" w:lineRule="auto"/>
              <w:jc w:val="left"/>
              <w:rPr>
                <w:rFonts w:eastAsia="Times New Roman" w:cs="Arial"/>
                <w:b/>
                <w:bCs/>
                <w:kern w:val="0"/>
                <w:sz w:val="18"/>
                <w:szCs w:val="18"/>
                <w:lang w:eastAsia="pl-PL"/>
              </w:rPr>
            </w:pPr>
            <w:r w:rsidRPr="0070453D">
              <w:rPr>
                <w:rFonts w:eastAsia="Times New Roman" w:cs="Arial"/>
                <w:b/>
                <w:bCs/>
                <w:kern w:val="0"/>
                <w:sz w:val="18"/>
                <w:szCs w:val="18"/>
                <w:lang w:eastAsia="pl-PL"/>
              </w:rPr>
              <w:t>PL21</w:t>
            </w:r>
          </w:p>
        </w:tc>
        <w:tc>
          <w:tcPr>
            <w:tcW w:w="1341" w:type="dxa"/>
            <w:shd w:val="clear" w:color="auto" w:fill="FFFFFF" w:themeFill="background1"/>
            <w:noWrap/>
            <w:vAlign w:val="center"/>
            <w:hideMark/>
          </w:tcPr>
          <w:p w:rsidR="003F2B0C" w:rsidRPr="0070453D" w:rsidRDefault="003F2B0C" w:rsidP="0084338D">
            <w:pPr>
              <w:spacing w:after="0" w:line="240" w:lineRule="auto"/>
              <w:jc w:val="left"/>
              <w:rPr>
                <w:rFonts w:eastAsia="Times New Roman" w:cs="Arial"/>
                <w:b/>
                <w:bCs/>
                <w:kern w:val="0"/>
                <w:sz w:val="18"/>
                <w:szCs w:val="18"/>
                <w:lang w:eastAsia="pl-PL"/>
              </w:rPr>
            </w:pPr>
            <w:r w:rsidRPr="0070453D">
              <w:rPr>
                <w:rFonts w:eastAsia="Times New Roman" w:cs="Arial"/>
                <w:b/>
                <w:bCs/>
                <w:kern w:val="0"/>
                <w:sz w:val="18"/>
                <w:szCs w:val="18"/>
                <w:lang w:eastAsia="pl-PL"/>
              </w:rPr>
              <w:t>Małopolskie</w:t>
            </w:r>
          </w:p>
        </w:tc>
        <w:tc>
          <w:tcPr>
            <w:tcW w:w="1003" w:type="dxa"/>
            <w:shd w:val="clear" w:color="000000" w:fill="F6F6F6"/>
            <w:noWrap/>
            <w:vAlign w:val="center"/>
            <w:hideMark/>
          </w:tcPr>
          <w:p w:rsidR="003F2B0C" w:rsidRPr="0070453D" w:rsidRDefault="003F2B0C" w:rsidP="0084338D">
            <w:pPr>
              <w:spacing w:after="0" w:line="240" w:lineRule="auto"/>
              <w:jc w:val="right"/>
              <w:rPr>
                <w:rFonts w:eastAsia="Times New Roman" w:cs="Arial"/>
                <w:kern w:val="0"/>
                <w:sz w:val="18"/>
                <w:szCs w:val="18"/>
                <w:lang w:eastAsia="pl-PL"/>
              </w:rPr>
            </w:pPr>
            <w:r w:rsidRPr="0070453D">
              <w:rPr>
                <w:rFonts w:eastAsia="Times New Roman" w:cs="Arial"/>
                <w:kern w:val="0"/>
                <w:sz w:val="18"/>
                <w:szCs w:val="18"/>
                <w:lang w:eastAsia="pl-PL"/>
              </w:rPr>
              <w:t>2,9</w:t>
            </w:r>
          </w:p>
        </w:tc>
        <w:tc>
          <w:tcPr>
            <w:tcW w:w="1003" w:type="dxa"/>
            <w:shd w:val="clear" w:color="000000" w:fill="F6F6F6"/>
            <w:noWrap/>
            <w:vAlign w:val="center"/>
            <w:hideMark/>
          </w:tcPr>
          <w:p w:rsidR="003F2B0C" w:rsidRPr="0070453D" w:rsidRDefault="003F2B0C" w:rsidP="0084338D">
            <w:pPr>
              <w:spacing w:after="0" w:line="240" w:lineRule="auto"/>
              <w:jc w:val="right"/>
              <w:rPr>
                <w:rFonts w:eastAsia="Times New Roman" w:cs="Arial"/>
                <w:kern w:val="0"/>
                <w:sz w:val="18"/>
                <w:szCs w:val="18"/>
                <w:lang w:eastAsia="pl-PL"/>
              </w:rPr>
            </w:pPr>
            <w:r w:rsidRPr="0070453D">
              <w:rPr>
                <w:rFonts w:eastAsia="Times New Roman" w:cs="Arial"/>
                <w:kern w:val="0"/>
                <w:sz w:val="18"/>
                <w:szCs w:val="18"/>
                <w:lang w:eastAsia="pl-PL"/>
              </w:rPr>
              <w:t>2,9</w:t>
            </w:r>
          </w:p>
        </w:tc>
        <w:tc>
          <w:tcPr>
            <w:tcW w:w="1003" w:type="dxa"/>
            <w:shd w:val="clear" w:color="000000" w:fill="F6F6F6"/>
            <w:noWrap/>
            <w:vAlign w:val="center"/>
            <w:hideMark/>
          </w:tcPr>
          <w:p w:rsidR="003F2B0C" w:rsidRPr="0070453D" w:rsidRDefault="003F2B0C" w:rsidP="0084338D">
            <w:pPr>
              <w:spacing w:after="0" w:line="240" w:lineRule="auto"/>
              <w:jc w:val="right"/>
              <w:rPr>
                <w:rFonts w:eastAsia="Times New Roman" w:cs="Arial"/>
                <w:kern w:val="0"/>
                <w:sz w:val="18"/>
                <w:szCs w:val="18"/>
                <w:lang w:eastAsia="pl-PL"/>
              </w:rPr>
            </w:pPr>
            <w:r w:rsidRPr="0070453D">
              <w:rPr>
                <w:rFonts w:eastAsia="Times New Roman" w:cs="Arial"/>
                <w:kern w:val="0"/>
                <w:sz w:val="18"/>
                <w:szCs w:val="18"/>
                <w:lang w:eastAsia="pl-PL"/>
              </w:rPr>
              <w:t>2,7</w:t>
            </w:r>
          </w:p>
        </w:tc>
        <w:tc>
          <w:tcPr>
            <w:tcW w:w="1003" w:type="dxa"/>
            <w:shd w:val="clear" w:color="000000" w:fill="F6F6F6"/>
            <w:noWrap/>
            <w:vAlign w:val="center"/>
            <w:hideMark/>
          </w:tcPr>
          <w:p w:rsidR="003F2B0C" w:rsidRPr="0070453D" w:rsidRDefault="003F2B0C" w:rsidP="0084338D">
            <w:pPr>
              <w:spacing w:after="0" w:line="240" w:lineRule="auto"/>
              <w:jc w:val="right"/>
              <w:rPr>
                <w:rFonts w:eastAsia="Times New Roman" w:cs="Arial"/>
                <w:kern w:val="0"/>
                <w:sz w:val="18"/>
                <w:szCs w:val="18"/>
                <w:lang w:eastAsia="pl-PL"/>
              </w:rPr>
            </w:pPr>
            <w:r w:rsidRPr="0070453D">
              <w:rPr>
                <w:rFonts w:eastAsia="Times New Roman" w:cs="Arial"/>
                <w:kern w:val="0"/>
                <w:sz w:val="18"/>
                <w:szCs w:val="18"/>
                <w:lang w:eastAsia="pl-PL"/>
              </w:rPr>
              <w:t>3,2</w:t>
            </w:r>
          </w:p>
        </w:tc>
        <w:tc>
          <w:tcPr>
            <w:tcW w:w="1003" w:type="dxa"/>
            <w:shd w:val="clear" w:color="000000" w:fill="F6F6F6"/>
            <w:noWrap/>
            <w:vAlign w:val="center"/>
            <w:hideMark/>
          </w:tcPr>
          <w:p w:rsidR="003F2B0C" w:rsidRPr="0070453D" w:rsidRDefault="003F2B0C" w:rsidP="0084338D">
            <w:pPr>
              <w:spacing w:after="0" w:line="240" w:lineRule="auto"/>
              <w:jc w:val="right"/>
              <w:rPr>
                <w:rFonts w:eastAsia="Times New Roman" w:cs="Arial"/>
                <w:kern w:val="0"/>
                <w:sz w:val="18"/>
                <w:szCs w:val="18"/>
                <w:lang w:eastAsia="pl-PL"/>
              </w:rPr>
            </w:pPr>
            <w:r w:rsidRPr="0070453D">
              <w:rPr>
                <w:rFonts w:eastAsia="Times New Roman" w:cs="Arial"/>
                <w:kern w:val="0"/>
                <w:sz w:val="18"/>
                <w:szCs w:val="18"/>
                <w:lang w:eastAsia="pl-PL"/>
              </w:rPr>
              <w:t>2,4</w:t>
            </w:r>
          </w:p>
        </w:tc>
        <w:tc>
          <w:tcPr>
            <w:tcW w:w="1003" w:type="dxa"/>
            <w:shd w:val="clear" w:color="000000" w:fill="F6F6F6"/>
            <w:noWrap/>
            <w:vAlign w:val="center"/>
            <w:hideMark/>
          </w:tcPr>
          <w:p w:rsidR="003F2B0C" w:rsidRPr="0070453D" w:rsidRDefault="003F2B0C" w:rsidP="0084338D">
            <w:pPr>
              <w:spacing w:after="0" w:line="240" w:lineRule="auto"/>
              <w:jc w:val="right"/>
              <w:rPr>
                <w:rFonts w:eastAsia="Times New Roman" w:cs="Arial"/>
                <w:kern w:val="0"/>
                <w:sz w:val="18"/>
                <w:szCs w:val="18"/>
                <w:lang w:eastAsia="pl-PL"/>
              </w:rPr>
            </w:pPr>
            <w:r w:rsidRPr="0070453D">
              <w:rPr>
                <w:rFonts w:eastAsia="Times New Roman" w:cs="Arial"/>
                <w:kern w:val="0"/>
                <w:sz w:val="18"/>
                <w:szCs w:val="18"/>
                <w:lang w:eastAsia="pl-PL"/>
              </w:rPr>
              <w:t>2,3</w:t>
            </w:r>
          </w:p>
        </w:tc>
      </w:tr>
      <w:tr w:rsidR="003F2B0C" w:rsidRPr="0070453D" w:rsidTr="0084338D">
        <w:trPr>
          <w:trHeight w:val="228"/>
        </w:trPr>
        <w:tc>
          <w:tcPr>
            <w:tcW w:w="782" w:type="dxa"/>
            <w:shd w:val="clear" w:color="auto" w:fill="FFFFFF" w:themeFill="background1"/>
          </w:tcPr>
          <w:p w:rsidR="003F2B0C" w:rsidRPr="0070453D" w:rsidRDefault="003F2B0C" w:rsidP="0084338D">
            <w:pPr>
              <w:spacing w:after="0" w:line="240" w:lineRule="auto"/>
              <w:jc w:val="left"/>
              <w:rPr>
                <w:rFonts w:eastAsia="Times New Roman" w:cs="Arial"/>
                <w:b/>
                <w:bCs/>
                <w:kern w:val="0"/>
                <w:sz w:val="18"/>
                <w:szCs w:val="18"/>
                <w:lang w:eastAsia="pl-PL"/>
              </w:rPr>
            </w:pPr>
            <w:r w:rsidRPr="0070453D">
              <w:rPr>
                <w:rFonts w:eastAsia="Times New Roman" w:cs="Arial"/>
                <w:b/>
                <w:bCs/>
                <w:kern w:val="0"/>
                <w:sz w:val="18"/>
                <w:szCs w:val="18"/>
                <w:lang w:eastAsia="pl-PL"/>
              </w:rPr>
              <w:t>NUTS 2</w:t>
            </w:r>
          </w:p>
        </w:tc>
        <w:tc>
          <w:tcPr>
            <w:tcW w:w="921" w:type="dxa"/>
            <w:shd w:val="clear" w:color="auto" w:fill="FFFFFF" w:themeFill="background1"/>
            <w:noWrap/>
            <w:vAlign w:val="center"/>
            <w:hideMark/>
          </w:tcPr>
          <w:p w:rsidR="003F2B0C" w:rsidRPr="0070453D" w:rsidRDefault="003F2B0C" w:rsidP="0084338D">
            <w:pPr>
              <w:spacing w:after="0" w:line="240" w:lineRule="auto"/>
              <w:jc w:val="left"/>
              <w:rPr>
                <w:rFonts w:eastAsia="Times New Roman" w:cs="Arial"/>
                <w:b/>
                <w:bCs/>
                <w:kern w:val="0"/>
                <w:sz w:val="18"/>
                <w:szCs w:val="18"/>
                <w:lang w:eastAsia="pl-PL"/>
              </w:rPr>
            </w:pPr>
            <w:r w:rsidRPr="0070453D">
              <w:rPr>
                <w:rFonts w:eastAsia="Times New Roman" w:cs="Arial"/>
                <w:b/>
                <w:bCs/>
                <w:kern w:val="0"/>
                <w:sz w:val="18"/>
                <w:szCs w:val="18"/>
                <w:lang w:eastAsia="pl-PL"/>
              </w:rPr>
              <w:t>PL41</w:t>
            </w:r>
          </w:p>
        </w:tc>
        <w:tc>
          <w:tcPr>
            <w:tcW w:w="1341" w:type="dxa"/>
            <w:shd w:val="clear" w:color="auto" w:fill="FFFFFF" w:themeFill="background1"/>
            <w:noWrap/>
            <w:vAlign w:val="center"/>
            <w:hideMark/>
          </w:tcPr>
          <w:p w:rsidR="003F2B0C" w:rsidRPr="0070453D" w:rsidRDefault="003F2B0C" w:rsidP="0084338D">
            <w:pPr>
              <w:spacing w:after="0" w:line="240" w:lineRule="auto"/>
              <w:jc w:val="left"/>
              <w:rPr>
                <w:rFonts w:eastAsia="Times New Roman" w:cs="Arial"/>
                <w:b/>
                <w:bCs/>
                <w:kern w:val="0"/>
                <w:sz w:val="18"/>
                <w:szCs w:val="18"/>
                <w:lang w:eastAsia="pl-PL"/>
              </w:rPr>
            </w:pPr>
            <w:r w:rsidRPr="0070453D">
              <w:rPr>
                <w:rFonts w:eastAsia="Times New Roman" w:cs="Arial"/>
                <w:b/>
                <w:bCs/>
                <w:kern w:val="0"/>
                <w:sz w:val="18"/>
                <w:szCs w:val="18"/>
                <w:lang w:eastAsia="pl-PL"/>
              </w:rPr>
              <w:t>Wielkopolskie</w:t>
            </w:r>
          </w:p>
        </w:tc>
        <w:tc>
          <w:tcPr>
            <w:tcW w:w="1003" w:type="dxa"/>
            <w:shd w:val="clear" w:color="auto" w:fill="auto"/>
            <w:noWrap/>
            <w:vAlign w:val="center"/>
            <w:hideMark/>
          </w:tcPr>
          <w:p w:rsidR="003F2B0C" w:rsidRPr="0070453D" w:rsidRDefault="003F2B0C" w:rsidP="0084338D">
            <w:pPr>
              <w:spacing w:after="0" w:line="240" w:lineRule="auto"/>
              <w:jc w:val="right"/>
              <w:rPr>
                <w:rFonts w:eastAsia="Times New Roman" w:cs="Arial"/>
                <w:kern w:val="0"/>
                <w:sz w:val="18"/>
                <w:szCs w:val="18"/>
                <w:lang w:eastAsia="pl-PL"/>
              </w:rPr>
            </w:pPr>
            <w:r w:rsidRPr="0070453D">
              <w:rPr>
                <w:rFonts w:eastAsia="Times New Roman" w:cs="Arial"/>
                <w:kern w:val="0"/>
                <w:sz w:val="18"/>
                <w:szCs w:val="18"/>
                <w:lang w:eastAsia="pl-PL"/>
              </w:rPr>
              <w:t>2,2</w:t>
            </w:r>
          </w:p>
        </w:tc>
        <w:tc>
          <w:tcPr>
            <w:tcW w:w="1003" w:type="dxa"/>
            <w:shd w:val="clear" w:color="auto" w:fill="auto"/>
            <w:noWrap/>
            <w:vAlign w:val="center"/>
            <w:hideMark/>
          </w:tcPr>
          <w:p w:rsidR="003F2B0C" w:rsidRPr="0070453D" w:rsidRDefault="003F2B0C" w:rsidP="0084338D">
            <w:pPr>
              <w:spacing w:after="0" w:line="240" w:lineRule="auto"/>
              <w:jc w:val="right"/>
              <w:rPr>
                <w:rFonts w:eastAsia="Times New Roman" w:cs="Arial"/>
                <w:kern w:val="0"/>
                <w:sz w:val="18"/>
                <w:szCs w:val="18"/>
                <w:lang w:eastAsia="pl-PL"/>
              </w:rPr>
            </w:pPr>
            <w:r w:rsidRPr="0070453D">
              <w:rPr>
                <w:rFonts w:eastAsia="Times New Roman" w:cs="Arial"/>
                <w:kern w:val="0"/>
                <w:sz w:val="18"/>
                <w:szCs w:val="18"/>
                <w:lang w:eastAsia="pl-PL"/>
              </w:rPr>
              <w:t>2,6</w:t>
            </w:r>
          </w:p>
        </w:tc>
        <w:tc>
          <w:tcPr>
            <w:tcW w:w="1003" w:type="dxa"/>
            <w:shd w:val="clear" w:color="auto" w:fill="auto"/>
            <w:noWrap/>
            <w:vAlign w:val="center"/>
            <w:hideMark/>
          </w:tcPr>
          <w:p w:rsidR="003F2B0C" w:rsidRPr="0070453D" w:rsidRDefault="003F2B0C" w:rsidP="0084338D">
            <w:pPr>
              <w:spacing w:after="0" w:line="240" w:lineRule="auto"/>
              <w:jc w:val="right"/>
              <w:rPr>
                <w:rFonts w:eastAsia="Times New Roman" w:cs="Arial"/>
                <w:kern w:val="0"/>
                <w:sz w:val="18"/>
                <w:szCs w:val="18"/>
                <w:lang w:eastAsia="pl-PL"/>
              </w:rPr>
            </w:pPr>
            <w:r w:rsidRPr="0070453D">
              <w:rPr>
                <w:rFonts w:eastAsia="Times New Roman" w:cs="Arial"/>
                <w:kern w:val="0"/>
                <w:sz w:val="18"/>
                <w:szCs w:val="18"/>
                <w:lang w:eastAsia="pl-PL"/>
              </w:rPr>
              <w:t>1,8</w:t>
            </w:r>
          </w:p>
        </w:tc>
        <w:tc>
          <w:tcPr>
            <w:tcW w:w="1003" w:type="dxa"/>
            <w:shd w:val="clear" w:color="auto" w:fill="auto"/>
            <w:noWrap/>
            <w:vAlign w:val="center"/>
            <w:hideMark/>
          </w:tcPr>
          <w:p w:rsidR="003F2B0C" w:rsidRPr="0070453D" w:rsidRDefault="003F2B0C" w:rsidP="0084338D">
            <w:pPr>
              <w:spacing w:after="0" w:line="240" w:lineRule="auto"/>
              <w:jc w:val="right"/>
              <w:rPr>
                <w:rFonts w:eastAsia="Times New Roman" w:cs="Arial"/>
                <w:kern w:val="0"/>
                <w:sz w:val="18"/>
                <w:szCs w:val="18"/>
                <w:lang w:eastAsia="pl-PL"/>
              </w:rPr>
            </w:pPr>
            <w:r w:rsidRPr="0070453D">
              <w:rPr>
                <w:rFonts w:eastAsia="Times New Roman" w:cs="Arial"/>
                <w:kern w:val="0"/>
                <w:sz w:val="18"/>
                <w:szCs w:val="18"/>
                <w:lang w:eastAsia="pl-PL"/>
              </w:rPr>
              <w:t>2,3</w:t>
            </w:r>
          </w:p>
        </w:tc>
        <w:tc>
          <w:tcPr>
            <w:tcW w:w="1003" w:type="dxa"/>
            <w:shd w:val="clear" w:color="auto" w:fill="auto"/>
            <w:noWrap/>
            <w:vAlign w:val="center"/>
            <w:hideMark/>
          </w:tcPr>
          <w:p w:rsidR="003F2B0C" w:rsidRPr="0070453D" w:rsidRDefault="003F2B0C" w:rsidP="0084338D">
            <w:pPr>
              <w:spacing w:after="0" w:line="240" w:lineRule="auto"/>
              <w:jc w:val="right"/>
              <w:rPr>
                <w:rFonts w:eastAsia="Times New Roman" w:cs="Arial"/>
                <w:kern w:val="0"/>
                <w:sz w:val="18"/>
                <w:szCs w:val="18"/>
                <w:lang w:eastAsia="pl-PL"/>
              </w:rPr>
            </w:pPr>
            <w:r w:rsidRPr="0070453D">
              <w:rPr>
                <w:rFonts w:eastAsia="Times New Roman" w:cs="Arial"/>
                <w:kern w:val="0"/>
                <w:sz w:val="18"/>
                <w:szCs w:val="18"/>
                <w:lang w:eastAsia="pl-PL"/>
              </w:rPr>
              <w:t>2,0</w:t>
            </w:r>
          </w:p>
        </w:tc>
        <w:tc>
          <w:tcPr>
            <w:tcW w:w="1003" w:type="dxa"/>
            <w:shd w:val="clear" w:color="auto" w:fill="auto"/>
            <w:noWrap/>
            <w:vAlign w:val="center"/>
            <w:hideMark/>
          </w:tcPr>
          <w:p w:rsidR="003F2B0C" w:rsidRPr="0070453D" w:rsidRDefault="003F2B0C" w:rsidP="0084338D">
            <w:pPr>
              <w:spacing w:after="0" w:line="240" w:lineRule="auto"/>
              <w:jc w:val="right"/>
              <w:rPr>
                <w:rFonts w:eastAsia="Times New Roman" w:cs="Arial"/>
                <w:kern w:val="0"/>
                <w:sz w:val="18"/>
                <w:szCs w:val="18"/>
                <w:lang w:eastAsia="pl-PL"/>
              </w:rPr>
            </w:pPr>
            <w:r w:rsidRPr="0070453D">
              <w:rPr>
                <w:rFonts w:eastAsia="Times New Roman" w:cs="Arial"/>
                <w:kern w:val="0"/>
                <w:sz w:val="18"/>
                <w:szCs w:val="18"/>
                <w:lang w:eastAsia="pl-PL"/>
              </w:rPr>
              <w:t>2,8</w:t>
            </w:r>
          </w:p>
        </w:tc>
      </w:tr>
      <w:tr w:rsidR="003F2B0C" w:rsidRPr="0070453D" w:rsidTr="0084338D">
        <w:trPr>
          <w:trHeight w:val="228"/>
        </w:trPr>
        <w:tc>
          <w:tcPr>
            <w:tcW w:w="782" w:type="dxa"/>
            <w:shd w:val="clear" w:color="auto" w:fill="FFFFFF" w:themeFill="background1"/>
          </w:tcPr>
          <w:p w:rsidR="003F2B0C" w:rsidRPr="0070453D" w:rsidRDefault="003F2B0C" w:rsidP="0084338D">
            <w:pPr>
              <w:spacing w:after="0" w:line="240" w:lineRule="auto"/>
              <w:jc w:val="left"/>
              <w:rPr>
                <w:rFonts w:eastAsia="Times New Roman" w:cs="Arial"/>
                <w:b/>
                <w:bCs/>
                <w:kern w:val="0"/>
                <w:sz w:val="18"/>
                <w:szCs w:val="18"/>
                <w:lang w:eastAsia="pl-PL"/>
              </w:rPr>
            </w:pPr>
            <w:r w:rsidRPr="0070453D">
              <w:rPr>
                <w:rFonts w:eastAsia="Times New Roman" w:cs="Arial"/>
                <w:b/>
                <w:bCs/>
                <w:kern w:val="0"/>
                <w:sz w:val="18"/>
                <w:szCs w:val="18"/>
                <w:lang w:eastAsia="pl-PL"/>
              </w:rPr>
              <w:t>NUTS 2</w:t>
            </w:r>
          </w:p>
        </w:tc>
        <w:tc>
          <w:tcPr>
            <w:tcW w:w="921" w:type="dxa"/>
            <w:shd w:val="clear" w:color="auto" w:fill="FFFFFF" w:themeFill="background1"/>
            <w:noWrap/>
            <w:vAlign w:val="center"/>
            <w:hideMark/>
          </w:tcPr>
          <w:p w:rsidR="003F2B0C" w:rsidRPr="0070453D" w:rsidRDefault="003F2B0C" w:rsidP="0084338D">
            <w:pPr>
              <w:spacing w:after="0" w:line="240" w:lineRule="auto"/>
              <w:jc w:val="left"/>
              <w:rPr>
                <w:rFonts w:eastAsia="Times New Roman" w:cs="Arial"/>
                <w:b/>
                <w:bCs/>
                <w:kern w:val="0"/>
                <w:sz w:val="18"/>
                <w:szCs w:val="18"/>
                <w:lang w:eastAsia="pl-PL"/>
              </w:rPr>
            </w:pPr>
            <w:r w:rsidRPr="0070453D">
              <w:rPr>
                <w:rFonts w:eastAsia="Times New Roman" w:cs="Arial"/>
                <w:b/>
                <w:bCs/>
                <w:kern w:val="0"/>
                <w:sz w:val="18"/>
                <w:szCs w:val="18"/>
                <w:lang w:eastAsia="pl-PL"/>
              </w:rPr>
              <w:t>PL51</w:t>
            </w:r>
          </w:p>
        </w:tc>
        <w:tc>
          <w:tcPr>
            <w:tcW w:w="1341" w:type="dxa"/>
            <w:shd w:val="clear" w:color="auto" w:fill="FFFFFF" w:themeFill="background1"/>
            <w:noWrap/>
            <w:vAlign w:val="center"/>
            <w:hideMark/>
          </w:tcPr>
          <w:p w:rsidR="003F2B0C" w:rsidRPr="0070453D" w:rsidRDefault="003F2B0C" w:rsidP="0084338D">
            <w:pPr>
              <w:spacing w:after="0" w:line="240" w:lineRule="auto"/>
              <w:jc w:val="left"/>
              <w:rPr>
                <w:rFonts w:eastAsia="Times New Roman" w:cs="Arial"/>
                <w:b/>
                <w:bCs/>
                <w:kern w:val="0"/>
                <w:sz w:val="18"/>
                <w:szCs w:val="18"/>
                <w:lang w:eastAsia="pl-PL"/>
              </w:rPr>
            </w:pPr>
            <w:r w:rsidRPr="0070453D">
              <w:rPr>
                <w:rFonts w:eastAsia="Times New Roman" w:cs="Arial"/>
                <w:b/>
                <w:bCs/>
                <w:kern w:val="0"/>
                <w:sz w:val="18"/>
                <w:szCs w:val="18"/>
                <w:lang w:eastAsia="pl-PL"/>
              </w:rPr>
              <w:t>Dolnośląskie</w:t>
            </w:r>
          </w:p>
        </w:tc>
        <w:tc>
          <w:tcPr>
            <w:tcW w:w="1003" w:type="dxa"/>
            <w:shd w:val="clear" w:color="auto" w:fill="auto"/>
            <w:noWrap/>
            <w:vAlign w:val="center"/>
            <w:hideMark/>
          </w:tcPr>
          <w:p w:rsidR="003F2B0C" w:rsidRPr="0070453D" w:rsidRDefault="003F2B0C" w:rsidP="0084338D">
            <w:pPr>
              <w:spacing w:after="0" w:line="240" w:lineRule="auto"/>
              <w:jc w:val="right"/>
              <w:rPr>
                <w:rFonts w:eastAsia="Times New Roman" w:cs="Arial"/>
                <w:kern w:val="0"/>
                <w:sz w:val="18"/>
                <w:szCs w:val="18"/>
                <w:lang w:eastAsia="pl-PL"/>
              </w:rPr>
            </w:pPr>
            <w:r w:rsidRPr="0070453D">
              <w:rPr>
                <w:rFonts w:eastAsia="Times New Roman" w:cs="Arial"/>
                <w:kern w:val="0"/>
                <w:sz w:val="18"/>
                <w:szCs w:val="18"/>
                <w:lang w:eastAsia="pl-PL"/>
              </w:rPr>
              <w:t>3,3</w:t>
            </w:r>
          </w:p>
        </w:tc>
        <w:tc>
          <w:tcPr>
            <w:tcW w:w="1003" w:type="dxa"/>
            <w:shd w:val="clear" w:color="auto" w:fill="auto"/>
            <w:noWrap/>
            <w:vAlign w:val="center"/>
            <w:hideMark/>
          </w:tcPr>
          <w:p w:rsidR="003F2B0C" w:rsidRPr="0070453D" w:rsidRDefault="003F2B0C" w:rsidP="0084338D">
            <w:pPr>
              <w:spacing w:after="0" w:line="240" w:lineRule="auto"/>
              <w:jc w:val="right"/>
              <w:rPr>
                <w:rFonts w:eastAsia="Times New Roman" w:cs="Arial"/>
                <w:kern w:val="0"/>
                <w:sz w:val="18"/>
                <w:szCs w:val="18"/>
                <w:lang w:eastAsia="pl-PL"/>
              </w:rPr>
            </w:pPr>
            <w:r w:rsidRPr="0070453D">
              <w:rPr>
                <w:rFonts w:eastAsia="Times New Roman" w:cs="Arial"/>
                <w:kern w:val="0"/>
                <w:sz w:val="18"/>
                <w:szCs w:val="18"/>
                <w:lang w:eastAsia="pl-PL"/>
              </w:rPr>
              <w:t>3,3</w:t>
            </w:r>
          </w:p>
        </w:tc>
        <w:tc>
          <w:tcPr>
            <w:tcW w:w="1003" w:type="dxa"/>
            <w:shd w:val="clear" w:color="auto" w:fill="auto"/>
            <w:noWrap/>
            <w:vAlign w:val="center"/>
            <w:hideMark/>
          </w:tcPr>
          <w:p w:rsidR="003F2B0C" w:rsidRPr="0070453D" w:rsidRDefault="003F2B0C" w:rsidP="0084338D">
            <w:pPr>
              <w:spacing w:after="0" w:line="240" w:lineRule="auto"/>
              <w:jc w:val="right"/>
              <w:rPr>
                <w:rFonts w:eastAsia="Times New Roman" w:cs="Arial"/>
                <w:kern w:val="0"/>
                <w:sz w:val="18"/>
                <w:szCs w:val="18"/>
                <w:lang w:eastAsia="pl-PL"/>
              </w:rPr>
            </w:pPr>
            <w:r w:rsidRPr="0070453D">
              <w:rPr>
                <w:rFonts w:eastAsia="Times New Roman" w:cs="Arial"/>
                <w:kern w:val="0"/>
                <w:sz w:val="18"/>
                <w:szCs w:val="18"/>
                <w:lang w:eastAsia="pl-PL"/>
              </w:rPr>
              <w:t>3,2</w:t>
            </w:r>
          </w:p>
        </w:tc>
        <w:tc>
          <w:tcPr>
            <w:tcW w:w="1003" w:type="dxa"/>
            <w:shd w:val="clear" w:color="auto" w:fill="auto"/>
            <w:noWrap/>
            <w:vAlign w:val="center"/>
            <w:hideMark/>
          </w:tcPr>
          <w:p w:rsidR="003F2B0C" w:rsidRPr="0070453D" w:rsidRDefault="003F2B0C" w:rsidP="0084338D">
            <w:pPr>
              <w:spacing w:after="0" w:line="240" w:lineRule="auto"/>
              <w:jc w:val="right"/>
              <w:rPr>
                <w:rFonts w:eastAsia="Times New Roman" w:cs="Arial"/>
                <w:kern w:val="0"/>
                <w:sz w:val="18"/>
                <w:szCs w:val="18"/>
                <w:lang w:eastAsia="pl-PL"/>
              </w:rPr>
            </w:pPr>
            <w:r w:rsidRPr="0070453D">
              <w:rPr>
                <w:rFonts w:eastAsia="Times New Roman" w:cs="Arial"/>
                <w:kern w:val="0"/>
                <w:sz w:val="18"/>
                <w:szCs w:val="18"/>
                <w:lang w:eastAsia="pl-PL"/>
              </w:rPr>
              <w:t>4,1</w:t>
            </w:r>
          </w:p>
        </w:tc>
        <w:tc>
          <w:tcPr>
            <w:tcW w:w="1003" w:type="dxa"/>
            <w:shd w:val="clear" w:color="auto" w:fill="auto"/>
            <w:noWrap/>
            <w:vAlign w:val="center"/>
            <w:hideMark/>
          </w:tcPr>
          <w:p w:rsidR="003F2B0C" w:rsidRPr="0070453D" w:rsidRDefault="003F2B0C" w:rsidP="0084338D">
            <w:pPr>
              <w:spacing w:after="0" w:line="240" w:lineRule="auto"/>
              <w:jc w:val="right"/>
              <w:rPr>
                <w:rFonts w:eastAsia="Times New Roman" w:cs="Arial"/>
                <w:kern w:val="0"/>
                <w:sz w:val="18"/>
                <w:szCs w:val="18"/>
                <w:lang w:eastAsia="pl-PL"/>
              </w:rPr>
            </w:pPr>
            <w:r w:rsidRPr="0070453D">
              <w:rPr>
                <w:rFonts w:eastAsia="Times New Roman" w:cs="Arial"/>
                <w:kern w:val="0"/>
                <w:sz w:val="18"/>
                <w:szCs w:val="18"/>
                <w:lang w:eastAsia="pl-PL"/>
              </w:rPr>
              <w:t>3,5</w:t>
            </w:r>
          </w:p>
        </w:tc>
        <w:tc>
          <w:tcPr>
            <w:tcW w:w="1003" w:type="dxa"/>
            <w:shd w:val="clear" w:color="auto" w:fill="auto"/>
            <w:noWrap/>
            <w:vAlign w:val="center"/>
            <w:hideMark/>
          </w:tcPr>
          <w:p w:rsidR="003F2B0C" w:rsidRPr="0070453D" w:rsidRDefault="003F2B0C" w:rsidP="0084338D">
            <w:pPr>
              <w:spacing w:after="0" w:line="240" w:lineRule="auto"/>
              <w:jc w:val="right"/>
              <w:rPr>
                <w:rFonts w:eastAsia="Times New Roman" w:cs="Arial"/>
                <w:kern w:val="0"/>
                <w:sz w:val="18"/>
                <w:szCs w:val="18"/>
                <w:lang w:eastAsia="pl-PL"/>
              </w:rPr>
            </w:pPr>
            <w:r w:rsidRPr="0070453D">
              <w:rPr>
                <w:rFonts w:eastAsia="Times New Roman" w:cs="Arial"/>
                <w:kern w:val="0"/>
                <w:sz w:val="18"/>
                <w:szCs w:val="18"/>
                <w:lang w:eastAsia="pl-PL"/>
              </w:rPr>
              <w:t>3,0</w:t>
            </w:r>
          </w:p>
        </w:tc>
      </w:tr>
    </w:tbl>
    <w:p w:rsidR="003F2B0C" w:rsidRPr="00803B28" w:rsidRDefault="003F2B0C" w:rsidP="003F2B0C">
      <w:r w:rsidRPr="002737CB">
        <w:rPr>
          <w:iCs/>
          <w:color w:val="363735" w:themeColor="accent3"/>
          <w:sz w:val="20"/>
          <w:szCs w:val="18"/>
        </w:rPr>
        <w:t>Źródł</w:t>
      </w:r>
      <w:r>
        <w:rPr>
          <w:iCs/>
          <w:color w:val="363735" w:themeColor="accent3"/>
          <w:sz w:val="20"/>
          <w:szCs w:val="18"/>
        </w:rPr>
        <w:t>o:</w:t>
      </w:r>
      <w:r w:rsidRPr="002737CB">
        <w:rPr>
          <w:iCs/>
          <w:color w:val="363735" w:themeColor="accent3"/>
          <w:sz w:val="20"/>
          <w:szCs w:val="18"/>
        </w:rPr>
        <w:t xml:space="preserve"> opracowanie własne na podstawie</w:t>
      </w:r>
      <w:r>
        <w:rPr>
          <w:iCs/>
          <w:color w:val="363735" w:themeColor="accent3"/>
          <w:sz w:val="20"/>
          <w:szCs w:val="18"/>
        </w:rPr>
        <w:t xml:space="preserve"> EUROSTAT, dostęp 28.04.2025</w:t>
      </w:r>
    </w:p>
    <w:p w:rsidR="003F2B0C" w:rsidRDefault="003F2B0C" w:rsidP="003F2B0C">
      <w:pPr>
        <w:spacing w:after="160" w:line="259" w:lineRule="auto"/>
        <w:jc w:val="left"/>
        <w:rPr>
          <w:b/>
          <w:bCs/>
        </w:rPr>
      </w:pPr>
    </w:p>
    <w:p w:rsidR="003F2B0C" w:rsidRDefault="003F2B0C" w:rsidP="003F2B0C">
      <w:pPr>
        <w:rPr>
          <w:b/>
          <w:bCs/>
        </w:rPr>
      </w:pPr>
      <w:r w:rsidRPr="00776BD6">
        <w:rPr>
          <w:b/>
          <w:bCs/>
        </w:rPr>
        <w:t>6.</w:t>
      </w:r>
      <w:r>
        <w:rPr>
          <w:b/>
          <w:bCs/>
        </w:rPr>
        <w:t xml:space="preserve"> </w:t>
      </w:r>
      <w:r w:rsidRPr="00776BD6">
        <w:rPr>
          <w:b/>
          <w:bCs/>
        </w:rPr>
        <w:t>Potencjał naukowo-badawczy (wskaźniki rozwoju innowacyjnego, potencjał uczelni wyższych)</w:t>
      </w:r>
    </w:p>
    <w:p w:rsidR="003F2B0C" w:rsidRDefault="003F2B0C" w:rsidP="003F2B0C">
      <w:pPr>
        <w:rPr>
          <w:color w:val="000000" w:themeColor="text1"/>
        </w:rPr>
      </w:pPr>
      <w:r w:rsidRPr="007A48BB">
        <w:rPr>
          <w:color w:val="000000" w:themeColor="text1"/>
        </w:rPr>
        <w:t>Przedsiębiorstwa, jako podmioty wdrażające nowe rozwiązania techniczne i organizacyjne, stanowią</w:t>
      </w:r>
      <w:r>
        <w:rPr>
          <w:color w:val="000000" w:themeColor="text1"/>
        </w:rPr>
        <w:t xml:space="preserve"> </w:t>
      </w:r>
      <w:r w:rsidRPr="007A48BB">
        <w:rPr>
          <w:color w:val="000000" w:themeColor="text1"/>
        </w:rPr>
        <w:t>kluczowy element ekosystemu innowacyjnego regionu. Kondycja sektora przedsiębiorstw, zwłaszcza</w:t>
      </w:r>
      <w:r>
        <w:rPr>
          <w:color w:val="000000" w:themeColor="text1"/>
        </w:rPr>
        <w:t xml:space="preserve"> </w:t>
      </w:r>
      <w:r w:rsidRPr="007A48BB">
        <w:rPr>
          <w:color w:val="000000" w:themeColor="text1"/>
        </w:rPr>
        <w:t>w kontekście ich działalności innowacyjnej, określana jest przez szereg wskaźników dotyczących</w:t>
      </w:r>
      <w:r>
        <w:rPr>
          <w:color w:val="000000" w:themeColor="text1"/>
        </w:rPr>
        <w:t xml:space="preserve"> </w:t>
      </w:r>
      <w:r w:rsidRPr="007A48BB">
        <w:rPr>
          <w:color w:val="000000" w:themeColor="text1"/>
        </w:rPr>
        <w:t>takich aspektów ich działania jak: nakłady na badania i rozwój, współpraca z innymi podmiotami</w:t>
      </w:r>
      <w:r>
        <w:rPr>
          <w:color w:val="000000" w:themeColor="text1"/>
        </w:rPr>
        <w:t xml:space="preserve"> </w:t>
      </w:r>
      <w:r w:rsidRPr="007A48BB">
        <w:rPr>
          <w:color w:val="000000" w:themeColor="text1"/>
        </w:rPr>
        <w:t>w zakresie badań, rozwoju i wdrożeń, przychody i wartość dodana</w:t>
      </w:r>
      <w:r>
        <w:rPr>
          <w:color w:val="000000" w:themeColor="text1"/>
        </w:rPr>
        <w:t xml:space="preserve"> czy</w:t>
      </w:r>
      <w:r w:rsidRPr="007A48BB">
        <w:rPr>
          <w:color w:val="000000" w:themeColor="text1"/>
        </w:rPr>
        <w:t xml:space="preserve"> prawa własności przemysłowe</w:t>
      </w:r>
      <w:r>
        <w:rPr>
          <w:color w:val="000000" w:themeColor="text1"/>
        </w:rPr>
        <w:t xml:space="preserve">j. </w:t>
      </w:r>
    </w:p>
    <w:p w:rsidR="003F2B0C" w:rsidRPr="000608EA" w:rsidRDefault="003F2B0C" w:rsidP="003F2B0C">
      <w:pPr>
        <w:rPr>
          <w:color w:val="000000" w:themeColor="text1"/>
        </w:rPr>
      </w:pPr>
      <w:r w:rsidRPr="000608EA">
        <w:rPr>
          <w:color w:val="000000" w:themeColor="text1"/>
        </w:rPr>
        <w:t xml:space="preserve">Spośród porównywanych obszarów funkcjonalnych i ich miast rdzeni według rankingu „ </w:t>
      </w:r>
      <w:proofErr w:type="spellStart"/>
      <w:r w:rsidRPr="000608EA">
        <w:rPr>
          <w:color w:val="000000" w:themeColor="text1"/>
        </w:rPr>
        <w:t>Index</w:t>
      </w:r>
      <w:proofErr w:type="spellEnd"/>
      <w:r w:rsidRPr="000608EA">
        <w:rPr>
          <w:color w:val="000000" w:themeColor="text1"/>
        </w:rPr>
        <w:t xml:space="preserve"> 2022-2023 : Europe – Most </w:t>
      </w:r>
      <w:proofErr w:type="spellStart"/>
      <w:r w:rsidRPr="000608EA">
        <w:rPr>
          <w:color w:val="000000" w:themeColor="text1"/>
        </w:rPr>
        <w:t>Developed</w:t>
      </w:r>
      <w:proofErr w:type="spellEnd"/>
      <w:r w:rsidRPr="000608EA">
        <w:rPr>
          <w:color w:val="000000" w:themeColor="text1"/>
        </w:rPr>
        <w:t xml:space="preserve"> and </w:t>
      </w:r>
      <w:proofErr w:type="spellStart"/>
      <w:r w:rsidRPr="000608EA">
        <w:rPr>
          <w:color w:val="000000" w:themeColor="text1"/>
        </w:rPr>
        <w:t>Innovativecities</w:t>
      </w:r>
      <w:proofErr w:type="spellEnd"/>
      <w:r>
        <w:rPr>
          <w:color w:val="000000" w:themeColor="text1"/>
        </w:rPr>
        <w:t>”, najwyżej w rankingu pod względem innowacyjności znalazło się Drezno, które w Europie uplasowało się na pozycji 56, a na świecie na pozycji 147. Spośród polskich porównywanych miast najlepiej wypadł Wrocław, który znalazł się na pozycji 90 (a na świecie na pozycji 221). W zestawieniu nie znalazł się Poznań.</w:t>
      </w:r>
    </w:p>
    <w:p w:rsidR="003F2B0C" w:rsidRPr="000608EA" w:rsidRDefault="003F2B0C" w:rsidP="003F2B0C">
      <w:pPr>
        <w:pStyle w:val="Legenda"/>
        <w:rPr>
          <w:b/>
          <w:bCs/>
        </w:rPr>
      </w:pPr>
      <w:bookmarkStart w:id="103" w:name="_Toc196867073"/>
      <w:bookmarkStart w:id="104" w:name="_Toc196905085"/>
      <w:r w:rsidRPr="000608EA">
        <w:t xml:space="preserve">Tabela </w:t>
      </w:r>
      <w:r w:rsidR="00646D05">
        <w:fldChar w:fldCharType="begin"/>
      </w:r>
      <w:r w:rsidRPr="000608EA">
        <w:instrText xml:space="preserve"> SEQ Tabela \* ARABIC </w:instrText>
      </w:r>
      <w:r w:rsidR="00646D05">
        <w:fldChar w:fldCharType="separate"/>
      </w:r>
      <w:r w:rsidR="0084338D">
        <w:rPr>
          <w:noProof/>
        </w:rPr>
        <w:t>21</w:t>
      </w:r>
      <w:r w:rsidR="00646D05">
        <w:fldChar w:fldCharType="end"/>
      </w:r>
      <w:r w:rsidRPr="000608EA">
        <w:t>. Analizowane miasta rdzenie w ranking</w:t>
      </w:r>
      <w:r>
        <w:t>u</w:t>
      </w:r>
      <w:r w:rsidRPr="000608EA">
        <w:t xml:space="preserve"> najbardziej rozwiniętych I innowacyjnych </w:t>
      </w:r>
      <w:r>
        <w:t>miast</w:t>
      </w:r>
      <w:bookmarkEnd w:id="103"/>
      <w:bookmarkEnd w:id="104"/>
    </w:p>
    <w:tbl>
      <w:tblPr>
        <w:tblStyle w:val="Tabela-Siatka"/>
        <w:tblW w:w="9148" w:type="dxa"/>
        <w:tblLook w:val="04A0"/>
      </w:tblPr>
      <w:tblGrid>
        <w:gridCol w:w="2524"/>
        <w:gridCol w:w="3050"/>
        <w:gridCol w:w="3574"/>
      </w:tblGrid>
      <w:tr w:rsidR="003F2B0C" w:rsidRPr="004E6DA5" w:rsidTr="0084338D">
        <w:trPr>
          <w:trHeight w:val="362"/>
        </w:trPr>
        <w:tc>
          <w:tcPr>
            <w:tcW w:w="2524" w:type="dxa"/>
            <w:shd w:val="clear" w:color="auto" w:fill="FABE00"/>
            <w:vAlign w:val="center"/>
          </w:tcPr>
          <w:p w:rsidR="003F2B0C" w:rsidRPr="000608EA" w:rsidRDefault="003F2B0C" w:rsidP="0084338D">
            <w:pPr>
              <w:jc w:val="center"/>
              <w:rPr>
                <w:b/>
                <w:bCs/>
                <w:color w:val="000000" w:themeColor="text1"/>
                <w:sz w:val="20"/>
                <w:szCs w:val="20"/>
              </w:rPr>
            </w:pPr>
            <w:r w:rsidRPr="000608EA">
              <w:rPr>
                <w:b/>
                <w:bCs/>
                <w:color w:val="000000" w:themeColor="text1"/>
                <w:sz w:val="20"/>
                <w:szCs w:val="20"/>
              </w:rPr>
              <w:t>Miasto</w:t>
            </w:r>
          </w:p>
        </w:tc>
        <w:tc>
          <w:tcPr>
            <w:tcW w:w="3050" w:type="dxa"/>
            <w:shd w:val="clear" w:color="auto" w:fill="FABE00"/>
            <w:vAlign w:val="center"/>
            <w:hideMark/>
          </w:tcPr>
          <w:p w:rsidR="003F2B0C" w:rsidRPr="000E2D55" w:rsidRDefault="003F2B0C" w:rsidP="0084338D">
            <w:pPr>
              <w:jc w:val="center"/>
              <w:rPr>
                <w:b/>
                <w:bCs/>
                <w:color w:val="000000" w:themeColor="text1"/>
                <w:sz w:val="20"/>
                <w:szCs w:val="20"/>
              </w:rPr>
            </w:pPr>
            <w:r w:rsidRPr="000608EA">
              <w:rPr>
                <w:b/>
                <w:bCs/>
                <w:color w:val="000000" w:themeColor="text1"/>
                <w:sz w:val="20"/>
                <w:szCs w:val="20"/>
              </w:rPr>
              <w:t>Miejsce w rankingu w Europie</w:t>
            </w:r>
          </w:p>
        </w:tc>
        <w:tc>
          <w:tcPr>
            <w:tcW w:w="3574" w:type="dxa"/>
            <w:shd w:val="clear" w:color="auto" w:fill="FABE00"/>
            <w:vAlign w:val="center"/>
            <w:hideMark/>
          </w:tcPr>
          <w:p w:rsidR="003F2B0C" w:rsidRPr="000E2D55" w:rsidRDefault="003F2B0C" w:rsidP="0084338D">
            <w:pPr>
              <w:jc w:val="center"/>
              <w:rPr>
                <w:b/>
                <w:bCs/>
                <w:color w:val="000000" w:themeColor="text1"/>
                <w:sz w:val="20"/>
                <w:szCs w:val="20"/>
              </w:rPr>
            </w:pPr>
            <w:r w:rsidRPr="000608EA">
              <w:rPr>
                <w:b/>
                <w:bCs/>
                <w:color w:val="000000" w:themeColor="text1"/>
                <w:sz w:val="20"/>
                <w:szCs w:val="20"/>
              </w:rPr>
              <w:t>Miejsce w rankingu światowym</w:t>
            </w:r>
          </w:p>
        </w:tc>
      </w:tr>
      <w:tr w:rsidR="003F2B0C" w:rsidRPr="004E6DA5" w:rsidTr="0084338D">
        <w:trPr>
          <w:trHeight w:val="388"/>
        </w:trPr>
        <w:tc>
          <w:tcPr>
            <w:tcW w:w="2524" w:type="dxa"/>
            <w:vAlign w:val="center"/>
          </w:tcPr>
          <w:p w:rsidR="003F2B0C" w:rsidRPr="000E2D55" w:rsidRDefault="003F2B0C" w:rsidP="0084338D">
            <w:pPr>
              <w:jc w:val="center"/>
              <w:rPr>
                <w:color w:val="000000" w:themeColor="text1"/>
                <w:sz w:val="20"/>
                <w:szCs w:val="20"/>
              </w:rPr>
            </w:pPr>
            <w:r w:rsidRPr="004E6DA5">
              <w:rPr>
                <w:color w:val="000000" w:themeColor="text1"/>
                <w:sz w:val="20"/>
                <w:szCs w:val="20"/>
              </w:rPr>
              <w:t>Wroc</w:t>
            </w:r>
            <w:r>
              <w:rPr>
                <w:color w:val="000000" w:themeColor="text1"/>
                <w:sz w:val="20"/>
                <w:szCs w:val="20"/>
              </w:rPr>
              <w:t>ł</w:t>
            </w:r>
            <w:r w:rsidRPr="004E6DA5">
              <w:rPr>
                <w:color w:val="000000" w:themeColor="text1"/>
                <w:sz w:val="20"/>
                <w:szCs w:val="20"/>
              </w:rPr>
              <w:t>aw</w:t>
            </w:r>
          </w:p>
        </w:tc>
        <w:tc>
          <w:tcPr>
            <w:tcW w:w="3050" w:type="dxa"/>
            <w:vAlign w:val="center"/>
          </w:tcPr>
          <w:p w:rsidR="003F2B0C" w:rsidRPr="000E2D55" w:rsidRDefault="003F2B0C" w:rsidP="0084338D">
            <w:pPr>
              <w:jc w:val="center"/>
              <w:rPr>
                <w:color w:val="000000" w:themeColor="text1"/>
                <w:sz w:val="20"/>
                <w:szCs w:val="20"/>
              </w:rPr>
            </w:pPr>
            <w:r w:rsidRPr="004E6DA5">
              <w:rPr>
                <w:color w:val="000000" w:themeColor="text1"/>
                <w:sz w:val="20"/>
                <w:szCs w:val="20"/>
              </w:rPr>
              <w:t>90</w:t>
            </w:r>
          </w:p>
        </w:tc>
        <w:tc>
          <w:tcPr>
            <w:tcW w:w="3574" w:type="dxa"/>
            <w:vAlign w:val="center"/>
          </w:tcPr>
          <w:p w:rsidR="003F2B0C" w:rsidRPr="000E2D55" w:rsidRDefault="003F2B0C" w:rsidP="0084338D">
            <w:pPr>
              <w:jc w:val="center"/>
              <w:rPr>
                <w:color w:val="000000" w:themeColor="text1"/>
                <w:sz w:val="20"/>
                <w:szCs w:val="20"/>
              </w:rPr>
            </w:pPr>
            <w:r w:rsidRPr="004E6DA5">
              <w:rPr>
                <w:color w:val="000000" w:themeColor="text1"/>
                <w:sz w:val="20"/>
                <w:szCs w:val="20"/>
              </w:rPr>
              <w:t>221</w:t>
            </w:r>
          </w:p>
        </w:tc>
      </w:tr>
      <w:tr w:rsidR="003F2B0C" w:rsidRPr="004E6DA5" w:rsidTr="0084338D">
        <w:trPr>
          <w:trHeight w:val="314"/>
        </w:trPr>
        <w:tc>
          <w:tcPr>
            <w:tcW w:w="2524" w:type="dxa"/>
            <w:vAlign w:val="center"/>
          </w:tcPr>
          <w:p w:rsidR="003F2B0C" w:rsidRPr="000E2D55" w:rsidRDefault="003F2B0C" w:rsidP="0084338D">
            <w:pPr>
              <w:jc w:val="center"/>
              <w:rPr>
                <w:color w:val="000000" w:themeColor="text1"/>
                <w:sz w:val="20"/>
                <w:szCs w:val="20"/>
              </w:rPr>
            </w:pPr>
            <w:r w:rsidRPr="004E6DA5">
              <w:rPr>
                <w:color w:val="000000" w:themeColor="text1"/>
                <w:sz w:val="20"/>
                <w:szCs w:val="20"/>
              </w:rPr>
              <w:t>Kraków</w:t>
            </w:r>
          </w:p>
        </w:tc>
        <w:tc>
          <w:tcPr>
            <w:tcW w:w="3050" w:type="dxa"/>
            <w:vAlign w:val="center"/>
          </w:tcPr>
          <w:p w:rsidR="003F2B0C" w:rsidRPr="000E2D55" w:rsidRDefault="003F2B0C" w:rsidP="0084338D">
            <w:pPr>
              <w:jc w:val="center"/>
              <w:rPr>
                <w:color w:val="000000" w:themeColor="text1"/>
                <w:sz w:val="20"/>
                <w:szCs w:val="20"/>
              </w:rPr>
            </w:pPr>
            <w:r w:rsidRPr="004E6DA5">
              <w:rPr>
                <w:color w:val="000000" w:themeColor="text1"/>
                <w:sz w:val="20"/>
                <w:szCs w:val="20"/>
              </w:rPr>
              <w:t>102</w:t>
            </w:r>
          </w:p>
        </w:tc>
        <w:tc>
          <w:tcPr>
            <w:tcW w:w="3574" w:type="dxa"/>
            <w:vAlign w:val="center"/>
          </w:tcPr>
          <w:p w:rsidR="003F2B0C" w:rsidRPr="000E2D55" w:rsidRDefault="003F2B0C" w:rsidP="0084338D">
            <w:pPr>
              <w:jc w:val="center"/>
              <w:rPr>
                <w:color w:val="000000" w:themeColor="text1"/>
                <w:sz w:val="20"/>
                <w:szCs w:val="20"/>
              </w:rPr>
            </w:pPr>
            <w:r w:rsidRPr="004E6DA5">
              <w:rPr>
                <w:color w:val="000000" w:themeColor="text1"/>
                <w:sz w:val="20"/>
                <w:szCs w:val="20"/>
              </w:rPr>
              <w:t>258</w:t>
            </w:r>
          </w:p>
        </w:tc>
      </w:tr>
      <w:tr w:rsidR="003F2B0C" w:rsidRPr="004E6DA5" w:rsidTr="0084338D">
        <w:trPr>
          <w:trHeight w:val="20"/>
        </w:trPr>
        <w:tc>
          <w:tcPr>
            <w:tcW w:w="2524" w:type="dxa"/>
            <w:vAlign w:val="center"/>
          </w:tcPr>
          <w:p w:rsidR="003F2B0C" w:rsidRPr="000E2D55" w:rsidRDefault="003F2B0C" w:rsidP="0084338D">
            <w:pPr>
              <w:jc w:val="center"/>
              <w:rPr>
                <w:color w:val="000000" w:themeColor="text1"/>
                <w:sz w:val="20"/>
                <w:szCs w:val="20"/>
              </w:rPr>
            </w:pPr>
            <w:r w:rsidRPr="000E2D55">
              <w:rPr>
                <w:color w:val="000000" w:themeColor="text1"/>
                <w:sz w:val="20"/>
                <w:szCs w:val="20"/>
              </w:rPr>
              <w:t>Brno</w:t>
            </w:r>
          </w:p>
        </w:tc>
        <w:tc>
          <w:tcPr>
            <w:tcW w:w="3050" w:type="dxa"/>
            <w:vAlign w:val="center"/>
            <w:hideMark/>
          </w:tcPr>
          <w:p w:rsidR="003F2B0C" w:rsidRPr="000E2D55" w:rsidRDefault="003F2B0C" w:rsidP="0084338D">
            <w:pPr>
              <w:jc w:val="center"/>
              <w:rPr>
                <w:color w:val="000000" w:themeColor="text1"/>
                <w:sz w:val="20"/>
                <w:szCs w:val="20"/>
              </w:rPr>
            </w:pPr>
            <w:r w:rsidRPr="000E2D55">
              <w:rPr>
                <w:color w:val="000000" w:themeColor="text1"/>
                <w:sz w:val="20"/>
                <w:szCs w:val="20"/>
              </w:rPr>
              <w:t>112</w:t>
            </w:r>
          </w:p>
        </w:tc>
        <w:tc>
          <w:tcPr>
            <w:tcW w:w="3574" w:type="dxa"/>
            <w:vAlign w:val="center"/>
          </w:tcPr>
          <w:p w:rsidR="003F2B0C" w:rsidRPr="000E2D55" w:rsidRDefault="003F2B0C" w:rsidP="0084338D">
            <w:pPr>
              <w:jc w:val="center"/>
              <w:rPr>
                <w:color w:val="000000" w:themeColor="text1"/>
                <w:sz w:val="20"/>
                <w:szCs w:val="20"/>
              </w:rPr>
            </w:pPr>
            <w:r w:rsidRPr="000E2D55">
              <w:rPr>
                <w:color w:val="000000" w:themeColor="text1"/>
                <w:sz w:val="20"/>
                <w:szCs w:val="20"/>
              </w:rPr>
              <w:t>287</w:t>
            </w:r>
          </w:p>
        </w:tc>
      </w:tr>
      <w:tr w:rsidR="003F2B0C" w:rsidRPr="004E6DA5" w:rsidTr="0084338D">
        <w:trPr>
          <w:trHeight w:val="324"/>
        </w:trPr>
        <w:tc>
          <w:tcPr>
            <w:tcW w:w="2524" w:type="dxa"/>
            <w:vAlign w:val="center"/>
          </w:tcPr>
          <w:p w:rsidR="003F2B0C" w:rsidRPr="004E6DA5" w:rsidRDefault="003F2B0C" w:rsidP="0084338D">
            <w:pPr>
              <w:jc w:val="center"/>
              <w:rPr>
                <w:color w:val="000000" w:themeColor="text1"/>
                <w:sz w:val="20"/>
                <w:szCs w:val="20"/>
              </w:rPr>
            </w:pPr>
            <w:r>
              <w:rPr>
                <w:color w:val="000000" w:themeColor="text1"/>
                <w:sz w:val="20"/>
                <w:szCs w:val="20"/>
              </w:rPr>
              <w:t>Drezno</w:t>
            </w:r>
          </w:p>
        </w:tc>
        <w:tc>
          <w:tcPr>
            <w:tcW w:w="3050" w:type="dxa"/>
            <w:vAlign w:val="center"/>
          </w:tcPr>
          <w:p w:rsidR="003F2B0C" w:rsidRPr="004E6DA5" w:rsidRDefault="003F2B0C" w:rsidP="0084338D">
            <w:pPr>
              <w:jc w:val="center"/>
              <w:rPr>
                <w:color w:val="000000" w:themeColor="text1"/>
                <w:sz w:val="20"/>
                <w:szCs w:val="20"/>
              </w:rPr>
            </w:pPr>
            <w:r w:rsidRPr="004E6DA5">
              <w:rPr>
                <w:color w:val="000000" w:themeColor="text1"/>
                <w:sz w:val="20"/>
                <w:szCs w:val="20"/>
              </w:rPr>
              <w:t>56</w:t>
            </w:r>
          </w:p>
        </w:tc>
        <w:tc>
          <w:tcPr>
            <w:tcW w:w="3574" w:type="dxa"/>
            <w:vAlign w:val="center"/>
          </w:tcPr>
          <w:p w:rsidR="003F2B0C" w:rsidRPr="004E6DA5" w:rsidRDefault="003F2B0C" w:rsidP="0084338D">
            <w:pPr>
              <w:jc w:val="center"/>
              <w:rPr>
                <w:color w:val="000000" w:themeColor="text1"/>
                <w:sz w:val="20"/>
                <w:szCs w:val="20"/>
              </w:rPr>
            </w:pPr>
            <w:r w:rsidRPr="004E6DA5">
              <w:rPr>
                <w:color w:val="000000" w:themeColor="text1"/>
                <w:sz w:val="20"/>
                <w:szCs w:val="20"/>
              </w:rPr>
              <w:t>147</w:t>
            </w:r>
          </w:p>
        </w:tc>
      </w:tr>
    </w:tbl>
    <w:p w:rsidR="003F2B0C" w:rsidRPr="00184532" w:rsidRDefault="003F2B0C" w:rsidP="003F2B0C">
      <w:pPr>
        <w:spacing w:line="276" w:lineRule="auto"/>
        <w:rPr>
          <w:iCs/>
          <w:color w:val="363735" w:themeColor="accent3"/>
          <w:sz w:val="20"/>
          <w:szCs w:val="18"/>
          <w:lang w:val="en-US"/>
        </w:rPr>
      </w:pPr>
      <w:proofErr w:type="spellStart"/>
      <w:r w:rsidRPr="00184532">
        <w:rPr>
          <w:iCs/>
          <w:color w:val="363735" w:themeColor="accent3"/>
          <w:sz w:val="20"/>
          <w:szCs w:val="18"/>
          <w:lang w:val="en-US"/>
        </w:rPr>
        <w:t>Źródło</w:t>
      </w:r>
      <w:proofErr w:type="spellEnd"/>
      <w:r w:rsidRPr="00184532">
        <w:rPr>
          <w:iCs/>
          <w:color w:val="363735" w:themeColor="accent3"/>
          <w:sz w:val="20"/>
          <w:szCs w:val="18"/>
          <w:lang w:val="en-US"/>
        </w:rPr>
        <w:t>: Innovation Cities™ Index 2022-2023 : Europe – Most Developed and Innovative cities</w:t>
      </w:r>
      <w:r w:rsidRPr="002737CB">
        <w:rPr>
          <w:iCs/>
          <w:color w:val="363735" w:themeColor="accent3"/>
          <w:sz w:val="20"/>
          <w:szCs w:val="18"/>
        </w:rPr>
        <w:footnoteReference w:id="23"/>
      </w:r>
    </w:p>
    <w:p w:rsidR="003F2B0C" w:rsidRDefault="003F2B0C" w:rsidP="003F2B0C">
      <w:r>
        <w:t xml:space="preserve">O potencjale obszaru świadczą również zasoby akademickie. </w:t>
      </w:r>
      <w:r w:rsidRPr="007A48BB">
        <w:t>Według Rankingu Uczelni A</w:t>
      </w:r>
      <w:r>
        <w:t xml:space="preserve">kademickich publikowanego przez portal Perspektywy.pl  w roku 2024 najwyżej w rankingu uczelni wyższych zlokalizowanych w analizowanych obszarach funkcjonalnych znalazł się Uniwersytet Jagielloński w Krakowie (pozycja 2) oraz </w:t>
      </w:r>
      <w:r w:rsidRPr="00C93D21">
        <w:t>Akademia Górniczo-Hutnicza im. Stanisława Staszica w Krakowie</w:t>
      </w:r>
      <w:r>
        <w:t xml:space="preserve"> (pozycja 4). </w:t>
      </w:r>
      <w:r w:rsidRPr="00866B3E">
        <w:t>Uniwersytet im. Adama Mickiewicza w Poznaniu</w:t>
      </w:r>
      <w:r>
        <w:t xml:space="preserve"> znalazł się na miejscu 6, a Politechnika Wrocławska uplasowała się na  miejscu 7. </w:t>
      </w:r>
    </w:p>
    <w:p w:rsidR="003F2B0C" w:rsidRDefault="003F2B0C" w:rsidP="003F2B0C">
      <w:r w:rsidRPr="00CF3FA9">
        <w:lastRenderedPageBreak/>
        <w:t>Akademia Górniczo-Hutnicza im. Stanisława Staszica w Krakowie</w:t>
      </w:r>
      <w:r>
        <w:t xml:space="preserve"> spośród analizowanych uczelni najlepiej wypadła w rankingu </w:t>
      </w:r>
      <w:proofErr w:type="spellStart"/>
      <w:r>
        <w:t>zatrudnialności</w:t>
      </w:r>
      <w:proofErr w:type="spellEnd"/>
      <w:r>
        <w:t xml:space="preserve"> absolwentów (zajęła 6 miejsce). Wrocławskie uczelnie zajęły miejsca od 9 (Politechnika Wrocławska) do 34 (</w:t>
      </w:r>
      <w:r w:rsidRPr="003E394B">
        <w:t xml:space="preserve">Uniwersytet WSB </w:t>
      </w:r>
      <w:proofErr w:type="spellStart"/>
      <w:r w:rsidRPr="003E394B">
        <w:t>Merito</w:t>
      </w:r>
      <w:proofErr w:type="spellEnd"/>
      <w:r w:rsidRPr="003E394B">
        <w:t xml:space="preserve"> we Wrocławiu</w:t>
      </w:r>
      <w:r>
        <w:t xml:space="preserve">). </w:t>
      </w:r>
    </w:p>
    <w:p w:rsidR="003F2B0C" w:rsidRDefault="003F2B0C" w:rsidP="003F2B0C">
      <w:r>
        <w:t xml:space="preserve">Pod względem innowacyjności najlepiej wypadła Politechnika Poznańska (1 miejsce) oraz Uniwersytet Jagielloński (4 miejsce). Spośród wrocławskich uczelni najlepiej wypadła Politechnika Wrocławska (16 miejsce) i </w:t>
      </w:r>
      <w:r w:rsidRPr="003E394B">
        <w:t>Uniwersytet Przyrodniczy we Wrocławiu</w:t>
      </w:r>
      <w:r>
        <w:t xml:space="preserve"> (32 miejsce). </w:t>
      </w:r>
    </w:p>
    <w:p w:rsidR="003F2B0C" w:rsidRDefault="003F2B0C" w:rsidP="003F2B0C">
      <w:pPr>
        <w:pStyle w:val="Legenda"/>
      </w:pPr>
      <w:bookmarkStart w:id="105" w:name="_Toc196867074"/>
      <w:bookmarkStart w:id="106" w:name="_Toc196905086"/>
      <w:r>
        <w:t xml:space="preserve">Tabela </w:t>
      </w:r>
      <w:fldSimple w:instr=" SEQ Tabela \* ARABIC ">
        <w:r w:rsidR="0084338D">
          <w:rPr>
            <w:noProof/>
          </w:rPr>
          <w:t>22</w:t>
        </w:r>
      </w:fldSimple>
      <w:r>
        <w:t>. Ranking Uczelni Akademickich 2024.</w:t>
      </w:r>
      <w:bookmarkEnd w:id="105"/>
      <w:bookmarkEnd w:id="106"/>
    </w:p>
    <w:tbl>
      <w:tblPr>
        <w:tblStyle w:val="Tabela-Siatka"/>
        <w:tblW w:w="0" w:type="auto"/>
        <w:tblLook w:val="04A0"/>
      </w:tblPr>
      <w:tblGrid>
        <w:gridCol w:w="1549"/>
        <w:gridCol w:w="2954"/>
        <w:gridCol w:w="1497"/>
        <w:gridCol w:w="1481"/>
        <w:gridCol w:w="1581"/>
      </w:tblGrid>
      <w:tr w:rsidR="003F2B0C" w:rsidRPr="003E394B" w:rsidTr="0084338D">
        <w:trPr>
          <w:trHeight w:val="1575"/>
          <w:tblHeader/>
        </w:trPr>
        <w:tc>
          <w:tcPr>
            <w:tcW w:w="1549" w:type="dxa"/>
            <w:shd w:val="clear" w:color="auto" w:fill="FABE00"/>
            <w:vAlign w:val="center"/>
          </w:tcPr>
          <w:p w:rsidR="003F2B0C" w:rsidRPr="003E394B" w:rsidRDefault="003F2B0C" w:rsidP="0084338D">
            <w:pPr>
              <w:spacing w:line="276" w:lineRule="auto"/>
              <w:jc w:val="center"/>
              <w:rPr>
                <w:b/>
                <w:bCs/>
                <w:color w:val="000000" w:themeColor="text1"/>
                <w:sz w:val="20"/>
                <w:szCs w:val="20"/>
              </w:rPr>
            </w:pPr>
            <w:r w:rsidRPr="003E394B">
              <w:rPr>
                <w:b/>
                <w:bCs/>
                <w:color w:val="000000" w:themeColor="text1"/>
                <w:sz w:val="20"/>
                <w:szCs w:val="20"/>
              </w:rPr>
              <w:t>Obszar funkcjonalny w którym znajduje się uczelnia</w:t>
            </w:r>
          </w:p>
        </w:tc>
        <w:tc>
          <w:tcPr>
            <w:tcW w:w="2954" w:type="dxa"/>
            <w:shd w:val="clear" w:color="auto" w:fill="FABE00"/>
            <w:vAlign w:val="center"/>
          </w:tcPr>
          <w:p w:rsidR="003F2B0C" w:rsidRPr="003E394B" w:rsidRDefault="003F2B0C" w:rsidP="0084338D">
            <w:pPr>
              <w:spacing w:line="276" w:lineRule="auto"/>
              <w:jc w:val="center"/>
              <w:rPr>
                <w:b/>
                <w:bCs/>
                <w:color w:val="000000" w:themeColor="text1"/>
                <w:sz w:val="20"/>
                <w:szCs w:val="20"/>
              </w:rPr>
            </w:pPr>
            <w:r w:rsidRPr="003E394B">
              <w:rPr>
                <w:b/>
                <w:bCs/>
                <w:color w:val="000000" w:themeColor="text1"/>
                <w:sz w:val="20"/>
                <w:szCs w:val="20"/>
              </w:rPr>
              <w:t>Nazwa uczelni</w:t>
            </w:r>
          </w:p>
        </w:tc>
        <w:tc>
          <w:tcPr>
            <w:tcW w:w="1497" w:type="dxa"/>
            <w:shd w:val="clear" w:color="auto" w:fill="FABE00"/>
            <w:vAlign w:val="center"/>
          </w:tcPr>
          <w:p w:rsidR="003F2B0C" w:rsidRPr="003E394B" w:rsidRDefault="003F2B0C" w:rsidP="0084338D">
            <w:pPr>
              <w:spacing w:line="276" w:lineRule="auto"/>
              <w:jc w:val="center"/>
              <w:rPr>
                <w:b/>
                <w:bCs/>
                <w:color w:val="000000" w:themeColor="text1"/>
                <w:sz w:val="20"/>
                <w:szCs w:val="20"/>
              </w:rPr>
            </w:pPr>
            <w:r w:rsidRPr="003E394B">
              <w:rPr>
                <w:b/>
                <w:bCs/>
                <w:color w:val="000000" w:themeColor="text1"/>
                <w:sz w:val="20"/>
                <w:szCs w:val="20"/>
              </w:rPr>
              <w:t>Miejsce w rankingu uczelni akademickich</w:t>
            </w:r>
          </w:p>
        </w:tc>
        <w:tc>
          <w:tcPr>
            <w:tcW w:w="1481" w:type="dxa"/>
            <w:shd w:val="clear" w:color="auto" w:fill="FABE00"/>
          </w:tcPr>
          <w:p w:rsidR="003F2B0C" w:rsidRPr="003E394B" w:rsidRDefault="003F2B0C" w:rsidP="0084338D">
            <w:pPr>
              <w:spacing w:line="276" w:lineRule="auto"/>
              <w:jc w:val="center"/>
              <w:rPr>
                <w:b/>
                <w:bCs/>
                <w:color w:val="000000" w:themeColor="text1"/>
                <w:sz w:val="20"/>
                <w:szCs w:val="20"/>
              </w:rPr>
            </w:pPr>
            <w:r w:rsidRPr="003E394B">
              <w:rPr>
                <w:b/>
                <w:bCs/>
                <w:color w:val="000000" w:themeColor="text1"/>
                <w:sz w:val="20"/>
                <w:szCs w:val="20"/>
              </w:rPr>
              <w:t>Miejsce w rankingu Absolwent na rynku pracy 2024</w:t>
            </w:r>
          </w:p>
        </w:tc>
        <w:tc>
          <w:tcPr>
            <w:tcW w:w="1581" w:type="dxa"/>
            <w:shd w:val="clear" w:color="auto" w:fill="FABE00"/>
          </w:tcPr>
          <w:p w:rsidR="003F2B0C" w:rsidRPr="003E394B" w:rsidRDefault="003F2B0C" w:rsidP="0084338D">
            <w:pPr>
              <w:spacing w:line="276" w:lineRule="auto"/>
              <w:jc w:val="center"/>
              <w:rPr>
                <w:b/>
                <w:bCs/>
                <w:color w:val="000000" w:themeColor="text1"/>
                <w:sz w:val="20"/>
                <w:szCs w:val="20"/>
              </w:rPr>
            </w:pPr>
            <w:r w:rsidRPr="003E394B">
              <w:rPr>
                <w:b/>
                <w:bCs/>
                <w:color w:val="000000" w:themeColor="text1"/>
                <w:sz w:val="20"/>
                <w:szCs w:val="20"/>
              </w:rPr>
              <w:t>Miejsce w rankingu Innowacyjność 2024</w:t>
            </w:r>
          </w:p>
        </w:tc>
      </w:tr>
      <w:tr w:rsidR="003F2B0C" w:rsidRPr="003E394B" w:rsidTr="0084338D">
        <w:tc>
          <w:tcPr>
            <w:tcW w:w="1549" w:type="dxa"/>
            <w:vMerge w:val="restart"/>
          </w:tcPr>
          <w:p w:rsidR="003F2B0C" w:rsidRPr="003E394B" w:rsidRDefault="003F2B0C" w:rsidP="0084338D">
            <w:pPr>
              <w:jc w:val="left"/>
              <w:rPr>
                <w:sz w:val="20"/>
                <w:szCs w:val="20"/>
              </w:rPr>
            </w:pPr>
            <w:r w:rsidRPr="003E394B">
              <w:rPr>
                <w:b/>
                <w:bCs/>
                <w:color w:val="000000" w:themeColor="text1"/>
                <w:sz w:val="20"/>
                <w:szCs w:val="20"/>
              </w:rPr>
              <w:t>Wrocławski Obszar Funkcjonalny</w:t>
            </w:r>
          </w:p>
        </w:tc>
        <w:tc>
          <w:tcPr>
            <w:tcW w:w="2954" w:type="dxa"/>
          </w:tcPr>
          <w:p w:rsidR="003F2B0C" w:rsidRPr="003E394B" w:rsidRDefault="003F2B0C" w:rsidP="0084338D">
            <w:pPr>
              <w:spacing w:after="0" w:line="240" w:lineRule="auto"/>
              <w:jc w:val="left"/>
              <w:rPr>
                <w:rFonts w:cs="Calibri"/>
                <w:color w:val="000000" w:themeColor="text1"/>
                <w:sz w:val="20"/>
                <w:szCs w:val="20"/>
                <w:lang w:val="en-GB"/>
              </w:rPr>
            </w:pPr>
            <w:proofErr w:type="spellStart"/>
            <w:r w:rsidRPr="003E394B">
              <w:rPr>
                <w:rFonts w:cs="Calibri"/>
                <w:color w:val="000000" w:themeColor="text1"/>
                <w:sz w:val="20"/>
                <w:szCs w:val="20"/>
                <w:lang w:val="en-GB"/>
              </w:rPr>
              <w:t>Politechnika</w:t>
            </w:r>
            <w:proofErr w:type="spellEnd"/>
            <w:r>
              <w:rPr>
                <w:rFonts w:cs="Calibri"/>
                <w:color w:val="000000" w:themeColor="text1"/>
                <w:sz w:val="20"/>
                <w:szCs w:val="20"/>
                <w:lang w:val="en-GB"/>
              </w:rPr>
              <w:t xml:space="preserve"> </w:t>
            </w:r>
            <w:proofErr w:type="spellStart"/>
            <w:r w:rsidRPr="003E394B">
              <w:rPr>
                <w:rFonts w:cs="Calibri"/>
                <w:color w:val="000000" w:themeColor="text1"/>
                <w:sz w:val="20"/>
                <w:szCs w:val="20"/>
                <w:lang w:val="en-GB"/>
              </w:rPr>
              <w:t>Wrocławska</w:t>
            </w:r>
            <w:proofErr w:type="spellEnd"/>
          </w:p>
        </w:tc>
        <w:tc>
          <w:tcPr>
            <w:tcW w:w="1497" w:type="dxa"/>
            <w:vAlign w:val="center"/>
          </w:tcPr>
          <w:p w:rsidR="003F2B0C" w:rsidRPr="003E394B" w:rsidRDefault="003F2B0C" w:rsidP="0084338D">
            <w:pPr>
              <w:jc w:val="center"/>
              <w:rPr>
                <w:sz w:val="20"/>
                <w:szCs w:val="20"/>
              </w:rPr>
            </w:pPr>
            <w:r w:rsidRPr="003E394B">
              <w:rPr>
                <w:sz w:val="20"/>
                <w:szCs w:val="20"/>
              </w:rPr>
              <w:t>7</w:t>
            </w:r>
          </w:p>
        </w:tc>
        <w:tc>
          <w:tcPr>
            <w:tcW w:w="1481" w:type="dxa"/>
          </w:tcPr>
          <w:p w:rsidR="003F2B0C" w:rsidRPr="003E394B" w:rsidRDefault="003F2B0C" w:rsidP="0084338D">
            <w:pPr>
              <w:jc w:val="center"/>
              <w:rPr>
                <w:sz w:val="20"/>
                <w:szCs w:val="20"/>
              </w:rPr>
            </w:pPr>
            <w:r w:rsidRPr="003E394B">
              <w:rPr>
                <w:sz w:val="20"/>
                <w:szCs w:val="20"/>
              </w:rPr>
              <w:t>9</w:t>
            </w:r>
          </w:p>
        </w:tc>
        <w:tc>
          <w:tcPr>
            <w:tcW w:w="1581" w:type="dxa"/>
          </w:tcPr>
          <w:p w:rsidR="003F2B0C" w:rsidRPr="003E394B" w:rsidRDefault="003F2B0C" w:rsidP="0084338D">
            <w:pPr>
              <w:jc w:val="center"/>
              <w:rPr>
                <w:sz w:val="20"/>
                <w:szCs w:val="20"/>
              </w:rPr>
            </w:pPr>
            <w:r w:rsidRPr="003E394B">
              <w:rPr>
                <w:sz w:val="20"/>
                <w:szCs w:val="20"/>
              </w:rPr>
              <w:t>16</w:t>
            </w:r>
          </w:p>
        </w:tc>
      </w:tr>
      <w:tr w:rsidR="003F2B0C" w:rsidRPr="003E394B" w:rsidTr="0084338D">
        <w:tc>
          <w:tcPr>
            <w:tcW w:w="1549" w:type="dxa"/>
            <w:vMerge/>
          </w:tcPr>
          <w:p w:rsidR="003F2B0C" w:rsidRPr="003E394B" w:rsidRDefault="003F2B0C" w:rsidP="0084338D">
            <w:pPr>
              <w:rPr>
                <w:sz w:val="20"/>
                <w:szCs w:val="20"/>
              </w:rPr>
            </w:pPr>
          </w:p>
        </w:tc>
        <w:tc>
          <w:tcPr>
            <w:tcW w:w="2954" w:type="dxa"/>
          </w:tcPr>
          <w:p w:rsidR="003F2B0C" w:rsidRPr="003E394B" w:rsidRDefault="00646D05" w:rsidP="0084338D">
            <w:pPr>
              <w:spacing w:after="0" w:line="240" w:lineRule="auto"/>
              <w:jc w:val="left"/>
              <w:rPr>
                <w:rFonts w:cs="Calibri"/>
                <w:color w:val="000000" w:themeColor="text1"/>
                <w:sz w:val="20"/>
                <w:szCs w:val="20"/>
              </w:rPr>
            </w:pPr>
            <w:hyperlink r:id="rId40" w:tgtFrame="_blank" w:history="1">
              <w:r w:rsidR="003F2B0C" w:rsidRPr="003E394B">
                <w:rPr>
                  <w:rFonts w:cs="Calibri"/>
                  <w:color w:val="000000" w:themeColor="text1"/>
                  <w:sz w:val="20"/>
                  <w:szCs w:val="20"/>
                </w:rPr>
                <w:t>Uniwersytet Medyczny im. Piastów Śląskich we Wrocławiu</w:t>
              </w:r>
            </w:hyperlink>
          </w:p>
        </w:tc>
        <w:tc>
          <w:tcPr>
            <w:tcW w:w="1497" w:type="dxa"/>
            <w:vAlign w:val="center"/>
          </w:tcPr>
          <w:p w:rsidR="003F2B0C" w:rsidRPr="003E394B" w:rsidRDefault="003F2B0C" w:rsidP="0084338D">
            <w:pPr>
              <w:jc w:val="center"/>
              <w:rPr>
                <w:sz w:val="20"/>
                <w:szCs w:val="20"/>
              </w:rPr>
            </w:pPr>
            <w:r w:rsidRPr="003E394B">
              <w:rPr>
                <w:sz w:val="20"/>
                <w:szCs w:val="20"/>
              </w:rPr>
              <w:t>16</w:t>
            </w:r>
          </w:p>
        </w:tc>
        <w:tc>
          <w:tcPr>
            <w:tcW w:w="1481" w:type="dxa"/>
          </w:tcPr>
          <w:p w:rsidR="003F2B0C" w:rsidRPr="003E394B" w:rsidRDefault="003F2B0C" w:rsidP="0084338D">
            <w:pPr>
              <w:jc w:val="center"/>
              <w:rPr>
                <w:sz w:val="20"/>
                <w:szCs w:val="20"/>
              </w:rPr>
            </w:pPr>
            <w:r w:rsidRPr="003E394B">
              <w:rPr>
                <w:sz w:val="20"/>
                <w:szCs w:val="20"/>
              </w:rPr>
              <w:t>21</w:t>
            </w:r>
          </w:p>
        </w:tc>
        <w:tc>
          <w:tcPr>
            <w:tcW w:w="1581" w:type="dxa"/>
          </w:tcPr>
          <w:p w:rsidR="003F2B0C" w:rsidRPr="003E394B" w:rsidRDefault="003F2B0C" w:rsidP="0084338D">
            <w:pPr>
              <w:jc w:val="center"/>
              <w:rPr>
                <w:sz w:val="20"/>
                <w:szCs w:val="20"/>
              </w:rPr>
            </w:pPr>
          </w:p>
        </w:tc>
      </w:tr>
      <w:tr w:rsidR="003F2B0C" w:rsidRPr="003E394B" w:rsidTr="0084338D">
        <w:tc>
          <w:tcPr>
            <w:tcW w:w="1549" w:type="dxa"/>
            <w:vMerge/>
          </w:tcPr>
          <w:p w:rsidR="003F2B0C" w:rsidRPr="003E394B" w:rsidRDefault="003F2B0C" w:rsidP="0084338D">
            <w:pPr>
              <w:rPr>
                <w:sz w:val="20"/>
                <w:szCs w:val="20"/>
              </w:rPr>
            </w:pPr>
          </w:p>
        </w:tc>
        <w:tc>
          <w:tcPr>
            <w:tcW w:w="2954" w:type="dxa"/>
          </w:tcPr>
          <w:p w:rsidR="003F2B0C" w:rsidRPr="003E394B" w:rsidRDefault="003F2B0C" w:rsidP="0084338D">
            <w:pPr>
              <w:spacing w:after="0" w:line="240" w:lineRule="auto"/>
              <w:jc w:val="left"/>
              <w:rPr>
                <w:rFonts w:cs="Calibri"/>
                <w:color w:val="000000" w:themeColor="text1"/>
                <w:sz w:val="20"/>
                <w:szCs w:val="20"/>
                <w:lang w:val="en-GB"/>
              </w:rPr>
            </w:pPr>
            <w:proofErr w:type="spellStart"/>
            <w:r w:rsidRPr="003E394B">
              <w:rPr>
                <w:rFonts w:cs="Calibri"/>
                <w:color w:val="000000" w:themeColor="text1"/>
                <w:sz w:val="20"/>
                <w:szCs w:val="20"/>
                <w:lang w:val="en-GB"/>
              </w:rPr>
              <w:t>Uniwersytet</w:t>
            </w:r>
            <w:proofErr w:type="spellEnd"/>
            <w:r>
              <w:rPr>
                <w:rFonts w:cs="Calibri"/>
                <w:color w:val="000000" w:themeColor="text1"/>
                <w:sz w:val="20"/>
                <w:szCs w:val="20"/>
                <w:lang w:val="en-GB"/>
              </w:rPr>
              <w:t xml:space="preserve"> </w:t>
            </w:r>
            <w:proofErr w:type="spellStart"/>
            <w:r w:rsidRPr="003E394B">
              <w:rPr>
                <w:rFonts w:cs="Calibri"/>
                <w:color w:val="000000" w:themeColor="text1"/>
                <w:sz w:val="20"/>
                <w:szCs w:val="20"/>
                <w:lang w:val="en-GB"/>
              </w:rPr>
              <w:t>Wrocławski</w:t>
            </w:r>
            <w:proofErr w:type="spellEnd"/>
          </w:p>
        </w:tc>
        <w:tc>
          <w:tcPr>
            <w:tcW w:w="1497" w:type="dxa"/>
            <w:vAlign w:val="center"/>
          </w:tcPr>
          <w:p w:rsidR="003F2B0C" w:rsidRPr="003E394B" w:rsidRDefault="003F2B0C" w:rsidP="0084338D">
            <w:pPr>
              <w:jc w:val="center"/>
              <w:rPr>
                <w:sz w:val="20"/>
                <w:szCs w:val="20"/>
              </w:rPr>
            </w:pPr>
            <w:r w:rsidRPr="003E394B">
              <w:rPr>
                <w:sz w:val="20"/>
                <w:szCs w:val="20"/>
              </w:rPr>
              <w:t>19</w:t>
            </w:r>
          </w:p>
        </w:tc>
        <w:tc>
          <w:tcPr>
            <w:tcW w:w="1481" w:type="dxa"/>
          </w:tcPr>
          <w:p w:rsidR="003F2B0C" w:rsidRPr="003E394B" w:rsidRDefault="003F2B0C" w:rsidP="0084338D">
            <w:pPr>
              <w:jc w:val="center"/>
              <w:rPr>
                <w:sz w:val="20"/>
                <w:szCs w:val="20"/>
              </w:rPr>
            </w:pPr>
          </w:p>
        </w:tc>
        <w:tc>
          <w:tcPr>
            <w:tcW w:w="1581" w:type="dxa"/>
          </w:tcPr>
          <w:p w:rsidR="003F2B0C" w:rsidRPr="003E394B" w:rsidRDefault="003F2B0C" w:rsidP="0084338D">
            <w:pPr>
              <w:jc w:val="center"/>
              <w:rPr>
                <w:sz w:val="20"/>
                <w:szCs w:val="20"/>
              </w:rPr>
            </w:pPr>
          </w:p>
        </w:tc>
      </w:tr>
      <w:tr w:rsidR="003F2B0C" w:rsidRPr="003E394B" w:rsidTr="0084338D">
        <w:tc>
          <w:tcPr>
            <w:tcW w:w="1549" w:type="dxa"/>
            <w:vMerge/>
          </w:tcPr>
          <w:p w:rsidR="003F2B0C" w:rsidRPr="003E394B" w:rsidRDefault="003F2B0C" w:rsidP="0084338D">
            <w:pPr>
              <w:rPr>
                <w:sz w:val="20"/>
                <w:szCs w:val="20"/>
              </w:rPr>
            </w:pPr>
          </w:p>
        </w:tc>
        <w:tc>
          <w:tcPr>
            <w:tcW w:w="2954" w:type="dxa"/>
          </w:tcPr>
          <w:p w:rsidR="003F2B0C" w:rsidRPr="003E394B" w:rsidRDefault="003F2B0C" w:rsidP="0084338D">
            <w:pPr>
              <w:spacing w:after="0" w:line="240" w:lineRule="auto"/>
              <w:jc w:val="left"/>
              <w:rPr>
                <w:rFonts w:cs="Calibri"/>
                <w:color w:val="000000" w:themeColor="text1"/>
                <w:sz w:val="20"/>
                <w:szCs w:val="20"/>
                <w:lang w:val="en-GB"/>
              </w:rPr>
            </w:pPr>
            <w:proofErr w:type="spellStart"/>
            <w:r w:rsidRPr="003E394B">
              <w:rPr>
                <w:rFonts w:cs="Calibri"/>
                <w:color w:val="000000" w:themeColor="text1"/>
                <w:sz w:val="20"/>
                <w:szCs w:val="20"/>
                <w:lang w:val="en-GB"/>
              </w:rPr>
              <w:t>Uniwersytet</w:t>
            </w:r>
            <w:proofErr w:type="spellEnd"/>
            <w:r>
              <w:rPr>
                <w:rFonts w:cs="Calibri"/>
                <w:color w:val="000000" w:themeColor="text1"/>
                <w:sz w:val="20"/>
                <w:szCs w:val="20"/>
                <w:lang w:val="en-GB"/>
              </w:rPr>
              <w:t xml:space="preserve"> </w:t>
            </w:r>
            <w:proofErr w:type="spellStart"/>
            <w:r w:rsidRPr="003E394B">
              <w:rPr>
                <w:rFonts w:cs="Calibri"/>
                <w:color w:val="000000" w:themeColor="text1"/>
                <w:sz w:val="20"/>
                <w:szCs w:val="20"/>
                <w:lang w:val="en-GB"/>
              </w:rPr>
              <w:t>Przyrodniczy</w:t>
            </w:r>
            <w:proofErr w:type="spellEnd"/>
            <w:r w:rsidRPr="003E394B">
              <w:rPr>
                <w:rFonts w:cs="Calibri"/>
                <w:color w:val="000000" w:themeColor="text1"/>
                <w:sz w:val="20"/>
                <w:szCs w:val="20"/>
                <w:lang w:val="en-GB"/>
              </w:rPr>
              <w:t xml:space="preserve"> we </w:t>
            </w:r>
            <w:proofErr w:type="spellStart"/>
            <w:r w:rsidRPr="003E394B">
              <w:rPr>
                <w:rFonts w:cs="Calibri"/>
                <w:color w:val="000000" w:themeColor="text1"/>
                <w:sz w:val="20"/>
                <w:szCs w:val="20"/>
                <w:lang w:val="en-GB"/>
              </w:rPr>
              <w:t>Wrocławiu</w:t>
            </w:r>
            <w:proofErr w:type="spellEnd"/>
          </w:p>
        </w:tc>
        <w:tc>
          <w:tcPr>
            <w:tcW w:w="1497" w:type="dxa"/>
            <w:vAlign w:val="center"/>
          </w:tcPr>
          <w:p w:rsidR="003F2B0C" w:rsidRPr="003E394B" w:rsidRDefault="003F2B0C" w:rsidP="0084338D">
            <w:pPr>
              <w:jc w:val="center"/>
              <w:rPr>
                <w:sz w:val="20"/>
                <w:szCs w:val="20"/>
              </w:rPr>
            </w:pPr>
            <w:r w:rsidRPr="003E394B">
              <w:rPr>
                <w:sz w:val="20"/>
                <w:szCs w:val="20"/>
              </w:rPr>
              <w:t>26</w:t>
            </w:r>
          </w:p>
        </w:tc>
        <w:tc>
          <w:tcPr>
            <w:tcW w:w="1481" w:type="dxa"/>
          </w:tcPr>
          <w:p w:rsidR="003F2B0C" w:rsidRPr="003E394B" w:rsidRDefault="003F2B0C" w:rsidP="0084338D">
            <w:pPr>
              <w:jc w:val="center"/>
              <w:rPr>
                <w:sz w:val="20"/>
                <w:szCs w:val="20"/>
              </w:rPr>
            </w:pPr>
          </w:p>
        </w:tc>
        <w:tc>
          <w:tcPr>
            <w:tcW w:w="1581" w:type="dxa"/>
          </w:tcPr>
          <w:p w:rsidR="003F2B0C" w:rsidRPr="003E394B" w:rsidRDefault="003F2B0C" w:rsidP="0084338D">
            <w:pPr>
              <w:jc w:val="center"/>
              <w:rPr>
                <w:sz w:val="20"/>
                <w:szCs w:val="20"/>
              </w:rPr>
            </w:pPr>
            <w:r w:rsidRPr="003E394B">
              <w:rPr>
                <w:sz w:val="20"/>
                <w:szCs w:val="20"/>
              </w:rPr>
              <w:t>32</w:t>
            </w:r>
          </w:p>
        </w:tc>
      </w:tr>
      <w:tr w:rsidR="003F2B0C" w:rsidRPr="003E394B" w:rsidTr="0084338D">
        <w:tc>
          <w:tcPr>
            <w:tcW w:w="1549" w:type="dxa"/>
            <w:vMerge/>
          </w:tcPr>
          <w:p w:rsidR="003F2B0C" w:rsidRPr="003E394B" w:rsidRDefault="003F2B0C" w:rsidP="0084338D">
            <w:pPr>
              <w:rPr>
                <w:sz w:val="20"/>
                <w:szCs w:val="20"/>
              </w:rPr>
            </w:pPr>
          </w:p>
        </w:tc>
        <w:tc>
          <w:tcPr>
            <w:tcW w:w="2954" w:type="dxa"/>
          </w:tcPr>
          <w:p w:rsidR="003F2B0C" w:rsidRPr="003E394B" w:rsidRDefault="003F2B0C" w:rsidP="0084338D">
            <w:pPr>
              <w:spacing w:after="0" w:line="240" w:lineRule="auto"/>
              <w:jc w:val="left"/>
              <w:rPr>
                <w:rFonts w:cs="Calibri"/>
                <w:color w:val="000000" w:themeColor="text1"/>
                <w:sz w:val="20"/>
                <w:szCs w:val="20"/>
                <w:lang w:val="en-GB"/>
              </w:rPr>
            </w:pPr>
            <w:proofErr w:type="spellStart"/>
            <w:r w:rsidRPr="003E394B">
              <w:rPr>
                <w:rFonts w:cs="Calibri"/>
                <w:color w:val="000000" w:themeColor="text1"/>
                <w:sz w:val="20"/>
                <w:szCs w:val="20"/>
                <w:lang w:val="en-GB"/>
              </w:rPr>
              <w:t>Uniwersytet</w:t>
            </w:r>
            <w:proofErr w:type="spellEnd"/>
            <w:r>
              <w:rPr>
                <w:rFonts w:cs="Calibri"/>
                <w:color w:val="000000" w:themeColor="text1"/>
                <w:sz w:val="20"/>
                <w:szCs w:val="20"/>
                <w:lang w:val="en-GB"/>
              </w:rPr>
              <w:t xml:space="preserve"> </w:t>
            </w:r>
            <w:proofErr w:type="spellStart"/>
            <w:r w:rsidRPr="003E394B">
              <w:rPr>
                <w:rFonts w:cs="Calibri"/>
                <w:color w:val="000000" w:themeColor="text1"/>
                <w:sz w:val="20"/>
                <w:szCs w:val="20"/>
                <w:lang w:val="en-GB"/>
              </w:rPr>
              <w:t>Ekonomiczny</w:t>
            </w:r>
            <w:proofErr w:type="spellEnd"/>
            <w:r w:rsidRPr="003E394B">
              <w:rPr>
                <w:rFonts w:cs="Calibri"/>
                <w:color w:val="000000" w:themeColor="text1"/>
                <w:sz w:val="20"/>
                <w:szCs w:val="20"/>
                <w:lang w:val="en-GB"/>
              </w:rPr>
              <w:t xml:space="preserve"> we </w:t>
            </w:r>
            <w:proofErr w:type="spellStart"/>
            <w:r w:rsidRPr="003E394B">
              <w:rPr>
                <w:rFonts w:cs="Calibri"/>
                <w:color w:val="000000" w:themeColor="text1"/>
                <w:sz w:val="20"/>
                <w:szCs w:val="20"/>
                <w:lang w:val="en-GB"/>
              </w:rPr>
              <w:t>Wrocławiu</w:t>
            </w:r>
            <w:proofErr w:type="spellEnd"/>
          </w:p>
        </w:tc>
        <w:tc>
          <w:tcPr>
            <w:tcW w:w="1497" w:type="dxa"/>
            <w:vAlign w:val="center"/>
          </w:tcPr>
          <w:p w:rsidR="003F2B0C" w:rsidRPr="003E394B" w:rsidRDefault="003F2B0C" w:rsidP="0084338D">
            <w:pPr>
              <w:jc w:val="center"/>
              <w:rPr>
                <w:sz w:val="20"/>
                <w:szCs w:val="20"/>
              </w:rPr>
            </w:pPr>
            <w:r w:rsidRPr="003E394B">
              <w:rPr>
                <w:sz w:val="20"/>
                <w:szCs w:val="20"/>
              </w:rPr>
              <w:t>48</w:t>
            </w:r>
          </w:p>
        </w:tc>
        <w:tc>
          <w:tcPr>
            <w:tcW w:w="1481" w:type="dxa"/>
          </w:tcPr>
          <w:p w:rsidR="003F2B0C" w:rsidRPr="003E394B" w:rsidRDefault="003F2B0C" w:rsidP="0084338D">
            <w:pPr>
              <w:jc w:val="center"/>
              <w:rPr>
                <w:sz w:val="20"/>
                <w:szCs w:val="20"/>
              </w:rPr>
            </w:pPr>
            <w:r w:rsidRPr="003E394B">
              <w:rPr>
                <w:sz w:val="20"/>
                <w:szCs w:val="20"/>
              </w:rPr>
              <w:t>20</w:t>
            </w:r>
          </w:p>
        </w:tc>
        <w:tc>
          <w:tcPr>
            <w:tcW w:w="1581" w:type="dxa"/>
          </w:tcPr>
          <w:p w:rsidR="003F2B0C" w:rsidRPr="003E394B" w:rsidRDefault="003F2B0C" w:rsidP="0084338D">
            <w:pPr>
              <w:jc w:val="center"/>
              <w:rPr>
                <w:sz w:val="20"/>
                <w:szCs w:val="20"/>
              </w:rPr>
            </w:pPr>
          </w:p>
        </w:tc>
      </w:tr>
      <w:tr w:rsidR="003F2B0C" w:rsidRPr="003E394B" w:rsidTr="0084338D">
        <w:tc>
          <w:tcPr>
            <w:tcW w:w="1549" w:type="dxa"/>
            <w:vMerge/>
          </w:tcPr>
          <w:p w:rsidR="003F2B0C" w:rsidRPr="003E394B" w:rsidRDefault="003F2B0C" w:rsidP="0084338D">
            <w:pPr>
              <w:rPr>
                <w:sz w:val="20"/>
                <w:szCs w:val="20"/>
              </w:rPr>
            </w:pPr>
          </w:p>
        </w:tc>
        <w:tc>
          <w:tcPr>
            <w:tcW w:w="2954" w:type="dxa"/>
          </w:tcPr>
          <w:p w:rsidR="003F2B0C" w:rsidRPr="003E394B" w:rsidRDefault="003F2B0C" w:rsidP="0084338D">
            <w:pPr>
              <w:spacing w:after="0" w:line="240" w:lineRule="auto"/>
              <w:jc w:val="left"/>
              <w:rPr>
                <w:rFonts w:cs="Calibri"/>
                <w:color w:val="000000" w:themeColor="text1"/>
                <w:sz w:val="20"/>
                <w:szCs w:val="20"/>
              </w:rPr>
            </w:pPr>
            <w:r w:rsidRPr="003E394B">
              <w:rPr>
                <w:rFonts w:cs="Calibri"/>
                <w:color w:val="000000" w:themeColor="text1"/>
                <w:sz w:val="20"/>
                <w:szCs w:val="20"/>
              </w:rPr>
              <w:t>Akademia Wychowania Fizycznego we Wrocławiu</w:t>
            </w:r>
          </w:p>
        </w:tc>
        <w:tc>
          <w:tcPr>
            <w:tcW w:w="1497" w:type="dxa"/>
            <w:vAlign w:val="center"/>
          </w:tcPr>
          <w:p w:rsidR="003F2B0C" w:rsidRPr="003E394B" w:rsidRDefault="003F2B0C" w:rsidP="0084338D">
            <w:pPr>
              <w:jc w:val="center"/>
              <w:rPr>
                <w:sz w:val="20"/>
                <w:szCs w:val="20"/>
              </w:rPr>
            </w:pPr>
            <w:r w:rsidRPr="003E394B">
              <w:rPr>
                <w:sz w:val="20"/>
                <w:szCs w:val="20"/>
              </w:rPr>
              <w:t>61-72</w:t>
            </w:r>
          </w:p>
        </w:tc>
        <w:tc>
          <w:tcPr>
            <w:tcW w:w="1481" w:type="dxa"/>
          </w:tcPr>
          <w:p w:rsidR="003F2B0C" w:rsidRPr="003E394B" w:rsidRDefault="003F2B0C" w:rsidP="0084338D">
            <w:pPr>
              <w:jc w:val="center"/>
              <w:rPr>
                <w:sz w:val="20"/>
                <w:szCs w:val="20"/>
              </w:rPr>
            </w:pPr>
          </w:p>
        </w:tc>
        <w:tc>
          <w:tcPr>
            <w:tcW w:w="1581" w:type="dxa"/>
          </w:tcPr>
          <w:p w:rsidR="003F2B0C" w:rsidRPr="003E394B" w:rsidRDefault="003F2B0C" w:rsidP="0084338D">
            <w:pPr>
              <w:jc w:val="center"/>
              <w:rPr>
                <w:sz w:val="20"/>
                <w:szCs w:val="20"/>
              </w:rPr>
            </w:pPr>
          </w:p>
        </w:tc>
      </w:tr>
      <w:tr w:rsidR="003F2B0C" w:rsidRPr="003E394B" w:rsidTr="0084338D">
        <w:tc>
          <w:tcPr>
            <w:tcW w:w="1549" w:type="dxa"/>
            <w:vMerge/>
          </w:tcPr>
          <w:p w:rsidR="003F2B0C" w:rsidRPr="003E394B" w:rsidRDefault="003F2B0C" w:rsidP="0084338D">
            <w:pPr>
              <w:rPr>
                <w:sz w:val="20"/>
                <w:szCs w:val="20"/>
              </w:rPr>
            </w:pPr>
          </w:p>
        </w:tc>
        <w:tc>
          <w:tcPr>
            <w:tcW w:w="2954" w:type="dxa"/>
          </w:tcPr>
          <w:p w:rsidR="003F2B0C" w:rsidRPr="003E394B" w:rsidRDefault="003F2B0C" w:rsidP="0084338D">
            <w:pPr>
              <w:spacing w:after="0" w:line="240" w:lineRule="auto"/>
              <w:jc w:val="left"/>
              <w:rPr>
                <w:rFonts w:cs="Calibri"/>
                <w:color w:val="000000" w:themeColor="text1"/>
                <w:sz w:val="20"/>
                <w:szCs w:val="20"/>
              </w:rPr>
            </w:pPr>
            <w:r w:rsidRPr="003E394B">
              <w:rPr>
                <w:rFonts w:cs="Calibri"/>
                <w:color w:val="000000" w:themeColor="text1"/>
                <w:sz w:val="20"/>
                <w:szCs w:val="20"/>
              </w:rPr>
              <w:t>Uniwersytet Dolnośląski DSW we Wrocławiu</w:t>
            </w:r>
          </w:p>
        </w:tc>
        <w:tc>
          <w:tcPr>
            <w:tcW w:w="1497" w:type="dxa"/>
            <w:vAlign w:val="center"/>
          </w:tcPr>
          <w:p w:rsidR="003F2B0C" w:rsidRPr="003E394B" w:rsidRDefault="003F2B0C" w:rsidP="0084338D">
            <w:pPr>
              <w:jc w:val="center"/>
              <w:rPr>
                <w:sz w:val="20"/>
                <w:szCs w:val="20"/>
              </w:rPr>
            </w:pPr>
            <w:r w:rsidRPr="003E394B">
              <w:rPr>
                <w:sz w:val="20"/>
                <w:szCs w:val="20"/>
              </w:rPr>
              <w:t>81-90</w:t>
            </w:r>
          </w:p>
        </w:tc>
        <w:tc>
          <w:tcPr>
            <w:tcW w:w="1481" w:type="dxa"/>
          </w:tcPr>
          <w:p w:rsidR="003F2B0C" w:rsidRPr="003E394B" w:rsidRDefault="003F2B0C" w:rsidP="0084338D">
            <w:pPr>
              <w:jc w:val="center"/>
              <w:rPr>
                <w:sz w:val="20"/>
                <w:szCs w:val="20"/>
              </w:rPr>
            </w:pPr>
          </w:p>
        </w:tc>
        <w:tc>
          <w:tcPr>
            <w:tcW w:w="1581" w:type="dxa"/>
          </w:tcPr>
          <w:p w:rsidR="003F2B0C" w:rsidRPr="003E394B" w:rsidRDefault="003F2B0C" w:rsidP="0084338D">
            <w:pPr>
              <w:jc w:val="center"/>
              <w:rPr>
                <w:sz w:val="20"/>
                <w:szCs w:val="20"/>
              </w:rPr>
            </w:pPr>
          </w:p>
        </w:tc>
      </w:tr>
      <w:tr w:rsidR="003F2B0C" w:rsidRPr="003E394B" w:rsidTr="0084338D">
        <w:tc>
          <w:tcPr>
            <w:tcW w:w="1549" w:type="dxa"/>
            <w:vMerge/>
          </w:tcPr>
          <w:p w:rsidR="003F2B0C" w:rsidRPr="003E394B" w:rsidRDefault="003F2B0C" w:rsidP="0084338D">
            <w:pPr>
              <w:rPr>
                <w:sz w:val="20"/>
                <w:szCs w:val="20"/>
              </w:rPr>
            </w:pPr>
          </w:p>
        </w:tc>
        <w:tc>
          <w:tcPr>
            <w:tcW w:w="2954" w:type="dxa"/>
          </w:tcPr>
          <w:p w:rsidR="003F2B0C" w:rsidRPr="003E394B" w:rsidRDefault="00646D05" w:rsidP="0084338D">
            <w:pPr>
              <w:spacing w:after="0" w:line="240" w:lineRule="auto"/>
              <w:jc w:val="left"/>
              <w:rPr>
                <w:rFonts w:cs="Calibri"/>
                <w:color w:val="000000" w:themeColor="text1"/>
                <w:sz w:val="20"/>
                <w:szCs w:val="20"/>
              </w:rPr>
            </w:pPr>
            <w:hyperlink r:id="rId41" w:tgtFrame="_blank" w:history="1">
              <w:r w:rsidR="003F2B0C" w:rsidRPr="003E394B">
                <w:rPr>
                  <w:rFonts w:cs="Calibri"/>
                  <w:color w:val="000000" w:themeColor="text1"/>
                  <w:sz w:val="20"/>
                  <w:szCs w:val="20"/>
                </w:rPr>
                <w:t>Międzynarodowa Wyższa Szkoła Logistyki i Transportu we Wrocławiu</w:t>
              </w:r>
            </w:hyperlink>
          </w:p>
        </w:tc>
        <w:tc>
          <w:tcPr>
            <w:tcW w:w="1497" w:type="dxa"/>
            <w:vAlign w:val="center"/>
          </w:tcPr>
          <w:p w:rsidR="003F2B0C" w:rsidRPr="003E394B" w:rsidRDefault="003F2B0C" w:rsidP="0084338D">
            <w:pPr>
              <w:jc w:val="center"/>
              <w:rPr>
                <w:sz w:val="20"/>
                <w:szCs w:val="20"/>
              </w:rPr>
            </w:pPr>
            <w:r w:rsidRPr="003E394B">
              <w:rPr>
                <w:sz w:val="20"/>
                <w:szCs w:val="20"/>
              </w:rPr>
              <w:t>90+</w:t>
            </w:r>
          </w:p>
        </w:tc>
        <w:tc>
          <w:tcPr>
            <w:tcW w:w="1481" w:type="dxa"/>
          </w:tcPr>
          <w:p w:rsidR="003F2B0C" w:rsidRPr="003E394B" w:rsidRDefault="003F2B0C" w:rsidP="0084338D">
            <w:pPr>
              <w:jc w:val="center"/>
              <w:rPr>
                <w:sz w:val="20"/>
                <w:szCs w:val="20"/>
              </w:rPr>
            </w:pPr>
          </w:p>
        </w:tc>
        <w:tc>
          <w:tcPr>
            <w:tcW w:w="1581" w:type="dxa"/>
          </w:tcPr>
          <w:p w:rsidR="003F2B0C" w:rsidRPr="003E394B" w:rsidRDefault="003F2B0C" w:rsidP="0084338D">
            <w:pPr>
              <w:jc w:val="center"/>
              <w:rPr>
                <w:sz w:val="20"/>
                <w:szCs w:val="20"/>
              </w:rPr>
            </w:pPr>
          </w:p>
        </w:tc>
      </w:tr>
      <w:tr w:rsidR="003F2B0C" w:rsidRPr="003E394B" w:rsidTr="0084338D">
        <w:tc>
          <w:tcPr>
            <w:tcW w:w="1549" w:type="dxa"/>
            <w:vMerge/>
          </w:tcPr>
          <w:p w:rsidR="003F2B0C" w:rsidRPr="003E394B" w:rsidRDefault="003F2B0C" w:rsidP="0084338D">
            <w:pPr>
              <w:rPr>
                <w:sz w:val="20"/>
                <w:szCs w:val="20"/>
              </w:rPr>
            </w:pPr>
          </w:p>
        </w:tc>
        <w:tc>
          <w:tcPr>
            <w:tcW w:w="2954" w:type="dxa"/>
          </w:tcPr>
          <w:p w:rsidR="003F2B0C" w:rsidRPr="003E394B" w:rsidRDefault="003F2B0C" w:rsidP="0084338D">
            <w:pPr>
              <w:spacing w:after="0" w:line="240" w:lineRule="auto"/>
              <w:jc w:val="left"/>
              <w:rPr>
                <w:rFonts w:cs="Calibri"/>
                <w:color w:val="000000" w:themeColor="text1"/>
                <w:sz w:val="20"/>
                <w:szCs w:val="20"/>
              </w:rPr>
            </w:pPr>
            <w:r w:rsidRPr="003E394B">
              <w:rPr>
                <w:rFonts w:cs="Calibri"/>
                <w:color w:val="000000" w:themeColor="text1"/>
                <w:sz w:val="20"/>
                <w:szCs w:val="20"/>
              </w:rPr>
              <w:t xml:space="preserve">Uniwersytet WSB </w:t>
            </w:r>
            <w:proofErr w:type="spellStart"/>
            <w:r w:rsidRPr="003E394B">
              <w:rPr>
                <w:rFonts w:cs="Calibri"/>
                <w:color w:val="000000" w:themeColor="text1"/>
                <w:sz w:val="20"/>
                <w:szCs w:val="20"/>
              </w:rPr>
              <w:t>Merito</w:t>
            </w:r>
            <w:proofErr w:type="spellEnd"/>
            <w:r w:rsidRPr="003E394B">
              <w:rPr>
                <w:rFonts w:cs="Calibri"/>
                <w:color w:val="000000" w:themeColor="text1"/>
                <w:sz w:val="20"/>
                <w:szCs w:val="20"/>
              </w:rPr>
              <w:t xml:space="preserve"> we Wrocławiu</w:t>
            </w:r>
          </w:p>
        </w:tc>
        <w:tc>
          <w:tcPr>
            <w:tcW w:w="1497" w:type="dxa"/>
            <w:vAlign w:val="center"/>
          </w:tcPr>
          <w:p w:rsidR="003F2B0C" w:rsidRPr="003E394B" w:rsidRDefault="003F2B0C" w:rsidP="0084338D">
            <w:pPr>
              <w:jc w:val="center"/>
              <w:rPr>
                <w:sz w:val="20"/>
                <w:szCs w:val="20"/>
              </w:rPr>
            </w:pPr>
            <w:r w:rsidRPr="003E394B">
              <w:rPr>
                <w:sz w:val="20"/>
                <w:szCs w:val="20"/>
              </w:rPr>
              <w:t>90+</w:t>
            </w:r>
          </w:p>
        </w:tc>
        <w:tc>
          <w:tcPr>
            <w:tcW w:w="1481" w:type="dxa"/>
          </w:tcPr>
          <w:p w:rsidR="003F2B0C" w:rsidRPr="003E394B" w:rsidRDefault="003F2B0C" w:rsidP="0084338D">
            <w:pPr>
              <w:jc w:val="center"/>
              <w:rPr>
                <w:sz w:val="20"/>
                <w:szCs w:val="20"/>
              </w:rPr>
            </w:pPr>
            <w:r w:rsidRPr="003E394B">
              <w:rPr>
                <w:sz w:val="20"/>
                <w:szCs w:val="20"/>
              </w:rPr>
              <w:t>34</w:t>
            </w:r>
          </w:p>
        </w:tc>
        <w:tc>
          <w:tcPr>
            <w:tcW w:w="1581" w:type="dxa"/>
          </w:tcPr>
          <w:p w:rsidR="003F2B0C" w:rsidRPr="003E394B" w:rsidRDefault="003F2B0C" w:rsidP="0084338D">
            <w:pPr>
              <w:jc w:val="center"/>
              <w:rPr>
                <w:sz w:val="20"/>
                <w:szCs w:val="20"/>
              </w:rPr>
            </w:pPr>
          </w:p>
        </w:tc>
      </w:tr>
      <w:tr w:rsidR="003F2B0C" w:rsidRPr="003E394B" w:rsidTr="0084338D">
        <w:tc>
          <w:tcPr>
            <w:tcW w:w="1549" w:type="dxa"/>
            <w:vMerge w:val="restart"/>
          </w:tcPr>
          <w:p w:rsidR="003F2B0C" w:rsidRPr="003E394B" w:rsidRDefault="003F2B0C" w:rsidP="0084338D">
            <w:pPr>
              <w:rPr>
                <w:sz w:val="20"/>
                <w:szCs w:val="20"/>
              </w:rPr>
            </w:pPr>
            <w:r w:rsidRPr="003E394B">
              <w:rPr>
                <w:sz w:val="20"/>
                <w:szCs w:val="20"/>
              </w:rPr>
              <w:t>Metropolia Krakowska</w:t>
            </w:r>
          </w:p>
        </w:tc>
        <w:tc>
          <w:tcPr>
            <w:tcW w:w="2954" w:type="dxa"/>
          </w:tcPr>
          <w:p w:rsidR="003F2B0C" w:rsidRPr="003E394B" w:rsidRDefault="003F2B0C" w:rsidP="0084338D">
            <w:pPr>
              <w:spacing w:after="0" w:line="240" w:lineRule="auto"/>
              <w:jc w:val="left"/>
              <w:rPr>
                <w:rFonts w:cs="Calibri"/>
                <w:color w:val="000000" w:themeColor="text1"/>
                <w:sz w:val="20"/>
                <w:szCs w:val="20"/>
                <w:lang w:val="en-GB"/>
              </w:rPr>
            </w:pPr>
            <w:proofErr w:type="spellStart"/>
            <w:r w:rsidRPr="003E394B">
              <w:rPr>
                <w:rFonts w:cs="Calibri"/>
                <w:color w:val="000000" w:themeColor="text1"/>
                <w:sz w:val="20"/>
                <w:szCs w:val="20"/>
                <w:lang w:val="en-GB"/>
              </w:rPr>
              <w:t>UniwersytetJagielloński</w:t>
            </w:r>
            <w:proofErr w:type="spellEnd"/>
            <w:r w:rsidRPr="003E394B">
              <w:rPr>
                <w:rFonts w:cs="Calibri"/>
                <w:color w:val="000000" w:themeColor="text1"/>
                <w:sz w:val="20"/>
                <w:szCs w:val="20"/>
                <w:lang w:val="en-GB"/>
              </w:rPr>
              <w:t xml:space="preserve"> w </w:t>
            </w:r>
            <w:proofErr w:type="spellStart"/>
            <w:r w:rsidRPr="003E394B">
              <w:rPr>
                <w:rFonts w:cs="Calibri"/>
                <w:color w:val="000000" w:themeColor="text1"/>
                <w:sz w:val="20"/>
                <w:szCs w:val="20"/>
                <w:lang w:val="en-GB"/>
              </w:rPr>
              <w:t>Krakowie</w:t>
            </w:r>
            <w:proofErr w:type="spellEnd"/>
          </w:p>
        </w:tc>
        <w:tc>
          <w:tcPr>
            <w:tcW w:w="1497" w:type="dxa"/>
            <w:vAlign w:val="center"/>
          </w:tcPr>
          <w:p w:rsidR="003F2B0C" w:rsidRPr="003E394B" w:rsidRDefault="003F2B0C" w:rsidP="0084338D">
            <w:pPr>
              <w:jc w:val="center"/>
              <w:rPr>
                <w:sz w:val="20"/>
                <w:szCs w:val="20"/>
              </w:rPr>
            </w:pPr>
            <w:r w:rsidRPr="003E394B">
              <w:rPr>
                <w:sz w:val="20"/>
                <w:szCs w:val="20"/>
              </w:rPr>
              <w:t>2</w:t>
            </w:r>
          </w:p>
        </w:tc>
        <w:tc>
          <w:tcPr>
            <w:tcW w:w="1481" w:type="dxa"/>
          </w:tcPr>
          <w:p w:rsidR="003F2B0C" w:rsidRPr="003E394B" w:rsidRDefault="003F2B0C" w:rsidP="0084338D">
            <w:pPr>
              <w:jc w:val="center"/>
              <w:rPr>
                <w:sz w:val="20"/>
                <w:szCs w:val="20"/>
              </w:rPr>
            </w:pPr>
            <w:r w:rsidRPr="003E394B">
              <w:rPr>
                <w:sz w:val="20"/>
                <w:szCs w:val="20"/>
              </w:rPr>
              <w:t>31</w:t>
            </w:r>
          </w:p>
        </w:tc>
        <w:tc>
          <w:tcPr>
            <w:tcW w:w="1581" w:type="dxa"/>
          </w:tcPr>
          <w:p w:rsidR="003F2B0C" w:rsidRPr="003E394B" w:rsidRDefault="003F2B0C" w:rsidP="0084338D">
            <w:pPr>
              <w:jc w:val="center"/>
              <w:rPr>
                <w:sz w:val="20"/>
                <w:szCs w:val="20"/>
              </w:rPr>
            </w:pPr>
            <w:r w:rsidRPr="003E394B">
              <w:rPr>
                <w:sz w:val="20"/>
                <w:szCs w:val="20"/>
              </w:rPr>
              <w:t>4</w:t>
            </w:r>
          </w:p>
        </w:tc>
      </w:tr>
      <w:tr w:rsidR="003F2B0C" w:rsidRPr="003E394B" w:rsidTr="0084338D">
        <w:tc>
          <w:tcPr>
            <w:tcW w:w="1549" w:type="dxa"/>
            <w:vMerge/>
          </w:tcPr>
          <w:p w:rsidR="003F2B0C" w:rsidRPr="003E394B" w:rsidRDefault="003F2B0C" w:rsidP="0084338D">
            <w:pPr>
              <w:rPr>
                <w:sz w:val="20"/>
                <w:szCs w:val="20"/>
              </w:rPr>
            </w:pPr>
          </w:p>
        </w:tc>
        <w:tc>
          <w:tcPr>
            <w:tcW w:w="2954" w:type="dxa"/>
          </w:tcPr>
          <w:p w:rsidR="003F2B0C" w:rsidRPr="003E394B" w:rsidRDefault="003F2B0C" w:rsidP="0084338D">
            <w:pPr>
              <w:spacing w:after="0" w:line="240" w:lineRule="auto"/>
              <w:jc w:val="left"/>
              <w:rPr>
                <w:rFonts w:cs="Calibri"/>
                <w:color w:val="000000" w:themeColor="text1"/>
                <w:sz w:val="20"/>
                <w:szCs w:val="20"/>
              </w:rPr>
            </w:pPr>
            <w:r w:rsidRPr="003E394B">
              <w:rPr>
                <w:rFonts w:cs="Calibri"/>
                <w:color w:val="000000" w:themeColor="text1"/>
                <w:sz w:val="20"/>
                <w:szCs w:val="20"/>
              </w:rPr>
              <w:t>Akademia Górniczo-Hutnicza im. Stanisława Staszica w Krakowie</w:t>
            </w:r>
          </w:p>
        </w:tc>
        <w:tc>
          <w:tcPr>
            <w:tcW w:w="1497" w:type="dxa"/>
            <w:vAlign w:val="center"/>
          </w:tcPr>
          <w:p w:rsidR="003F2B0C" w:rsidRPr="003E394B" w:rsidRDefault="003F2B0C" w:rsidP="0084338D">
            <w:pPr>
              <w:jc w:val="center"/>
              <w:rPr>
                <w:sz w:val="20"/>
                <w:szCs w:val="20"/>
              </w:rPr>
            </w:pPr>
            <w:r w:rsidRPr="003E394B">
              <w:rPr>
                <w:sz w:val="20"/>
                <w:szCs w:val="20"/>
              </w:rPr>
              <w:t>4</w:t>
            </w:r>
          </w:p>
        </w:tc>
        <w:tc>
          <w:tcPr>
            <w:tcW w:w="1481" w:type="dxa"/>
          </w:tcPr>
          <w:p w:rsidR="003F2B0C" w:rsidRPr="003E394B" w:rsidRDefault="003F2B0C" w:rsidP="0084338D">
            <w:pPr>
              <w:jc w:val="center"/>
              <w:rPr>
                <w:sz w:val="20"/>
                <w:szCs w:val="20"/>
              </w:rPr>
            </w:pPr>
            <w:r w:rsidRPr="003E394B">
              <w:rPr>
                <w:sz w:val="20"/>
                <w:szCs w:val="20"/>
              </w:rPr>
              <w:t>6</w:t>
            </w:r>
          </w:p>
        </w:tc>
        <w:tc>
          <w:tcPr>
            <w:tcW w:w="1581" w:type="dxa"/>
          </w:tcPr>
          <w:p w:rsidR="003F2B0C" w:rsidRPr="003E394B" w:rsidRDefault="003F2B0C" w:rsidP="0084338D">
            <w:pPr>
              <w:jc w:val="center"/>
              <w:rPr>
                <w:sz w:val="20"/>
                <w:szCs w:val="20"/>
              </w:rPr>
            </w:pPr>
            <w:r w:rsidRPr="003E394B">
              <w:rPr>
                <w:sz w:val="20"/>
                <w:szCs w:val="20"/>
              </w:rPr>
              <w:t>8</w:t>
            </w:r>
          </w:p>
        </w:tc>
      </w:tr>
      <w:tr w:rsidR="003F2B0C" w:rsidRPr="003E394B" w:rsidTr="0084338D">
        <w:tc>
          <w:tcPr>
            <w:tcW w:w="1549" w:type="dxa"/>
            <w:vMerge/>
          </w:tcPr>
          <w:p w:rsidR="003F2B0C" w:rsidRPr="003E394B" w:rsidRDefault="003F2B0C" w:rsidP="0084338D">
            <w:pPr>
              <w:rPr>
                <w:sz w:val="20"/>
                <w:szCs w:val="20"/>
              </w:rPr>
            </w:pPr>
          </w:p>
        </w:tc>
        <w:tc>
          <w:tcPr>
            <w:tcW w:w="2954" w:type="dxa"/>
          </w:tcPr>
          <w:p w:rsidR="003F2B0C" w:rsidRPr="003E394B" w:rsidRDefault="003F2B0C" w:rsidP="0084338D">
            <w:pPr>
              <w:spacing w:after="0" w:line="240" w:lineRule="auto"/>
              <w:jc w:val="left"/>
              <w:rPr>
                <w:rFonts w:cs="Calibri"/>
                <w:color w:val="000000" w:themeColor="text1"/>
                <w:sz w:val="20"/>
                <w:szCs w:val="20"/>
                <w:lang w:val="en-GB"/>
              </w:rPr>
            </w:pPr>
            <w:proofErr w:type="spellStart"/>
            <w:r w:rsidRPr="003E394B">
              <w:rPr>
                <w:rFonts w:cs="Calibri"/>
                <w:color w:val="000000" w:themeColor="text1"/>
                <w:sz w:val="20"/>
                <w:szCs w:val="20"/>
                <w:lang w:val="en-GB"/>
              </w:rPr>
              <w:t>UniwersytetEkonomiczny</w:t>
            </w:r>
            <w:proofErr w:type="spellEnd"/>
            <w:r w:rsidRPr="003E394B">
              <w:rPr>
                <w:rFonts w:cs="Calibri"/>
                <w:color w:val="000000" w:themeColor="text1"/>
                <w:sz w:val="20"/>
                <w:szCs w:val="20"/>
                <w:lang w:val="en-GB"/>
              </w:rPr>
              <w:t xml:space="preserve"> w </w:t>
            </w:r>
            <w:proofErr w:type="spellStart"/>
            <w:r w:rsidRPr="003E394B">
              <w:rPr>
                <w:rFonts w:cs="Calibri"/>
                <w:color w:val="000000" w:themeColor="text1"/>
                <w:sz w:val="20"/>
                <w:szCs w:val="20"/>
                <w:lang w:val="en-GB"/>
              </w:rPr>
              <w:t>Krakowie</w:t>
            </w:r>
            <w:proofErr w:type="spellEnd"/>
          </w:p>
        </w:tc>
        <w:tc>
          <w:tcPr>
            <w:tcW w:w="1497" w:type="dxa"/>
            <w:vAlign w:val="center"/>
          </w:tcPr>
          <w:p w:rsidR="003F2B0C" w:rsidRPr="003E394B" w:rsidRDefault="003F2B0C" w:rsidP="0084338D">
            <w:pPr>
              <w:jc w:val="center"/>
              <w:rPr>
                <w:sz w:val="20"/>
                <w:szCs w:val="20"/>
              </w:rPr>
            </w:pPr>
            <w:r w:rsidRPr="003E394B">
              <w:rPr>
                <w:sz w:val="20"/>
                <w:szCs w:val="20"/>
              </w:rPr>
              <w:t>46</w:t>
            </w:r>
          </w:p>
        </w:tc>
        <w:tc>
          <w:tcPr>
            <w:tcW w:w="1481" w:type="dxa"/>
          </w:tcPr>
          <w:p w:rsidR="003F2B0C" w:rsidRPr="003E394B" w:rsidRDefault="003F2B0C" w:rsidP="0084338D">
            <w:pPr>
              <w:jc w:val="center"/>
              <w:rPr>
                <w:sz w:val="20"/>
                <w:szCs w:val="20"/>
              </w:rPr>
            </w:pPr>
            <w:r w:rsidRPr="003E394B">
              <w:rPr>
                <w:sz w:val="20"/>
                <w:szCs w:val="20"/>
              </w:rPr>
              <w:t>24</w:t>
            </w:r>
          </w:p>
        </w:tc>
        <w:tc>
          <w:tcPr>
            <w:tcW w:w="1581" w:type="dxa"/>
          </w:tcPr>
          <w:p w:rsidR="003F2B0C" w:rsidRPr="003E394B" w:rsidRDefault="003F2B0C" w:rsidP="0084338D">
            <w:pPr>
              <w:jc w:val="center"/>
              <w:rPr>
                <w:sz w:val="20"/>
                <w:szCs w:val="20"/>
              </w:rPr>
            </w:pPr>
          </w:p>
        </w:tc>
      </w:tr>
      <w:tr w:rsidR="003F2B0C" w:rsidRPr="003E394B" w:rsidTr="0084338D">
        <w:tc>
          <w:tcPr>
            <w:tcW w:w="1549" w:type="dxa"/>
            <w:vMerge/>
          </w:tcPr>
          <w:p w:rsidR="003F2B0C" w:rsidRPr="003E394B" w:rsidRDefault="003F2B0C" w:rsidP="0084338D">
            <w:pPr>
              <w:rPr>
                <w:sz w:val="20"/>
                <w:szCs w:val="20"/>
              </w:rPr>
            </w:pPr>
          </w:p>
        </w:tc>
        <w:tc>
          <w:tcPr>
            <w:tcW w:w="2954" w:type="dxa"/>
          </w:tcPr>
          <w:p w:rsidR="003F2B0C" w:rsidRPr="003E394B" w:rsidRDefault="00646D05" w:rsidP="0084338D">
            <w:pPr>
              <w:spacing w:after="0" w:line="240" w:lineRule="auto"/>
              <w:jc w:val="left"/>
              <w:rPr>
                <w:rFonts w:cs="Calibri"/>
                <w:color w:val="000000" w:themeColor="text1"/>
                <w:sz w:val="20"/>
                <w:szCs w:val="20"/>
              </w:rPr>
            </w:pPr>
            <w:hyperlink r:id="rId42" w:tgtFrame="_blank" w:history="1">
              <w:r w:rsidR="003F2B0C" w:rsidRPr="003E394B">
                <w:rPr>
                  <w:rFonts w:cs="Calibri"/>
                  <w:color w:val="000000" w:themeColor="text1"/>
                  <w:sz w:val="20"/>
                  <w:szCs w:val="20"/>
                </w:rPr>
                <w:t>Uniwersytet Rolniczy im. Hugona Kołłątaja w Krakowie</w:t>
              </w:r>
            </w:hyperlink>
          </w:p>
        </w:tc>
        <w:tc>
          <w:tcPr>
            <w:tcW w:w="1497" w:type="dxa"/>
            <w:vAlign w:val="center"/>
          </w:tcPr>
          <w:p w:rsidR="003F2B0C" w:rsidRPr="003E394B" w:rsidRDefault="003F2B0C" w:rsidP="0084338D">
            <w:pPr>
              <w:jc w:val="center"/>
              <w:rPr>
                <w:sz w:val="20"/>
                <w:szCs w:val="20"/>
              </w:rPr>
            </w:pPr>
            <w:r w:rsidRPr="003E394B">
              <w:rPr>
                <w:sz w:val="20"/>
                <w:szCs w:val="20"/>
              </w:rPr>
              <w:t>55-60</w:t>
            </w:r>
          </w:p>
        </w:tc>
        <w:tc>
          <w:tcPr>
            <w:tcW w:w="1481" w:type="dxa"/>
          </w:tcPr>
          <w:p w:rsidR="003F2B0C" w:rsidRPr="003E394B" w:rsidRDefault="003F2B0C" w:rsidP="0084338D">
            <w:pPr>
              <w:jc w:val="center"/>
              <w:rPr>
                <w:sz w:val="20"/>
                <w:szCs w:val="20"/>
              </w:rPr>
            </w:pPr>
          </w:p>
        </w:tc>
        <w:tc>
          <w:tcPr>
            <w:tcW w:w="1581" w:type="dxa"/>
          </w:tcPr>
          <w:p w:rsidR="003F2B0C" w:rsidRPr="003E394B" w:rsidRDefault="003F2B0C" w:rsidP="0084338D">
            <w:pPr>
              <w:jc w:val="center"/>
              <w:rPr>
                <w:sz w:val="20"/>
                <w:szCs w:val="20"/>
              </w:rPr>
            </w:pPr>
          </w:p>
        </w:tc>
      </w:tr>
      <w:tr w:rsidR="003F2B0C" w:rsidRPr="003E394B" w:rsidTr="0084338D">
        <w:tc>
          <w:tcPr>
            <w:tcW w:w="1549" w:type="dxa"/>
            <w:vMerge/>
          </w:tcPr>
          <w:p w:rsidR="003F2B0C" w:rsidRPr="003E394B" w:rsidRDefault="003F2B0C" w:rsidP="0084338D">
            <w:pPr>
              <w:rPr>
                <w:sz w:val="20"/>
                <w:szCs w:val="20"/>
              </w:rPr>
            </w:pPr>
          </w:p>
        </w:tc>
        <w:tc>
          <w:tcPr>
            <w:tcW w:w="2954" w:type="dxa"/>
          </w:tcPr>
          <w:p w:rsidR="003F2B0C" w:rsidRPr="003E394B" w:rsidRDefault="003F2B0C" w:rsidP="0084338D">
            <w:pPr>
              <w:spacing w:after="0" w:line="240" w:lineRule="auto"/>
              <w:jc w:val="left"/>
              <w:rPr>
                <w:rFonts w:cs="Calibri"/>
                <w:color w:val="000000" w:themeColor="text1"/>
                <w:sz w:val="20"/>
                <w:szCs w:val="20"/>
              </w:rPr>
            </w:pPr>
            <w:r w:rsidRPr="003E394B">
              <w:rPr>
                <w:rFonts w:cs="Calibri"/>
                <w:color w:val="000000" w:themeColor="text1"/>
                <w:sz w:val="20"/>
                <w:szCs w:val="20"/>
              </w:rPr>
              <w:t>Akademia Wychowania Fizycznego im. Bronisława Czecha w Krakowie</w:t>
            </w:r>
          </w:p>
        </w:tc>
        <w:tc>
          <w:tcPr>
            <w:tcW w:w="1497" w:type="dxa"/>
            <w:vAlign w:val="center"/>
          </w:tcPr>
          <w:p w:rsidR="003F2B0C" w:rsidRPr="003E394B" w:rsidRDefault="003F2B0C" w:rsidP="0084338D">
            <w:pPr>
              <w:jc w:val="center"/>
              <w:rPr>
                <w:sz w:val="20"/>
                <w:szCs w:val="20"/>
              </w:rPr>
            </w:pPr>
            <w:r w:rsidRPr="003E394B">
              <w:rPr>
                <w:sz w:val="20"/>
                <w:szCs w:val="20"/>
              </w:rPr>
              <w:t>61-72</w:t>
            </w:r>
          </w:p>
        </w:tc>
        <w:tc>
          <w:tcPr>
            <w:tcW w:w="1481" w:type="dxa"/>
          </w:tcPr>
          <w:p w:rsidR="003F2B0C" w:rsidRPr="003E394B" w:rsidRDefault="003F2B0C" w:rsidP="0084338D">
            <w:pPr>
              <w:jc w:val="center"/>
              <w:rPr>
                <w:sz w:val="20"/>
                <w:szCs w:val="20"/>
              </w:rPr>
            </w:pPr>
          </w:p>
        </w:tc>
        <w:tc>
          <w:tcPr>
            <w:tcW w:w="1581" w:type="dxa"/>
          </w:tcPr>
          <w:p w:rsidR="003F2B0C" w:rsidRPr="003E394B" w:rsidRDefault="003F2B0C" w:rsidP="0084338D">
            <w:pPr>
              <w:jc w:val="center"/>
              <w:rPr>
                <w:sz w:val="20"/>
                <w:szCs w:val="20"/>
              </w:rPr>
            </w:pPr>
          </w:p>
        </w:tc>
      </w:tr>
      <w:tr w:rsidR="003F2B0C" w:rsidRPr="003E394B" w:rsidTr="0084338D">
        <w:tc>
          <w:tcPr>
            <w:tcW w:w="1549" w:type="dxa"/>
            <w:vMerge/>
          </w:tcPr>
          <w:p w:rsidR="003F2B0C" w:rsidRPr="003E394B" w:rsidRDefault="003F2B0C" w:rsidP="0084338D">
            <w:pPr>
              <w:rPr>
                <w:sz w:val="20"/>
                <w:szCs w:val="20"/>
              </w:rPr>
            </w:pPr>
          </w:p>
        </w:tc>
        <w:tc>
          <w:tcPr>
            <w:tcW w:w="2954" w:type="dxa"/>
          </w:tcPr>
          <w:p w:rsidR="003F2B0C" w:rsidRPr="003E394B" w:rsidRDefault="003F2B0C" w:rsidP="0084338D">
            <w:pPr>
              <w:spacing w:after="0" w:line="240" w:lineRule="auto"/>
              <w:jc w:val="left"/>
              <w:rPr>
                <w:rFonts w:cs="Calibri"/>
                <w:color w:val="000000" w:themeColor="text1"/>
                <w:sz w:val="20"/>
                <w:szCs w:val="20"/>
              </w:rPr>
            </w:pPr>
            <w:r w:rsidRPr="003E394B">
              <w:rPr>
                <w:rFonts w:cs="Calibri"/>
                <w:color w:val="000000" w:themeColor="text1"/>
                <w:sz w:val="20"/>
                <w:szCs w:val="20"/>
              </w:rPr>
              <w:t>Uniwersytet Papieski Jana Pawła II w Krakowie</w:t>
            </w:r>
          </w:p>
        </w:tc>
        <w:tc>
          <w:tcPr>
            <w:tcW w:w="1497" w:type="dxa"/>
            <w:vAlign w:val="center"/>
          </w:tcPr>
          <w:p w:rsidR="003F2B0C" w:rsidRPr="003E394B" w:rsidRDefault="003F2B0C" w:rsidP="0084338D">
            <w:pPr>
              <w:jc w:val="center"/>
              <w:rPr>
                <w:sz w:val="20"/>
                <w:szCs w:val="20"/>
              </w:rPr>
            </w:pPr>
            <w:r w:rsidRPr="003E394B">
              <w:rPr>
                <w:sz w:val="20"/>
                <w:szCs w:val="20"/>
              </w:rPr>
              <w:t>73-80</w:t>
            </w:r>
          </w:p>
        </w:tc>
        <w:tc>
          <w:tcPr>
            <w:tcW w:w="1481" w:type="dxa"/>
          </w:tcPr>
          <w:p w:rsidR="003F2B0C" w:rsidRPr="003E394B" w:rsidRDefault="003F2B0C" w:rsidP="0084338D">
            <w:pPr>
              <w:jc w:val="center"/>
              <w:rPr>
                <w:sz w:val="20"/>
                <w:szCs w:val="20"/>
              </w:rPr>
            </w:pPr>
          </w:p>
        </w:tc>
        <w:tc>
          <w:tcPr>
            <w:tcW w:w="1581" w:type="dxa"/>
          </w:tcPr>
          <w:p w:rsidR="003F2B0C" w:rsidRPr="003E394B" w:rsidRDefault="003F2B0C" w:rsidP="0084338D">
            <w:pPr>
              <w:jc w:val="center"/>
              <w:rPr>
                <w:sz w:val="20"/>
                <w:szCs w:val="20"/>
              </w:rPr>
            </w:pPr>
          </w:p>
        </w:tc>
      </w:tr>
      <w:tr w:rsidR="003F2B0C" w:rsidRPr="003E394B" w:rsidTr="0084338D">
        <w:tc>
          <w:tcPr>
            <w:tcW w:w="1549" w:type="dxa"/>
            <w:vMerge/>
          </w:tcPr>
          <w:p w:rsidR="003F2B0C" w:rsidRPr="003E394B" w:rsidRDefault="003F2B0C" w:rsidP="0084338D">
            <w:pPr>
              <w:rPr>
                <w:sz w:val="20"/>
                <w:szCs w:val="20"/>
              </w:rPr>
            </w:pPr>
          </w:p>
        </w:tc>
        <w:tc>
          <w:tcPr>
            <w:tcW w:w="2954" w:type="dxa"/>
          </w:tcPr>
          <w:p w:rsidR="003F2B0C" w:rsidRPr="003E394B" w:rsidRDefault="003F2B0C" w:rsidP="0084338D">
            <w:pPr>
              <w:spacing w:after="0" w:line="240" w:lineRule="auto"/>
              <w:jc w:val="left"/>
              <w:rPr>
                <w:rFonts w:cs="Calibri"/>
                <w:color w:val="000000" w:themeColor="text1"/>
                <w:sz w:val="20"/>
                <w:szCs w:val="20"/>
              </w:rPr>
            </w:pPr>
            <w:r w:rsidRPr="003E394B">
              <w:rPr>
                <w:rFonts w:cs="Calibri"/>
                <w:color w:val="000000" w:themeColor="text1"/>
                <w:sz w:val="20"/>
                <w:szCs w:val="20"/>
              </w:rPr>
              <w:t>Krakowska Akademia im. Andrzeja Frycza Modrzewskiego w Krakowie</w:t>
            </w:r>
          </w:p>
        </w:tc>
        <w:tc>
          <w:tcPr>
            <w:tcW w:w="1497" w:type="dxa"/>
            <w:vAlign w:val="center"/>
          </w:tcPr>
          <w:p w:rsidR="003F2B0C" w:rsidRPr="003E394B" w:rsidRDefault="003F2B0C" w:rsidP="0084338D">
            <w:pPr>
              <w:jc w:val="center"/>
              <w:rPr>
                <w:sz w:val="20"/>
                <w:szCs w:val="20"/>
              </w:rPr>
            </w:pPr>
            <w:r w:rsidRPr="003E394B">
              <w:rPr>
                <w:sz w:val="20"/>
                <w:szCs w:val="20"/>
              </w:rPr>
              <w:t>81-90</w:t>
            </w:r>
          </w:p>
        </w:tc>
        <w:tc>
          <w:tcPr>
            <w:tcW w:w="1481" w:type="dxa"/>
          </w:tcPr>
          <w:p w:rsidR="003F2B0C" w:rsidRPr="003E394B" w:rsidRDefault="003F2B0C" w:rsidP="0084338D">
            <w:pPr>
              <w:jc w:val="center"/>
              <w:rPr>
                <w:sz w:val="20"/>
                <w:szCs w:val="20"/>
              </w:rPr>
            </w:pPr>
          </w:p>
        </w:tc>
        <w:tc>
          <w:tcPr>
            <w:tcW w:w="1581" w:type="dxa"/>
          </w:tcPr>
          <w:p w:rsidR="003F2B0C" w:rsidRPr="003E394B" w:rsidRDefault="003F2B0C" w:rsidP="0084338D">
            <w:pPr>
              <w:jc w:val="center"/>
              <w:rPr>
                <w:sz w:val="20"/>
                <w:szCs w:val="20"/>
              </w:rPr>
            </w:pPr>
          </w:p>
        </w:tc>
      </w:tr>
      <w:tr w:rsidR="003F2B0C" w:rsidRPr="003E394B" w:rsidTr="0084338D">
        <w:tc>
          <w:tcPr>
            <w:tcW w:w="1549" w:type="dxa"/>
            <w:vMerge/>
          </w:tcPr>
          <w:p w:rsidR="003F2B0C" w:rsidRPr="003E394B" w:rsidRDefault="003F2B0C" w:rsidP="0084338D">
            <w:pPr>
              <w:rPr>
                <w:sz w:val="20"/>
                <w:szCs w:val="20"/>
              </w:rPr>
            </w:pPr>
          </w:p>
        </w:tc>
        <w:tc>
          <w:tcPr>
            <w:tcW w:w="2954" w:type="dxa"/>
          </w:tcPr>
          <w:p w:rsidR="003F2B0C" w:rsidRPr="003E394B" w:rsidRDefault="003F2B0C" w:rsidP="0084338D">
            <w:pPr>
              <w:spacing w:after="0" w:line="240" w:lineRule="auto"/>
              <w:jc w:val="left"/>
              <w:rPr>
                <w:rFonts w:cs="Calibri"/>
                <w:color w:val="000000" w:themeColor="text1"/>
                <w:sz w:val="20"/>
                <w:szCs w:val="20"/>
                <w:lang w:val="en-GB"/>
              </w:rPr>
            </w:pPr>
            <w:proofErr w:type="spellStart"/>
            <w:r w:rsidRPr="003E394B">
              <w:rPr>
                <w:rFonts w:cs="Calibri"/>
                <w:color w:val="000000" w:themeColor="text1"/>
                <w:sz w:val="20"/>
                <w:szCs w:val="20"/>
                <w:lang w:val="en-GB"/>
              </w:rPr>
              <w:t>UniwersytetIgnatianum</w:t>
            </w:r>
            <w:proofErr w:type="spellEnd"/>
            <w:r w:rsidRPr="003E394B">
              <w:rPr>
                <w:rFonts w:cs="Calibri"/>
                <w:color w:val="000000" w:themeColor="text1"/>
                <w:sz w:val="20"/>
                <w:szCs w:val="20"/>
                <w:lang w:val="en-GB"/>
              </w:rPr>
              <w:t xml:space="preserve"> w </w:t>
            </w:r>
            <w:proofErr w:type="spellStart"/>
            <w:r w:rsidRPr="003E394B">
              <w:rPr>
                <w:rFonts w:cs="Calibri"/>
                <w:color w:val="000000" w:themeColor="text1"/>
                <w:sz w:val="20"/>
                <w:szCs w:val="20"/>
                <w:lang w:val="en-GB"/>
              </w:rPr>
              <w:t>Krakowie</w:t>
            </w:r>
            <w:proofErr w:type="spellEnd"/>
          </w:p>
        </w:tc>
        <w:tc>
          <w:tcPr>
            <w:tcW w:w="1497" w:type="dxa"/>
            <w:vAlign w:val="center"/>
          </w:tcPr>
          <w:p w:rsidR="003F2B0C" w:rsidRPr="003E394B" w:rsidRDefault="003F2B0C" w:rsidP="0084338D">
            <w:pPr>
              <w:jc w:val="center"/>
              <w:rPr>
                <w:sz w:val="20"/>
                <w:szCs w:val="20"/>
              </w:rPr>
            </w:pPr>
            <w:r w:rsidRPr="003E394B">
              <w:rPr>
                <w:sz w:val="20"/>
                <w:szCs w:val="20"/>
              </w:rPr>
              <w:t>81-90</w:t>
            </w:r>
          </w:p>
        </w:tc>
        <w:tc>
          <w:tcPr>
            <w:tcW w:w="1481" w:type="dxa"/>
          </w:tcPr>
          <w:p w:rsidR="003F2B0C" w:rsidRPr="003E394B" w:rsidRDefault="003F2B0C" w:rsidP="0084338D">
            <w:pPr>
              <w:jc w:val="center"/>
              <w:rPr>
                <w:sz w:val="20"/>
                <w:szCs w:val="20"/>
              </w:rPr>
            </w:pPr>
          </w:p>
        </w:tc>
        <w:tc>
          <w:tcPr>
            <w:tcW w:w="1581" w:type="dxa"/>
          </w:tcPr>
          <w:p w:rsidR="003F2B0C" w:rsidRPr="003E394B" w:rsidRDefault="003F2B0C" w:rsidP="0084338D">
            <w:pPr>
              <w:jc w:val="center"/>
              <w:rPr>
                <w:sz w:val="20"/>
                <w:szCs w:val="20"/>
              </w:rPr>
            </w:pPr>
          </w:p>
        </w:tc>
      </w:tr>
      <w:tr w:rsidR="003F2B0C" w:rsidRPr="003E394B" w:rsidTr="0084338D">
        <w:tc>
          <w:tcPr>
            <w:tcW w:w="1549" w:type="dxa"/>
            <w:vMerge/>
          </w:tcPr>
          <w:p w:rsidR="003F2B0C" w:rsidRPr="003E394B" w:rsidRDefault="003F2B0C" w:rsidP="0084338D">
            <w:pPr>
              <w:rPr>
                <w:sz w:val="20"/>
                <w:szCs w:val="20"/>
              </w:rPr>
            </w:pPr>
          </w:p>
        </w:tc>
        <w:tc>
          <w:tcPr>
            <w:tcW w:w="2954" w:type="dxa"/>
          </w:tcPr>
          <w:p w:rsidR="003F2B0C" w:rsidRPr="003E394B" w:rsidRDefault="003F2B0C" w:rsidP="0084338D">
            <w:pPr>
              <w:spacing w:after="0" w:line="240" w:lineRule="auto"/>
              <w:jc w:val="left"/>
              <w:rPr>
                <w:rFonts w:cs="Calibri"/>
                <w:color w:val="000000" w:themeColor="text1"/>
                <w:sz w:val="20"/>
                <w:szCs w:val="20"/>
              </w:rPr>
            </w:pPr>
            <w:r w:rsidRPr="003E394B">
              <w:rPr>
                <w:rFonts w:cs="Calibri"/>
                <w:color w:val="000000" w:themeColor="text1"/>
                <w:sz w:val="20"/>
                <w:szCs w:val="20"/>
              </w:rPr>
              <w:t>Uniwersytet Komisji Edukacji Narodowej w Krakowie</w:t>
            </w:r>
          </w:p>
        </w:tc>
        <w:tc>
          <w:tcPr>
            <w:tcW w:w="1497" w:type="dxa"/>
            <w:vAlign w:val="center"/>
          </w:tcPr>
          <w:p w:rsidR="003F2B0C" w:rsidRPr="003E394B" w:rsidRDefault="003F2B0C" w:rsidP="0084338D">
            <w:pPr>
              <w:jc w:val="center"/>
              <w:rPr>
                <w:sz w:val="20"/>
                <w:szCs w:val="20"/>
              </w:rPr>
            </w:pPr>
            <w:r w:rsidRPr="003E394B">
              <w:rPr>
                <w:sz w:val="20"/>
                <w:szCs w:val="20"/>
              </w:rPr>
              <w:t>81-90</w:t>
            </w:r>
          </w:p>
        </w:tc>
        <w:tc>
          <w:tcPr>
            <w:tcW w:w="1481" w:type="dxa"/>
          </w:tcPr>
          <w:p w:rsidR="003F2B0C" w:rsidRPr="003E394B" w:rsidRDefault="003F2B0C" w:rsidP="0084338D">
            <w:pPr>
              <w:jc w:val="center"/>
              <w:rPr>
                <w:sz w:val="20"/>
                <w:szCs w:val="20"/>
              </w:rPr>
            </w:pPr>
          </w:p>
        </w:tc>
        <w:tc>
          <w:tcPr>
            <w:tcW w:w="1581" w:type="dxa"/>
          </w:tcPr>
          <w:p w:rsidR="003F2B0C" w:rsidRPr="003E394B" w:rsidRDefault="003F2B0C" w:rsidP="0084338D">
            <w:pPr>
              <w:jc w:val="center"/>
              <w:rPr>
                <w:sz w:val="20"/>
                <w:szCs w:val="20"/>
              </w:rPr>
            </w:pPr>
          </w:p>
        </w:tc>
      </w:tr>
      <w:tr w:rsidR="003F2B0C" w:rsidRPr="003E394B" w:rsidTr="0084338D">
        <w:tc>
          <w:tcPr>
            <w:tcW w:w="1549" w:type="dxa"/>
            <w:vMerge/>
          </w:tcPr>
          <w:p w:rsidR="003F2B0C" w:rsidRPr="003E394B" w:rsidRDefault="003F2B0C" w:rsidP="0084338D">
            <w:pPr>
              <w:rPr>
                <w:sz w:val="20"/>
                <w:szCs w:val="20"/>
              </w:rPr>
            </w:pPr>
          </w:p>
        </w:tc>
        <w:tc>
          <w:tcPr>
            <w:tcW w:w="2954" w:type="dxa"/>
          </w:tcPr>
          <w:p w:rsidR="003F2B0C" w:rsidRPr="003E394B" w:rsidRDefault="003F2B0C" w:rsidP="0084338D">
            <w:pPr>
              <w:spacing w:after="0" w:line="240" w:lineRule="auto"/>
              <w:jc w:val="left"/>
              <w:rPr>
                <w:rFonts w:cs="Calibri"/>
                <w:color w:val="000000" w:themeColor="text1"/>
                <w:sz w:val="20"/>
                <w:szCs w:val="20"/>
              </w:rPr>
            </w:pPr>
            <w:r w:rsidRPr="003E394B">
              <w:rPr>
                <w:rFonts w:cs="Calibri"/>
                <w:color w:val="000000" w:themeColor="text1"/>
                <w:sz w:val="20"/>
                <w:szCs w:val="20"/>
              </w:rPr>
              <w:t>Uniwersytet Rolniczy im. Hugona Kołłątaja w Krakowie</w:t>
            </w:r>
          </w:p>
        </w:tc>
        <w:tc>
          <w:tcPr>
            <w:tcW w:w="1497" w:type="dxa"/>
            <w:vAlign w:val="center"/>
          </w:tcPr>
          <w:p w:rsidR="003F2B0C" w:rsidRPr="003E394B" w:rsidRDefault="003F2B0C" w:rsidP="0084338D">
            <w:pPr>
              <w:jc w:val="center"/>
              <w:rPr>
                <w:sz w:val="20"/>
                <w:szCs w:val="20"/>
              </w:rPr>
            </w:pPr>
            <w:r w:rsidRPr="003E394B">
              <w:rPr>
                <w:sz w:val="20"/>
                <w:szCs w:val="20"/>
              </w:rPr>
              <w:t>55-60</w:t>
            </w:r>
          </w:p>
        </w:tc>
        <w:tc>
          <w:tcPr>
            <w:tcW w:w="1481" w:type="dxa"/>
          </w:tcPr>
          <w:p w:rsidR="003F2B0C" w:rsidRPr="003E394B" w:rsidRDefault="003F2B0C" w:rsidP="0084338D">
            <w:pPr>
              <w:jc w:val="center"/>
              <w:rPr>
                <w:sz w:val="20"/>
                <w:szCs w:val="20"/>
              </w:rPr>
            </w:pPr>
          </w:p>
        </w:tc>
        <w:tc>
          <w:tcPr>
            <w:tcW w:w="1581" w:type="dxa"/>
          </w:tcPr>
          <w:p w:rsidR="003F2B0C" w:rsidRPr="003E394B" w:rsidRDefault="003F2B0C" w:rsidP="0084338D">
            <w:pPr>
              <w:jc w:val="center"/>
              <w:rPr>
                <w:sz w:val="20"/>
                <w:szCs w:val="20"/>
              </w:rPr>
            </w:pPr>
            <w:r w:rsidRPr="003E394B">
              <w:rPr>
                <w:sz w:val="20"/>
                <w:szCs w:val="20"/>
              </w:rPr>
              <w:t>37</w:t>
            </w:r>
          </w:p>
        </w:tc>
      </w:tr>
      <w:tr w:rsidR="003F2B0C" w:rsidRPr="003E394B" w:rsidTr="0084338D">
        <w:tc>
          <w:tcPr>
            <w:tcW w:w="1549" w:type="dxa"/>
            <w:vMerge/>
          </w:tcPr>
          <w:p w:rsidR="003F2B0C" w:rsidRPr="003E394B" w:rsidRDefault="003F2B0C" w:rsidP="0084338D">
            <w:pPr>
              <w:rPr>
                <w:sz w:val="20"/>
                <w:szCs w:val="20"/>
              </w:rPr>
            </w:pPr>
          </w:p>
        </w:tc>
        <w:tc>
          <w:tcPr>
            <w:tcW w:w="2954" w:type="dxa"/>
          </w:tcPr>
          <w:p w:rsidR="003F2B0C" w:rsidRPr="003E394B" w:rsidRDefault="003F2B0C" w:rsidP="0084338D">
            <w:pPr>
              <w:spacing w:after="0" w:line="240" w:lineRule="auto"/>
              <w:jc w:val="left"/>
              <w:rPr>
                <w:rFonts w:cs="Calibri"/>
                <w:color w:val="000000" w:themeColor="text1"/>
                <w:sz w:val="20"/>
                <w:szCs w:val="20"/>
              </w:rPr>
            </w:pPr>
            <w:r w:rsidRPr="003E394B">
              <w:rPr>
                <w:rFonts w:cs="Calibri"/>
                <w:color w:val="000000" w:themeColor="text1"/>
                <w:sz w:val="20"/>
                <w:szCs w:val="20"/>
              </w:rPr>
              <w:t>Politechnika Krakowska im. Tadeusza Kościuszki</w:t>
            </w:r>
          </w:p>
        </w:tc>
        <w:tc>
          <w:tcPr>
            <w:tcW w:w="1497" w:type="dxa"/>
            <w:vAlign w:val="center"/>
          </w:tcPr>
          <w:p w:rsidR="003F2B0C" w:rsidRPr="003E394B" w:rsidRDefault="003F2B0C" w:rsidP="0084338D">
            <w:pPr>
              <w:jc w:val="center"/>
              <w:rPr>
                <w:sz w:val="20"/>
                <w:szCs w:val="20"/>
              </w:rPr>
            </w:pPr>
            <w:r w:rsidRPr="003E394B">
              <w:rPr>
                <w:sz w:val="20"/>
                <w:szCs w:val="20"/>
              </w:rPr>
              <w:t>29</w:t>
            </w:r>
          </w:p>
        </w:tc>
        <w:tc>
          <w:tcPr>
            <w:tcW w:w="1481" w:type="dxa"/>
          </w:tcPr>
          <w:p w:rsidR="003F2B0C" w:rsidRPr="003E394B" w:rsidRDefault="003F2B0C" w:rsidP="0084338D">
            <w:pPr>
              <w:jc w:val="center"/>
              <w:rPr>
                <w:sz w:val="20"/>
                <w:szCs w:val="20"/>
              </w:rPr>
            </w:pPr>
            <w:r w:rsidRPr="003E394B">
              <w:rPr>
                <w:sz w:val="20"/>
                <w:szCs w:val="20"/>
              </w:rPr>
              <w:t>32</w:t>
            </w:r>
          </w:p>
        </w:tc>
        <w:tc>
          <w:tcPr>
            <w:tcW w:w="1581" w:type="dxa"/>
          </w:tcPr>
          <w:p w:rsidR="003F2B0C" w:rsidRPr="003E394B" w:rsidRDefault="003F2B0C" w:rsidP="0084338D">
            <w:pPr>
              <w:jc w:val="center"/>
              <w:rPr>
                <w:sz w:val="20"/>
                <w:szCs w:val="20"/>
              </w:rPr>
            </w:pPr>
            <w:r w:rsidRPr="003E394B">
              <w:rPr>
                <w:sz w:val="20"/>
                <w:szCs w:val="20"/>
              </w:rPr>
              <w:t>40</w:t>
            </w:r>
          </w:p>
        </w:tc>
      </w:tr>
      <w:tr w:rsidR="003F2B0C" w:rsidRPr="003E394B" w:rsidTr="0084338D">
        <w:tc>
          <w:tcPr>
            <w:tcW w:w="1549" w:type="dxa"/>
            <w:vMerge w:val="restart"/>
          </w:tcPr>
          <w:p w:rsidR="003F2B0C" w:rsidRPr="003E394B" w:rsidRDefault="003F2B0C" w:rsidP="0084338D">
            <w:pPr>
              <w:rPr>
                <w:sz w:val="20"/>
                <w:szCs w:val="20"/>
              </w:rPr>
            </w:pPr>
            <w:r w:rsidRPr="003E394B">
              <w:rPr>
                <w:sz w:val="20"/>
                <w:szCs w:val="20"/>
              </w:rPr>
              <w:t>Metropolia Poznańska</w:t>
            </w:r>
          </w:p>
        </w:tc>
        <w:tc>
          <w:tcPr>
            <w:tcW w:w="2954" w:type="dxa"/>
          </w:tcPr>
          <w:p w:rsidR="003F2B0C" w:rsidRPr="003E394B" w:rsidRDefault="003F2B0C" w:rsidP="0084338D">
            <w:pPr>
              <w:spacing w:after="0" w:line="240" w:lineRule="auto"/>
              <w:jc w:val="left"/>
              <w:rPr>
                <w:rFonts w:cs="Calibri"/>
                <w:color w:val="000000" w:themeColor="text1"/>
                <w:sz w:val="20"/>
                <w:szCs w:val="20"/>
              </w:rPr>
            </w:pPr>
            <w:r w:rsidRPr="003E394B">
              <w:rPr>
                <w:rFonts w:cs="Calibri"/>
                <w:color w:val="000000" w:themeColor="text1"/>
                <w:sz w:val="20"/>
                <w:szCs w:val="20"/>
              </w:rPr>
              <w:t>Uniwersytet im. Adama Mickiewicza w Poznaniu</w:t>
            </w:r>
          </w:p>
        </w:tc>
        <w:tc>
          <w:tcPr>
            <w:tcW w:w="1497" w:type="dxa"/>
            <w:vAlign w:val="center"/>
          </w:tcPr>
          <w:p w:rsidR="003F2B0C" w:rsidRPr="003E394B" w:rsidRDefault="003F2B0C" w:rsidP="0084338D">
            <w:pPr>
              <w:jc w:val="center"/>
              <w:rPr>
                <w:sz w:val="20"/>
                <w:szCs w:val="20"/>
              </w:rPr>
            </w:pPr>
            <w:r w:rsidRPr="003E394B">
              <w:rPr>
                <w:sz w:val="20"/>
                <w:szCs w:val="20"/>
              </w:rPr>
              <w:t>6</w:t>
            </w:r>
          </w:p>
        </w:tc>
        <w:tc>
          <w:tcPr>
            <w:tcW w:w="1481" w:type="dxa"/>
          </w:tcPr>
          <w:p w:rsidR="003F2B0C" w:rsidRPr="003E394B" w:rsidRDefault="003F2B0C" w:rsidP="0084338D">
            <w:pPr>
              <w:jc w:val="center"/>
              <w:rPr>
                <w:sz w:val="20"/>
                <w:szCs w:val="20"/>
              </w:rPr>
            </w:pPr>
          </w:p>
        </w:tc>
        <w:tc>
          <w:tcPr>
            <w:tcW w:w="1581" w:type="dxa"/>
          </w:tcPr>
          <w:p w:rsidR="003F2B0C" w:rsidRPr="003E394B" w:rsidRDefault="003F2B0C" w:rsidP="0084338D">
            <w:pPr>
              <w:jc w:val="center"/>
              <w:rPr>
                <w:sz w:val="20"/>
                <w:szCs w:val="20"/>
              </w:rPr>
            </w:pPr>
          </w:p>
        </w:tc>
      </w:tr>
      <w:tr w:rsidR="003F2B0C" w:rsidRPr="003E394B" w:rsidTr="0084338D">
        <w:trPr>
          <w:trHeight w:val="331"/>
        </w:trPr>
        <w:tc>
          <w:tcPr>
            <w:tcW w:w="1549" w:type="dxa"/>
            <w:vMerge/>
          </w:tcPr>
          <w:p w:rsidR="003F2B0C" w:rsidRPr="003E394B" w:rsidRDefault="003F2B0C" w:rsidP="0084338D">
            <w:pPr>
              <w:rPr>
                <w:sz w:val="20"/>
                <w:szCs w:val="20"/>
              </w:rPr>
            </w:pPr>
          </w:p>
        </w:tc>
        <w:tc>
          <w:tcPr>
            <w:tcW w:w="2954" w:type="dxa"/>
          </w:tcPr>
          <w:p w:rsidR="003F2B0C" w:rsidRPr="003E394B" w:rsidRDefault="00646D05" w:rsidP="0084338D">
            <w:pPr>
              <w:spacing w:after="0" w:line="240" w:lineRule="auto"/>
              <w:jc w:val="left"/>
              <w:rPr>
                <w:rFonts w:cs="Calibri"/>
                <w:color w:val="000000" w:themeColor="text1"/>
                <w:sz w:val="20"/>
                <w:szCs w:val="20"/>
                <w:lang w:val="en-GB"/>
              </w:rPr>
            </w:pPr>
            <w:hyperlink r:id="rId43" w:tgtFrame="_blank" w:history="1">
              <w:proofErr w:type="spellStart"/>
              <w:r w:rsidR="003F2B0C" w:rsidRPr="003E394B">
                <w:rPr>
                  <w:rFonts w:cs="Calibri"/>
                  <w:color w:val="000000" w:themeColor="text1"/>
                  <w:sz w:val="20"/>
                  <w:szCs w:val="20"/>
                  <w:lang w:val="en-GB"/>
                </w:rPr>
                <w:t>Politechnika</w:t>
              </w:r>
              <w:proofErr w:type="spellEnd"/>
              <w:r w:rsidR="003F2B0C" w:rsidRPr="003E394B">
                <w:rPr>
                  <w:rFonts w:cs="Calibri"/>
                  <w:color w:val="000000" w:themeColor="text1"/>
                  <w:sz w:val="20"/>
                  <w:szCs w:val="20"/>
                  <w:lang w:val="en-GB"/>
                </w:rPr>
                <w:t xml:space="preserve"> </w:t>
              </w:r>
              <w:proofErr w:type="spellStart"/>
              <w:r w:rsidR="003F2B0C" w:rsidRPr="003E394B">
                <w:rPr>
                  <w:rFonts w:cs="Calibri"/>
                  <w:color w:val="000000" w:themeColor="text1"/>
                  <w:sz w:val="20"/>
                  <w:szCs w:val="20"/>
                  <w:lang w:val="en-GB"/>
                </w:rPr>
                <w:t>Poznańska</w:t>
              </w:r>
              <w:proofErr w:type="spellEnd"/>
            </w:hyperlink>
          </w:p>
        </w:tc>
        <w:tc>
          <w:tcPr>
            <w:tcW w:w="1497" w:type="dxa"/>
            <w:vAlign w:val="center"/>
          </w:tcPr>
          <w:p w:rsidR="003F2B0C" w:rsidRPr="003E394B" w:rsidRDefault="003F2B0C" w:rsidP="0084338D">
            <w:pPr>
              <w:jc w:val="center"/>
              <w:rPr>
                <w:sz w:val="20"/>
                <w:szCs w:val="20"/>
              </w:rPr>
            </w:pPr>
            <w:r w:rsidRPr="003E394B">
              <w:rPr>
                <w:sz w:val="20"/>
                <w:szCs w:val="20"/>
              </w:rPr>
              <w:t>8</w:t>
            </w:r>
          </w:p>
        </w:tc>
        <w:tc>
          <w:tcPr>
            <w:tcW w:w="1481" w:type="dxa"/>
          </w:tcPr>
          <w:p w:rsidR="003F2B0C" w:rsidRPr="003E394B" w:rsidRDefault="003F2B0C" w:rsidP="0084338D">
            <w:pPr>
              <w:jc w:val="center"/>
              <w:rPr>
                <w:sz w:val="20"/>
                <w:szCs w:val="20"/>
              </w:rPr>
            </w:pPr>
            <w:r w:rsidRPr="003E394B">
              <w:rPr>
                <w:sz w:val="20"/>
                <w:szCs w:val="20"/>
              </w:rPr>
              <w:t>8</w:t>
            </w:r>
          </w:p>
        </w:tc>
        <w:tc>
          <w:tcPr>
            <w:tcW w:w="1581" w:type="dxa"/>
          </w:tcPr>
          <w:p w:rsidR="003F2B0C" w:rsidRPr="003E394B" w:rsidRDefault="003F2B0C" w:rsidP="0084338D">
            <w:pPr>
              <w:jc w:val="center"/>
              <w:rPr>
                <w:sz w:val="20"/>
                <w:szCs w:val="20"/>
              </w:rPr>
            </w:pPr>
            <w:r w:rsidRPr="003E394B">
              <w:rPr>
                <w:sz w:val="20"/>
                <w:szCs w:val="20"/>
              </w:rPr>
              <w:t>1</w:t>
            </w:r>
          </w:p>
        </w:tc>
      </w:tr>
      <w:tr w:rsidR="003F2B0C" w:rsidRPr="003E394B" w:rsidTr="0084338D">
        <w:tc>
          <w:tcPr>
            <w:tcW w:w="1549" w:type="dxa"/>
            <w:vMerge/>
          </w:tcPr>
          <w:p w:rsidR="003F2B0C" w:rsidRPr="003E394B" w:rsidRDefault="003F2B0C" w:rsidP="0084338D">
            <w:pPr>
              <w:rPr>
                <w:sz w:val="20"/>
                <w:szCs w:val="20"/>
              </w:rPr>
            </w:pPr>
          </w:p>
        </w:tc>
        <w:tc>
          <w:tcPr>
            <w:tcW w:w="2954" w:type="dxa"/>
          </w:tcPr>
          <w:p w:rsidR="003F2B0C" w:rsidRPr="003E394B" w:rsidRDefault="00646D05" w:rsidP="0084338D">
            <w:pPr>
              <w:spacing w:after="0" w:line="240" w:lineRule="auto"/>
              <w:jc w:val="left"/>
              <w:rPr>
                <w:rFonts w:cs="Calibri"/>
                <w:color w:val="000000" w:themeColor="text1"/>
                <w:sz w:val="20"/>
                <w:szCs w:val="20"/>
              </w:rPr>
            </w:pPr>
            <w:hyperlink r:id="rId44" w:tgtFrame="_blank" w:history="1">
              <w:r w:rsidR="003F2B0C" w:rsidRPr="003E394B">
                <w:rPr>
                  <w:rFonts w:cs="Calibri"/>
                  <w:color w:val="000000" w:themeColor="text1"/>
                  <w:sz w:val="20"/>
                  <w:szCs w:val="20"/>
                </w:rPr>
                <w:t>Uniwersytet Medyczny im. Karola Marcinkowskiego w Poznaniu</w:t>
              </w:r>
            </w:hyperlink>
          </w:p>
        </w:tc>
        <w:tc>
          <w:tcPr>
            <w:tcW w:w="1497" w:type="dxa"/>
            <w:vAlign w:val="center"/>
          </w:tcPr>
          <w:p w:rsidR="003F2B0C" w:rsidRPr="003E394B" w:rsidRDefault="003F2B0C" w:rsidP="0084338D">
            <w:pPr>
              <w:jc w:val="center"/>
              <w:rPr>
                <w:sz w:val="20"/>
                <w:szCs w:val="20"/>
              </w:rPr>
            </w:pPr>
            <w:r w:rsidRPr="003E394B">
              <w:rPr>
                <w:sz w:val="20"/>
                <w:szCs w:val="20"/>
              </w:rPr>
              <w:t>21</w:t>
            </w:r>
          </w:p>
        </w:tc>
        <w:tc>
          <w:tcPr>
            <w:tcW w:w="1481" w:type="dxa"/>
          </w:tcPr>
          <w:p w:rsidR="003F2B0C" w:rsidRPr="003E394B" w:rsidRDefault="003F2B0C" w:rsidP="0084338D">
            <w:pPr>
              <w:jc w:val="center"/>
              <w:rPr>
                <w:sz w:val="20"/>
                <w:szCs w:val="20"/>
              </w:rPr>
            </w:pPr>
            <w:r w:rsidRPr="003E394B">
              <w:rPr>
                <w:sz w:val="20"/>
                <w:szCs w:val="20"/>
              </w:rPr>
              <w:t>13</w:t>
            </w:r>
          </w:p>
        </w:tc>
        <w:tc>
          <w:tcPr>
            <w:tcW w:w="1581" w:type="dxa"/>
          </w:tcPr>
          <w:p w:rsidR="003F2B0C" w:rsidRPr="003E394B" w:rsidRDefault="003F2B0C" w:rsidP="0084338D">
            <w:pPr>
              <w:jc w:val="center"/>
              <w:rPr>
                <w:sz w:val="20"/>
                <w:szCs w:val="20"/>
              </w:rPr>
            </w:pPr>
          </w:p>
        </w:tc>
      </w:tr>
      <w:tr w:rsidR="003F2B0C" w:rsidRPr="003E394B" w:rsidTr="0084338D">
        <w:tc>
          <w:tcPr>
            <w:tcW w:w="1549" w:type="dxa"/>
            <w:vMerge/>
          </w:tcPr>
          <w:p w:rsidR="003F2B0C" w:rsidRPr="003E394B" w:rsidRDefault="003F2B0C" w:rsidP="0084338D">
            <w:pPr>
              <w:rPr>
                <w:sz w:val="20"/>
                <w:szCs w:val="20"/>
              </w:rPr>
            </w:pPr>
          </w:p>
        </w:tc>
        <w:tc>
          <w:tcPr>
            <w:tcW w:w="2954" w:type="dxa"/>
          </w:tcPr>
          <w:p w:rsidR="003F2B0C" w:rsidRPr="003E394B" w:rsidRDefault="003F2B0C" w:rsidP="0084338D">
            <w:pPr>
              <w:spacing w:after="0" w:line="240" w:lineRule="auto"/>
              <w:jc w:val="left"/>
              <w:rPr>
                <w:rFonts w:cs="Calibri"/>
                <w:color w:val="000000" w:themeColor="text1"/>
                <w:sz w:val="20"/>
                <w:szCs w:val="20"/>
                <w:lang w:val="en-GB"/>
              </w:rPr>
            </w:pPr>
            <w:proofErr w:type="spellStart"/>
            <w:r w:rsidRPr="003E394B">
              <w:rPr>
                <w:rFonts w:cs="Calibri"/>
                <w:color w:val="000000" w:themeColor="text1"/>
                <w:sz w:val="20"/>
                <w:szCs w:val="20"/>
                <w:lang w:val="en-GB"/>
              </w:rPr>
              <w:t>UniwersytetPrzyrodniczy</w:t>
            </w:r>
            <w:proofErr w:type="spellEnd"/>
            <w:r w:rsidRPr="003E394B">
              <w:rPr>
                <w:rFonts w:cs="Calibri"/>
                <w:color w:val="000000" w:themeColor="text1"/>
                <w:sz w:val="20"/>
                <w:szCs w:val="20"/>
                <w:lang w:val="en-GB"/>
              </w:rPr>
              <w:t xml:space="preserve"> w </w:t>
            </w:r>
            <w:proofErr w:type="spellStart"/>
            <w:r w:rsidRPr="003E394B">
              <w:rPr>
                <w:rFonts w:cs="Calibri"/>
                <w:color w:val="000000" w:themeColor="text1"/>
                <w:sz w:val="20"/>
                <w:szCs w:val="20"/>
                <w:lang w:val="en-GB"/>
              </w:rPr>
              <w:t>Poznaniu</w:t>
            </w:r>
            <w:proofErr w:type="spellEnd"/>
          </w:p>
        </w:tc>
        <w:tc>
          <w:tcPr>
            <w:tcW w:w="1497" w:type="dxa"/>
            <w:vAlign w:val="center"/>
          </w:tcPr>
          <w:p w:rsidR="003F2B0C" w:rsidRPr="003E394B" w:rsidRDefault="003F2B0C" w:rsidP="0084338D">
            <w:pPr>
              <w:jc w:val="center"/>
              <w:rPr>
                <w:sz w:val="20"/>
                <w:szCs w:val="20"/>
              </w:rPr>
            </w:pPr>
            <w:r w:rsidRPr="003E394B">
              <w:rPr>
                <w:sz w:val="20"/>
                <w:szCs w:val="20"/>
              </w:rPr>
              <w:t>34</w:t>
            </w:r>
          </w:p>
        </w:tc>
        <w:tc>
          <w:tcPr>
            <w:tcW w:w="1481" w:type="dxa"/>
          </w:tcPr>
          <w:p w:rsidR="003F2B0C" w:rsidRPr="003E394B" w:rsidRDefault="003F2B0C" w:rsidP="0084338D">
            <w:pPr>
              <w:jc w:val="center"/>
              <w:rPr>
                <w:sz w:val="20"/>
                <w:szCs w:val="20"/>
              </w:rPr>
            </w:pPr>
          </w:p>
        </w:tc>
        <w:tc>
          <w:tcPr>
            <w:tcW w:w="1581" w:type="dxa"/>
          </w:tcPr>
          <w:p w:rsidR="003F2B0C" w:rsidRPr="003E394B" w:rsidRDefault="003F2B0C" w:rsidP="0084338D">
            <w:pPr>
              <w:jc w:val="center"/>
              <w:rPr>
                <w:sz w:val="20"/>
                <w:szCs w:val="20"/>
              </w:rPr>
            </w:pPr>
            <w:r w:rsidRPr="003E394B">
              <w:rPr>
                <w:sz w:val="20"/>
                <w:szCs w:val="20"/>
              </w:rPr>
              <w:t>35</w:t>
            </w:r>
          </w:p>
        </w:tc>
      </w:tr>
      <w:tr w:rsidR="003F2B0C" w:rsidRPr="003E394B" w:rsidTr="0084338D">
        <w:tc>
          <w:tcPr>
            <w:tcW w:w="1549" w:type="dxa"/>
            <w:vMerge/>
          </w:tcPr>
          <w:p w:rsidR="003F2B0C" w:rsidRPr="003E394B" w:rsidRDefault="003F2B0C" w:rsidP="0084338D">
            <w:pPr>
              <w:rPr>
                <w:sz w:val="20"/>
                <w:szCs w:val="20"/>
              </w:rPr>
            </w:pPr>
          </w:p>
        </w:tc>
        <w:tc>
          <w:tcPr>
            <w:tcW w:w="2954" w:type="dxa"/>
          </w:tcPr>
          <w:p w:rsidR="003F2B0C" w:rsidRPr="003E394B" w:rsidRDefault="003F2B0C" w:rsidP="0084338D">
            <w:pPr>
              <w:spacing w:after="0" w:line="240" w:lineRule="auto"/>
              <w:jc w:val="left"/>
              <w:rPr>
                <w:rFonts w:cs="Calibri"/>
                <w:color w:val="000000" w:themeColor="text1"/>
                <w:sz w:val="20"/>
                <w:szCs w:val="20"/>
                <w:lang w:val="en-GB"/>
              </w:rPr>
            </w:pPr>
            <w:proofErr w:type="spellStart"/>
            <w:r w:rsidRPr="003E394B">
              <w:rPr>
                <w:rFonts w:cs="Calibri"/>
                <w:color w:val="000000" w:themeColor="text1"/>
                <w:sz w:val="20"/>
                <w:szCs w:val="20"/>
                <w:lang w:val="en-GB"/>
              </w:rPr>
              <w:t>UniwersytetEkonomiczny</w:t>
            </w:r>
            <w:proofErr w:type="spellEnd"/>
            <w:r w:rsidRPr="003E394B">
              <w:rPr>
                <w:rFonts w:cs="Calibri"/>
                <w:color w:val="000000" w:themeColor="text1"/>
                <w:sz w:val="20"/>
                <w:szCs w:val="20"/>
                <w:lang w:val="en-GB"/>
              </w:rPr>
              <w:t xml:space="preserve"> w </w:t>
            </w:r>
            <w:proofErr w:type="spellStart"/>
            <w:r w:rsidRPr="003E394B">
              <w:rPr>
                <w:rFonts w:cs="Calibri"/>
                <w:color w:val="000000" w:themeColor="text1"/>
                <w:sz w:val="20"/>
                <w:szCs w:val="20"/>
                <w:lang w:val="en-GB"/>
              </w:rPr>
              <w:t>Poznaniu</w:t>
            </w:r>
            <w:proofErr w:type="spellEnd"/>
          </w:p>
        </w:tc>
        <w:tc>
          <w:tcPr>
            <w:tcW w:w="1497" w:type="dxa"/>
            <w:vAlign w:val="center"/>
          </w:tcPr>
          <w:p w:rsidR="003F2B0C" w:rsidRPr="003E394B" w:rsidRDefault="003F2B0C" w:rsidP="0084338D">
            <w:pPr>
              <w:jc w:val="center"/>
              <w:rPr>
                <w:sz w:val="20"/>
                <w:szCs w:val="20"/>
              </w:rPr>
            </w:pPr>
            <w:r w:rsidRPr="003E394B">
              <w:rPr>
                <w:sz w:val="20"/>
                <w:szCs w:val="20"/>
              </w:rPr>
              <w:t>35</w:t>
            </w:r>
          </w:p>
        </w:tc>
        <w:tc>
          <w:tcPr>
            <w:tcW w:w="1481" w:type="dxa"/>
          </w:tcPr>
          <w:p w:rsidR="003F2B0C" w:rsidRPr="003E394B" w:rsidRDefault="003F2B0C" w:rsidP="0084338D">
            <w:pPr>
              <w:jc w:val="center"/>
              <w:rPr>
                <w:sz w:val="20"/>
                <w:szCs w:val="20"/>
              </w:rPr>
            </w:pPr>
            <w:r w:rsidRPr="003E394B">
              <w:rPr>
                <w:sz w:val="20"/>
                <w:szCs w:val="20"/>
              </w:rPr>
              <w:t>7</w:t>
            </w:r>
          </w:p>
        </w:tc>
        <w:tc>
          <w:tcPr>
            <w:tcW w:w="1581" w:type="dxa"/>
          </w:tcPr>
          <w:p w:rsidR="003F2B0C" w:rsidRPr="003E394B" w:rsidRDefault="003F2B0C" w:rsidP="0084338D">
            <w:pPr>
              <w:jc w:val="center"/>
              <w:rPr>
                <w:sz w:val="20"/>
                <w:szCs w:val="20"/>
              </w:rPr>
            </w:pPr>
          </w:p>
        </w:tc>
      </w:tr>
      <w:tr w:rsidR="003F2B0C" w:rsidRPr="003E394B" w:rsidTr="0084338D">
        <w:tc>
          <w:tcPr>
            <w:tcW w:w="1549" w:type="dxa"/>
            <w:vMerge/>
          </w:tcPr>
          <w:p w:rsidR="003F2B0C" w:rsidRPr="003E394B" w:rsidRDefault="003F2B0C" w:rsidP="0084338D">
            <w:pPr>
              <w:rPr>
                <w:sz w:val="20"/>
                <w:szCs w:val="20"/>
              </w:rPr>
            </w:pPr>
          </w:p>
        </w:tc>
        <w:tc>
          <w:tcPr>
            <w:tcW w:w="2954" w:type="dxa"/>
          </w:tcPr>
          <w:p w:rsidR="003F2B0C" w:rsidRPr="00DD1A40" w:rsidRDefault="003F2B0C" w:rsidP="0084338D">
            <w:pPr>
              <w:spacing w:after="0" w:line="240" w:lineRule="auto"/>
              <w:jc w:val="left"/>
              <w:rPr>
                <w:rFonts w:cs="Calibri"/>
                <w:color w:val="000000" w:themeColor="text1"/>
                <w:sz w:val="20"/>
                <w:szCs w:val="20"/>
              </w:rPr>
            </w:pPr>
            <w:r w:rsidRPr="00DD1A40">
              <w:rPr>
                <w:rFonts w:cs="Calibri"/>
                <w:color w:val="000000" w:themeColor="text1"/>
                <w:sz w:val="20"/>
                <w:szCs w:val="20"/>
              </w:rPr>
              <w:t>Akademia Wychowania Fizycznego im. Eugeniusza Piaseckiego w Poznaniu</w:t>
            </w:r>
          </w:p>
        </w:tc>
        <w:tc>
          <w:tcPr>
            <w:tcW w:w="1497" w:type="dxa"/>
            <w:vAlign w:val="center"/>
          </w:tcPr>
          <w:p w:rsidR="003F2B0C" w:rsidRPr="003E394B" w:rsidRDefault="003F2B0C" w:rsidP="0084338D">
            <w:pPr>
              <w:jc w:val="center"/>
              <w:rPr>
                <w:sz w:val="20"/>
                <w:szCs w:val="20"/>
              </w:rPr>
            </w:pPr>
            <w:r w:rsidRPr="003E394B">
              <w:rPr>
                <w:sz w:val="20"/>
                <w:szCs w:val="20"/>
              </w:rPr>
              <w:t>61-72</w:t>
            </w:r>
          </w:p>
        </w:tc>
        <w:tc>
          <w:tcPr>
            <w:tcW w:w="1481" w:type="dxa"/>
          </w:tcPr>
          <w:p w:rsidR="003F2B0C" w:rsidRPr="003E394B" w:rsidRDefault="003F2B0C" w:rsidP="0084338D">
            <w:pPr>
              <w:jc w:val="center"/>
              <w:rPr>
                <w:sz w:val="20"/>
                <w:szCs w:val="20"/>
              </w:rPr>
            </w:pPr>
          </w:p>
        </w:tc>
        <w:tc>
          <w:tcPr>
            <w:tcW w:w="1581" w:type="dxa"/>
          </w:tcPr>
          <w:p w:rsidR="003F2B0C" w:rsidRPr="003E394B" w:rsidRDefault="003F2B0C" w:rsidP="0084338D">
            <w:pPr>
              <w:jc w:val="center"/>
              <w:rPr>
                <w:sz w:val="20"/>
                <w:szCs w:val="20"/>
              </w:rPr>
            </w:pPr>
          </w:p>
        </w:tc>
      </w:tr>
      <w:tr w:rsidR="003F2B0C" w:rsidRPr="003E394B" w:rsidTr="0084338D">
        <w:tc>
          <w:tcPr>
            <w:tcW w:w="1549" w:type="dxa"/>
            <w:vMerge/>
          </w:tcPr>
          <w:p w:rsidR="003F2B0C" w:rsidRPr="003E394B" w:rsidRDefault="003F2B0C" w:rsidP="0084338D">
            <w:pPr>
              <w:rPr>
                <w:sz w:val="20"/>
                <w:szCs w:val="20"/>
              </w:rPr>
            </w:pPr>
          </w:p>
        </w:tc>
        <w:tc>
          <w:tcPr>
            <w:tcW w:w="2954" w:type="dxa"/>
          </w:tcPr>
          <w:p w:rsidR="003F2B0C" w:rsidRPr="00DD1A40" w:rsidRDefault="003F2B0C" w:rsidP="0084338D">
            <w:pPr>
              <w:spacing w:after="0" w:line="240" w:lineRule="auto"/>
              <w:jc w:val="left"/>
              <w:rPr>
                <w:rFonts w:cs="Calibri"/>
                <w:color w:val="000000" w:themeColor="text1"/>
                <w:sz w:val="20"/>
                <w:szCs w:val="20"/>
              </w:rPr>
            </w:pPr>
            <w:r w:rsidRPr="00DD1A40">
              <w:rPr>
                <w:rFonts w:cs="Calibri"/>
                <w:color w:val="000000" w:themeColor="text1"/>
                <w:sz w:val="20"/>
                <w:szCs w:val="20"/>
              </w:rPr>
              <w:t xml:space="preserve">Uniwersytet WSB </w:t>
            </w:r>
            <w:proofErr w:type="spellStart"/>
            <w:r w:rsidRPr="00DD1A40">
              <w:rPr>
                <w:rFonts w:cs="Calibri"/>
                <w:color w:val="000000" w:themeColor="text1"/>
                <w:sz w:val="20"/>
                <w:szCs w:val="20"/>
              </w:rPr>
              <w:t>Merito</w:t>
            </w:r>
            <w:proofErr w:type="spellEnd"/>
            <w:r w:rsidRPr="00DD1A40">
              <w:rPr>
                <w:rFonts w:cs="Calibri"/>
                <w:color w:val="000000" w:themeColor="text1"/>
                <w:sz w:val="20"/>
                <w:szCs w:val="20"/>
              </w:rPr>
              <w:t xml:space="preserve"> w Poznaniu</w:t>
            </w:r>
          </w:p>
        </w:tc>
        <w:tc>
          <w:tcPr>
            <w:tcW w:w="1497" w:type="dxa"/>
            <w:vAlign w:val="center"/>
          </w:tcPr>
          <w:p w:rsidR="003F2B0C" w:rsidRPr="003E394B" w:rsidRDefault="003F2B0C" w:rsidP="0084338D">
            <w:pPr>
              <w:jc w:val="center"/>
              <w:rPr>
                <w:sz w:val="20"/>
                <w:szCs w:val="20"/>
              </w:rPr>
            </w:pPr>
            <w:r w:rsidRPr="003E394B">
              <w:rPr>
                <w:sz w:val="20"/>
                <w:szCs w:val="20"/>
              </w:rPr>
              <w:t>73-80</w:t>
            </w:r>
          </w:p>
        </w:tc>
        <w:tc>
          <w:tcPr>
            <w:tcW w:w="1481" w:type="dxa"/>
          </w:tcPr>
          <w:p w:rsidR="003F2B0C" w:rsidRPr="003E394B" w:rsidRDefault="003F2B0C" w:rsidP="0084338D">
            <w:pPr>
              <w:jc w:val="center"/>
              <w:rPr>
                <w:sz w:val="20"/>
                <w:szCs w:val="20"/>
              </w:rPr>
            </w:pPr>
            <w:r w:rsidRPr="003E394B">
              <w:rPr>
                <w:sz w:val="20"/>
                <w:szCs w:val="20"/>
              </w:rPr>
              <w:t>42</w:t>
            </w:r>
          </w:p>
        </w:tc>
        <w:tc>
          <w:tcPr>
            <w:tcW w:w="1581" w:type="dxa"/>
          </w:tcPr>
          <w:p w:rsidR="003F2B0C" w:rsidRPr="003E394B" w:rsidRDefault="003F2B0C" w:rsidP="0084338D">
            <w:pPr>
              <w:jc w:val="center"/>
              <w:rPr>
                <w:sz w:val="20"/>
                <w:szCs w:val="20"/>
              </w:rPr>
            </w:pPr>
          </w:p>
        </w:tc>
      </w:tr>
    </w:tbl>
    <w:p w:rsidR="003F2B0C" w:rsidRPr="002737CB" w:rsidRDefault="003F2B0C" w:rsidP="003F2B0C">
      <w:pPr>
        <w:spacing w:line="276" w:lineRule="auto"/>
        <w:rPr>
          <w:iCs/>
          <w:color w:val="363735" w:themeColor="accent3"/>
          <w:sz w:val="20"/>
          <w:szCs w:val="18"/>
        </w:rPr>
      </w:pPr>
      <w:r w:rsidRPr="002737CB">
        <w:rPr>
          <w:iCs/>
          <w:color w:val="363735" w:themeColor="accent3"/>
          <w:sz w:val="20"/>
          <w:szCs w:val="18"/>
        </w:rPr>
        <w:t xml:space="preserve">Źródło: </w:t>
      </w:r>
      <w:hyperlink r:id="rId45" w:history="1">
        <w:r w:rsidRPr="002737CB">
          <w:rPr>
            <w:iCs/>
            <w:color w:val="363735" w:themeColor="accent3"/>
            <w:sz w:val="20"/>
            <w:szCs w:val="18"/>
          </w:rPr>
          <w:t>https://2024.ranking.perspektywy.pl/ranking/ranking-uczelni-akademickich</w:t>
        </w:r>
      </w:hyperlink>
      <w:r w:rsidRPr="002737CB">
        <w:rPr>
          <w:iCs/>
          <w:color w:val="363735" w:themeColor="accent3"/>
          <w:sz w:val="20"/>
          <w:szCs w:val="18"/>
        </w:rPr>
        <w:t>, dostęp 2.02.2025</w:t>
      </w:r>
    </w:p>
    <w:p w:rsidR="003F2B0C" w:rsidRPr="007A48BB" w:rsidRDefault="003F2B0C" w:rsidP="003F2B0C">
      <w:r>
        <w:t xml:space="preserve">Według światowego rankingu uniwersyteckiego </w:t>
      </w:r>
      <w:r w:rsidRPr="00D05CE3">
        <w:t>publikowane</w:t>
      </w:r>
      <w:r>
        <w:t>go</w:t>
      </w:r>
      <w:r w:rsidRPr="00D05CE3">
        <w:t xml:space="preserve"> od 2004 </w:t>
      </w:r>
      <w:r>
        <w:t xml:space="preserve">roku </w:t>
      </w:r>
      <w:r w:rsidRPr="00D05CE3">
        <w:t xml:space="preserve">przez organizację </w:t>
      </w:r>
      <w:proofErr w:type="spellStart"/>
      <w:r w:rsidRPr="00D05CE3">
        <w:t>QuacquarelliSymonds</w:t>
      </w:r>
      <w:proofErr w:type="spellEnd"/>
      <w:r w:rsidRPr="00D05CE3">
        <w:t xml:space="preserve"> (QS)</w:t>
      </w:r>
      <w:r>
        <w:t xml:space="preserve">, najwyższe miejsce spośród analizowanych ośrodków akademickich zajął </w:t>
      </w:r>
      <w:r w:rsidRPr="00D05CE3">
        <w:t>Uniwersytet Techniczny w Dreźnie</w:t>
      </w:r>
      <w:r>
        <w:t xml:space="preserve"> (miejsce 101). Spośród polskich uczelni najwyżej uplasował się Uniwersytet Jagielloński (122 miejsce). Spośród uczelni zlokalizowanych na obszarze Wrocławskiego Obszaru funkcjonalnego 3 znalazły się w tym rankingu i były to: Uniwersytet Wrocławski (302 miejsce), Politechnika Wrocławska (322 miejsce), </w:t>
      </w:r>
      <w:r w:rsidRPr="00D05CE3">
        <w:t>Uniwersytet Przyrodniczy we Wrocławiu</w:t>
      </w:r>
      <w:r>
        <w:t xml:space="preserve"> (496 miejsce). Ten ostatni ma stosunkowo wysoki w porównaniu do innych polskich ośrodków akademickich wskaźnik cytowań (CPP na poziomie 4,1). Wrocławskie uczelnie mają stosunkowo niski wskaźnik </w:t>
      </w:r>
      <w:proofErr w:type="spellStart"/>
      <w:r>
        <w:t>partnerstw</w:t>
      </w:r>
      <w:proofErr w:type="spellEnd"/>
      <w:r>
        <w:t xml:space="preserve"> badawczych (18,9 dla Uniwersytetu Przyrodniczego we Wrocławiu, 25,6 dla Politechniki Wrocławskiej i 24,4 dla Uniwersytety Wrocławskiego), podczas gdy najlepsza w tym zestawieniu spośród polskich uczelni Uniwersytet im. Adama Mickiewicza w Poznaniu osiągnął ten wskaźnik na poziomie 70,1, a Uniwersytet Jagielloński na poziomie 70. Najlepiej w tym zestawieniu wypadło Drezno, a Uniwersytet Techniczny osiągnął wartość wskaźnika na poziomie 88,1. </w:t>
      </w:r>
      <w:r w:rsidRPr="00787D28">
        <w:t xml:space="preserve">Międzynarodowa Sieć Badawcza (IRN) jest miarą sukcesu instytucji w tworzeniu i utrzymywaniu </w:t>
      </w:r>
      <w:proofErr w:type="spellStart"/>
      <w:r w:rsidRPr="00787D28">
        <w:t>partnerstw</w:t>
      </w:r>
      <w:proofErr w:type="spellEnd"/>
      <w:r w:rsidRPr="00787D28">
        <w:t xml:space="preserve"> badawczych z instytucjami w innych lokalizacjach. Wskaźnik mierzy, jak różnorodna i </w:t>
      </w:r>
      <w:r w:rsidRPr="00787D28">
        <w:lastRenderedPageBreak/>
        <w:t>bogata jest sieć badawcza instytucji, patrząc na liczbę różnych reprezentowanych krajów i czy te relacje są odnawiane i powtarzane. Bierzemy pod uwagę tylko trwałe partnerstwa, zdefiniowane jako te, które skutkują trzema lub więcej wspólnymi pracami opublikowanymi w okresie pięciu lat.</w:t>
      </w:r>
    </w:p>
    <w:p w:rsidR="003F2B0C" w:rsidRPr="0009144B" w:rsidRDefault="003F2B0C" w:rsidP="003F2B0C">
      <w:pPr>
        <w:pStyle w:val="Legenda"/>
      </w:pPr>
      <w:bookmarkStart w:id="107" w:name="_Toc196867075"/>
      <w:bookmarkStart w:id="108" w:name="_Toc196905087"/>
      <w:r>
        <w:t xml:space="preserve">Tabela </w:t>
      </w:r>
      <w:fldSimple w:instr=" SEQ Tabela \* ARABIC ">
        <w:r w:rsidR="0084338D">
          <w:rPr>
            <w:noProof/>
          </w:rPr>
          <w:t>23</w:t>
        </w:r>
      </w:fldSimple>
      <w:r>
        <w:t xml:space="preserve">. </w:t>
      </w:r>
      <w:r w:rsidRPr="0009144B">
        <w:t xml:space="preserve">Rankingi uniwersytetów QS </w:t>
      </w:r>
      <w:proofErr w:type="spellStart"/>
      <w:r w:rsidRPr="0009144B">
        <w:t>World</w:t>
      </w:r>
      <w:bookmarkEnd w:id="107"/>
      <w:bookmarkEnd w:id="108"/>
      <w:proofErr w:type="spellEnd"/>
    </w:p>
    <w:tbl>
      <w:tblPr>
        <w:tblStyle w:val="Tabela-Siatka"/>
        <w:tblW w:w="10012" w:type="dxa"/>
        <w:tblInd w:w="-714" w:type="dxa"/>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Look w:val="04A0"/>
      </w:tblPr>
      <w:tblGrid>
        <w:gridCol w:w="1534"/>
        <w:gridCol w:w="2786"/>
        <w:gridCol w:w="996"/>
        <w:gridCol w:w="1072"/>
        <w:gridCol w:w="1323"/>
        <w:gridCol w:w="1079"/>
        <w:gridCol w:w="1222"/>
      </w:tblGrid>
      <w:tr w:rsidR="003F2B0C" w:rsidRPr="003E394B" w:rsidTr="0084338D">
        <w:trPr>
          <w:trHeight w:val="20"/>
        </w:trPr>
        <w:tc>
          <w:tcPr>
            <w:tcW w:w="1548" w:type="dxa"/>
            <w:shd w:val="clear" w:color="auto" w:fill="FFC000"/>
            <w:vAlign w:val="center"/>
          </w:tcPr>
          <w:p w:rsidR="003F2B0C" w:rsidRPr="003E394B" w:rsidRDefault="003F2B0C" w:rsidP="0084338D">
            <w:pPr>
              <w:jc w:val="center"/>
              <w:rPr>
                <w:b/>
                <w:bCs/>
                <w:color w:val="000000" w:themeColor="text1"/>
                <w:sz w:val="20"/>
                <w:szCs w:val="20"/>
              </w:rPr>
            </w:pPr>
          </w:p>
        </w:tc>
        <w:tc>
          <w:tcPr>
            <w:tcW w:w="2705" w:type="dxa"/>
            <w:shd w:val="clear" w:color="auto" w:fill="FFC000"/>
            <w:vAlign w:val="center"/>
          </w:tcPr>
          <w:p w:rsidR="003F2B0C" w:rsidRPr="003E394B" w:rsidRDefault="003F2B0C" w:rsidP="0084338D">
            <w:pPr>
              <w:spacing w:after="0" w:line="240" w:lineRule="auto"/>
              <w:jc w:val="center"/>
              <w:rPr>
                <w:b/>
                <w:bCs/>
                <w:color w:val="000000" w:themeColor="text1"/>
                <w:sz w:val="20"/>
                <w:szCs w:val="20"/>
                <w:lang w:val="en-GB"/>
              </w:rPr>
            </w:pPr>
            <w:r w:rsidRPr="003E394B">
              <w:rPr>
                <w:rFonts w:cs="Calibri"/>
                <w:b/>
                <w:bCs/>
                <w:color w:val="000000" w:themeColor="text1"/>
                <w:sz w:val="20"/>
                <w:szCs w:val="20"/>
              </w:rPr>
              <w:t>Uczelnia</w:t>
            </w:r>
          </w:p>
        </w:tc>
        <w:tc>
          <w:tcPr>
            <w:tcW w:w="1005" w:type="dxa"/>
            <w:shd w:val="clear" w:color="auto" w:fill="FFC000"/>
            <w:vAlign w:val="center"/>
          </w:tcPr>
          <w:p w:rsidR="003F2B0C" w:rsidRPr="003E394B" w:rsidRDefault="003F2B0C" w:rsidP="0084338D">
            <w:pPr>
              <w:spacing w:after="0" w:line="240" w:lineRule="auto"/>
              <w:jc w:val="center"/>
              <w:rPr>
                <w:b/>
                <w:bCs/>
                <w:color w:val="000000" w:themeColor="text1"/>
                <w:sz w:val="20"/>
                <w:szCs w:val="20"/>
                <w:lang w:val="en-GB"/>
              </w:rPr>
            </w:pPr>
            <w:r w:rsidRPr="003E394B">
              <w:rPr>
                <w:rFonts w:cs="Calibri"/>
                <w:b/>
                <w:bCs/>
                <w:color w:val="000000" w:themeColor="text1"/>
                <w:sz w:val="20"/>
                <w:szCs w:val="20"/>
              </w:rPr>
              <w:t>Miejsce w rankingu</w:t>
            </w:r>
          </w:p>
        </w:tc>
        <w:tc>
          <w:tcPr>
            <w:tcW w:w="1086" w:type="dxa"/>
            <w:shd w:val="clear" w:color="auto" w:fill="FFC000"/>
            <w:vAlign w:val="center"/>
          </w:tcPr>
          <w:p w:rsidR="003F2B0C" w:rsidRPr="003E394B" w:rsidRDefault="003F2B0C" w:rsidP="0084338D">
            <w:pPr>
              <w:spacing w:after="0" w:line="240" w:lineRule="auto"/>
              <w:jc w:val="center"/>
              <w:rPr>
                <w:b/>
                <w:bCs/>
                <w:color w:val="000000" w:themeColor="text1"/>
                <w:sz w:val="20"/>
                <w:szCs w:val="20"/>
                <w:lang w:val="en-GB"/>
              </w:rPr>
            </w:pPr>
            <w:r w:rsidRPr="003E394B">
              <w:rPr>
                <w:rFonts w:cs="Calibri"/>
                <w:b/>
                <w:bCs/>
                <w:color w:val="000000" w:themeColor="text1"/>
                <w:sz w:val="20"/>
                <w:szCs w:val="20"/>
              </w:rPr>
              <w:t>Wskaźnik cytowań (CPP)</w:t>
            </w:r>
          </w:p>
        </w:tc>
        <w:tc>
          <w:tcPr>
            <w:tcW w:w="1342" w:type="dxa"/>
            <w:shd w:val="clear" w:color="auto" w:fill="FFC000"/>
            <w:vAlign w:val="center"/>
          </w:tcPr>
          <w:p w:rsidR="003F2B0C" w:rsidRPr="003E394B" w:rsidRDefault="003F2B0C" w:rsidP="0084338D">
            <w:pPr>
              <w:spacing w:after="0" w:line="240" w:lineRule="auto"/>
              <w:jc w:val="center"/>
              <w:rPr>
                <w:b/>
                <w:bCs/>
                <w:color w:val="000000" w:themeColor="text1"/>
                <w:sz w:val="20"/>
                <w:szCs w:val="20"/>
                <w:lang w:val="en-GB"/>
              </w:rPr>
            </w:pPr>
            <w:r w:rsidRPr="003E394B">
              <w:rPr>
                <w:rFonts w:cs="Calibri"/>
                <w:b/>
                <w:bCs/>
                <w:color w:val="000000" w:themeColor="text1"/>
                <w:sz w:val="20"/>
                <w:szCs w:val="20"/>
              </w:rPr>
              <w:t xml:space="preserve">Wskaźnik </w:t>
            </w:r>
            <w:proofErr w:type="spellStart"/>
            <w:r w:rsidRPr="003E394B">
              <w:rPr>
                <w:rFonts w:cs="Calibri"/>
                <w:b/>
                <w:bCs/>
                <w:color w:val="000000" w:themeColor="text1"/>
                <w:sz w:val="20"/>
                <w:szCs w:val="20"/>
              </w:rPr>
              <w:t>partnerstw</w:t>
            </w:r>
            <w:proofErr w:type="spellEnd"/>
            <w:r w:rsidRPr="003E394B">
              <w:rPr>
                <w:rFonts w:cs="Calibri"/>
                <w:b/>
                <w:bCs/>
                <w:color w:val="000000" w:themeColor="text1"/>
                <w:sz w:val="20"/>
                <w:szCs w:val="20"/>
              </w:rPr>
              <w:t xml:space="preserve"> badawczych (IRN)</w:t>
            </w:r>
          </w:p>
        </w:tc>
        <w:tc>
          <w:tcPr>
            <w:tcW w:w="1087" w:type="dxa"/>
            <w:shd w:val="clear" w:color="auto" w:fill="FFC000"/>
            <w:vAlign w:val="center"/>
          </w:tcPr>
          <w:p w:rsidR="003F2B0C" w:rsidRPr="003E394B" w:rsidRDefault="003F2B0C" w:rsidP="0084338D">
            <w:pPr>
              <w:spacing w:after="0" w:line="240" w:lineRule="auto"/>
              <w:jc w:val="center"/>
              <w:rPr>
                <w:rFonts w:cs="Calibri"/>
                <w:b/>
                <w:bCs/>
                <w:color w:val="000000" w:themeColor="text1"/>
                <w:sz w:val="20"/>
                <w:szCs w:val="20"/>
              </w:rPr>
            </w:pPr>
            <w:r w:rsidRPr="003E394B">
              <w:rPr>
                <w:rFonts w:cs="Calibri"/>
                <w:b/>
                <w:bCs/>
                <w:color w:val="000000" w:themeColor="text1"/>
                <w:sz w:val="20"/>
                <w:szCs w:val="20"/>
              </w:rPr>
              <w:t>Studenci krajowi</w:t>
            </w:r>
          </w:p>
        </w:tc>
        <w:tc>
          <w:tcPr>
            <w:tcW w:w="1239" w:type="dxa"/>
            <w:shd w:val="clear" w:color="auto" w:fill="FFC000"/>
            <w:vAlign w:val="center"/>
          </w:tcPr>
          <w:p w:rsidR="003F2B0C" w:rsidRPr="003E394B" w:rsidRDefault="003F2B0C" w:rsidP="0084338D">
            <w:pPr>
              <w:spacing w:after="0" w:line="240" w:lineRule="auto"/>
              <w:jc w:val="center"/>
              <w:rPr>
                <w:rFonts w:cs="Calibri"/>
                <w:b/>
                <w:bCs/>
                <w:color w:val="000000" w:themeColor="text1"/>
                <w:sz w:val="20"/>
                <w:szCs w:val="20"/>
              </w:rPr>
            </w:pPr>
            <w:r w:rsidRPr="003E394B">
              <w:rPr>
                <w:rFonts w:cs="Calibri"/>
                <w:b/>
                <w:bCs/>
                <w:color w:val="000000" w:themeColor="text1"/>
                <w:sz w:val="20"/>
                <w:szCs w:val="20"/>
              </w:rPr>
              <w:t>Studenci zagraniczni</w:t>
            </w:r>
          </w:p>
        </w:tc>
      </w:tr>
      <w:tr w:rsidR="003F2B0C" w:rsidRPr="003E394B" w:rsidTr="0084338D">
        <w:trPr>
          <w:trHeight w:val="20"/>
        </w:trPr>
        <w:tc>
          <w:tcPr>
            <w:tcW w:w="1548" w:type="dxa"/>
            <w:vMerge w:val="restart"/>
            <w:shd w:val="clear" w:color="auto" w:fill="FABE00"/>
            <w:vAlign w:val="center"/>
          </w:tcPr>
          <w:p w:rsidR="003F2B0C" w:rsidRPr="003E394B" w:rsidRDefault="003F2B0C" w:rsidP="0084338D">
            <w:pPr>
              <w:jc w:val="center"/>
              <w:rPr>
                <w:b/>
                <w:bCs/>
                <w:color w:val="000000" w:themeColor="text1"/>
                <w:sz w:val="20"/>
                <w:szCs w:val="20"/>
                <w:lang w:val="en-GB"/>
              </w:rPr>
            </w:pPr>
            <w:r w:rsidRPr="003E394B">
              <w:rPr>
                <w:b/>
                <w:bCs/>
                <w:color w:val="000000" w:themeColor="text1"/>
                <w:sz w:val="20"/>
                <w:szCs w:val="20"/>
              </w:rPr>
              <w:t>Wrocławski Obszar Funkcjonalny</w:t>
            </w:r>
          </w:p>
        </w:tc>
        <w:tc>
          <w:tcPr>
            <w:tcW w:w="2705" w:type="dxa"/>
            <w:vAlign w:val="center"/>
          </w:tcPr>
          <w:p w:rsidR="003F2B0C" w:rsidRPr="003E394B" w:rsidRDefault="003F2B0C" w:rsidP="0084338D">
            <w:pPr>
              <w:spacing w:after="0" w:line="240" w:lineRule="auto"/>
              <w:jc w:val="left"/>
              <w:rPr>
                <w:color w:val="000000" w:themeColor="text1"/>
                <w:sz w:val="20"/>
                <w:szCs w:val="20"/>
                <w:lang w:val="en-GB"/>
              </w:rPr>
            </w:pPr>
            <w:r w:rsidRPr="003E394B">
              <w:rPr>
                <w:rFonts w:cs="Calibri"/>
                <w:color w:val="000000" w:themeColor="text1"/>
                <w:sz w:val="20"/>
                <w:szCs w:val="20"/>
              </w:rPr>
              <w:t>Uniwersytet Wrocławski</w:t>
            </w:r>
          </w:p>
        </w:tc>
        <w:tc>
          <w:tcPr>
            <w:tcW w:w="1005"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302</w:t>
            </w:r>
          </w:p>
        </w:tc>
        <w:tc>
          <w:tcPr>
            <w:tcW w:w="1086"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2,4</w:t>
            </w:r>
          </w:p>
        </w:tc>
        <w:tc>
          <w:tcPr>
            <w:tcW w:w="1342"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24,4</w:t>
            </w:r>
          </w:p>
        </w:tc>
        <w:tc>
          <w:tcPr>
            <w:tcW w:w="1087"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92%</w:t>
            </w:r>
          </w:p>
        </w:tc>
        <w:tc>
          <w:tcPr>
            <w:tcW w:w="1239"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8%</w:t>
            </w:r>
          </w:p>
        </w:tc>
      </w:tr>
      <w:tr w:rsidR="003F2B0C" w:rsidRPr="003E394B" w:rsidTr="0084338D">
        <w:trPr>
          <w:trHeight w:val="20"/>
        </w:trPr>
        <w:tc>
          <w:tcPr>
            <w:tcW w:w="1548" w:type="dxa"/>
            <w:vMerge/>
            <w:shd w:val="clear" w:color="auto" w:fill="FABE00"/>
            <w:vAlign w:val="center"/>
          </w:tcPr>
          <w:p w:rsidR="003F2B0C" w:rsidRPr="003E394B" w:rsidRDefault="003F2B0C" w:rsidP="0084338D">
            <w:pPr>
              <w:jc w:val="center"/>
              <w:rPr>
                <w:b/>
                <w:bCs/>
                <w:color w:val="000000" w:themeColor="text1"/>
                <w:sz w:val="20"/>
                <w:szCs w:val="20"/>
              </w:rPr>
            </w:pPr>
          </w:p>
        </w:tc>
        <w:tc>
          <w:tcPr>
            <w:tcW w:w="2705" w:type="dxa"/>
            <w:vAlign w:val="center"/>
          </w:tcPr>
          <w:p w:rsidR="003F2B0C" w:rsidRPr="003E394B" w:rsidRDefault="003F2B0C" w:rsidP="0084338D">
            <w:pPr>
              <w:spacing w:after="0" w:line="240" w:lineRule="auto"/>
              <w:jc w:val="left"/>
              <w:rPr>
                <w:rFonts w:cs="Calibri"/>
                <w:color w:val="000000" w:themeColor="text1"/>
                <w:sz w:val="20"/>
                <w:szCs w:val="20"/>
                <w:lang w:val="en-GB"/>
              </w:rPr>
            </w:pPr>
            <w:proofErr w:type="spellStart"/>
            <w:r w:rsidRPr="003E394B">
              <w:rPr>
                <w:rFonts w:cs="Calibri"/>
                <w:color w:val="000000" w:themeColor="text1"/>
                <w:sz w:val="20"/>
                <w:szCs w:val="20"/>
                <w:lang w:val="en-GB"/>
              </w:rPr>
              <w:t>PolitechnikaWrocławska</w:t>
            </w:r>
            <w:proofErr w:type="spellEnd"/>
          </w:p>
        </w:tc>
        <w:tc>
          <w:tcPr>
            <w:tcW w:w="1005"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322</w:t>
            </w:r>
          </w:p>
        </w:tc>
        <w:tc>
          <w:tcPr>
            <w:tcW w:w="1086"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1,6</w:t>
            </w:r>
          </w:p>
        </w:tc>
        <w:tc>
          <w:tcPr>
            <w:tcW w:w="1342"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25,6</w:t>
            </w:r>
          </w:p>
        </w:tc>
        <w:tc>
          <w:tcPr>
            <w:tcW w:w="1087"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94%</w:t>
            </w:r>
          </w:p>
        </w:tc>
        <w:tc>
          <w:tcPr>
            <w:tcW w:w="1239"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6%</w:t>
            </w:r>
          </w:p>
        </w:tc>
      </w:tr>
      <w:tr w:rsidR="003F2B0C" w:rsidRPr="003E394B" w:rsidTr="0084338D">
        <w:trPr>
          <w:trHeight w:val="20"/>
        </w:trPr>
        <w:tc>
          <w:tcPr>
            <w:tcW w:w="1548" w:type="dxa"/>
            <w:vMerge/>
            <w:shd w:val="clear" w:color="auto" w:fill="FABE00"/>
            <w:vAlign w:val="center"/>
          </w:tcPr>
          <w:p w:rsidR="003F2B0C" w:rsidRPr="003E394B" w:rsidRDefault="003F2B0C" w:rsidP="0084338D">
            <w:pPr>
              <w:jc w:val="center"/>
              <w:rPr>
                <w:b/>
                <w:bCs/>
                <w:color w:val="000000" w:themeColor="text1"/>
                <w:sz w:val="20"/>
                <w:szCs w:val="20"/>
              </w:rPr>
            </w:pPr>
          </w:p>
        </w:tc>
        <w:tc>
          <w:tcPr>
            <w:tcW w:w="2705" w:type="dxa"/>
            <w:vAlign w:val="center"/>
          </w:tcPr>
          <w:p w:rsidR="003F2B0C" w:rsidRPr="003E394B" w:rsidRDefault="003F2B0C" w:rsidP="0084338D">
            <w:pPr>
              <w:spacing w:after="0" w:line="240" w:lineRule="auto"/>
              <w:jc w:val="left"/>
              <w:rPr>
                <w:rFonts w:cs="Calibri"/>
                <w:color w:val="000000" w:themeColor="text1"/>
                <w:sz w:val="20"/>
                <w:szCs w:val="20"/>
              </w:rPr>
            </w:pPr>
            <w:r w:rsidRPr="003E394B">
              <w:rPr>
                <w:rFonts w:cs="Calibri"/>
                <w:color w:val="000000" w:themeColor="text1"/>
                <w:sz w:val="20"/>
                <w:szCs w:val="20"/>
              </w:rPr>
              <w:t>Uniwersytet Przyrodniczy we Wrocławiu</w:t>
            </w:r>
          </w:p>
        </w:tc>
        <w:tc>
          <w:tcPr>
            <w:tcW w:w="1005"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496</w:t>
            </w:r>
          </w:p>
        </w:tc>
        <w:tc>
          <w:tcPr>
            <w:tcW w:w="1086"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4,1</w:t>
            </w:r>
          </w:p>
        </w:tc>
        <w:tc>
          <w:tcPr>
            <w:tcW w:w="1342"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18,9</w:t>
            </w:r>
          </w:p>
        </w:tc>
        <w:tc>
          <w:tcPr>
            <w:tcW w:w="1087" w:type="dxa"/>
            <w:vAlign w:val="center"/>
          </w:tcPr>
          <w:p w:rsidR="003F2B0C" w:rsidRPr="003E394B" w:rsidRDefault="003F2B0C" w:rsidP="0084338D">
            <w:pPr>
              <w:jc w:val="center"/>
              <w:rPr>
                <w:color w:val="000000" w:themeColor="text1"/>
                <w:sz w:val="20"/>
                <w:szCs w:val="20"/>
                <w:lang w:val="en-GB"/>
              </w:rPr>
            </w:pPr>
            <w:proofErr w:type="spellStart"/>
            <w:r>
              <w:rPr>
                <w:color w:val="000000" w:themeColor="text1"/>
                <w:sz w:val="20"/>
                <w:szCs w:val="20"/>
                <w:lang w:val="en-GB"/>
              </w:rPr>
              <w:t>Brak</w:t>
            </w:r>
            <w:proofErr w:type="spellEnd"/>
            <w:r>
              <w:rPr>
                <w:color w:val="000000" w:themeColor="text1"/>
                <w:sz w:val="20"/>
                <w:szCs w:val="20"/>
                <w:lang w:val="en-GB"/>
              </w:rPr>
              <w:t xml:space="preserve"> </w:t>
            </w:r>
            <w:proofErr w:type="spellStart"/>
            <w:r>
              <w:rPr>
                <w:color w:val="000000" w:themeColor="text1"/>
                <w:sz w:val="20"/>
                <w:szCs w:val="20"/>
                <w:lang w:val="en-GB"/>
              </w:rPr>
              <w:t>informacji</w:t>
            </w:r>
            <w:proofErr w:type="spellEnd"/>
          </w:p>
        </w:tc>
        <w:tc>
          <w:tcPr>
            <w:tcW w:w="1239" w:type="dxa"/>
            <w:vAlign w:val="center"/>
          </w:tcPr>
          <w:p w:rsidR="003F2B0C" w:rsidRPr="003E394B" w:rsidRDefault="003F2B0C" w:rsidP="0084338D">
            <w:pPr>
              <w:jc w:val="center"/>
              <w:rPr>
                <w:color w:val="000000" w:themeColor="text1"/>
                <w:sz w:val="20"/>
                <w:szCs w:val="20"/>
                <w:lang w:val="en-GB"/>
              </w:rPr>
            </w:pPr>
            <w:proofErr w:type="spellStart"/>
            <w:r>
              <w:rPr>
                <w:color w:val="000000" w:themeColor="text1"/>
                <w:sz w:val="20"/>
                <w:szCs w:val="20"/>
                <w:lang w:val="en-GB"/>
              </w:rPr>
              <w:t>Brak</w:t>
            </w:r>
            <w:proofErr w:type="spellEnd"/>
            <w:r>
              <w:rPr>
                <w:color w:val="000000" w:themeColor="text1"/>
                <w:sz w:val="20"/>
                <w:szCs w:val="20"/>
                <w:lang w:val="en-GB"/>
              </w:rPr>
              <w:t xml:space="preserve"> </w:t>
            </w:r>
            <w:proofErr w:type="spellStart"/>
            <w:r>
              <w:rPr>
                <w:color w:val="000000" w:themeColor="text1"/>
                <w:sz w:val="20"/>
                <w:szCs w:val="20"/>
                <w:lang w:val="en-GB"/>
              </w:rPr>
              <w:t>informacji</w:t>
            </w:r>
            <w:proofErr w:type="spellEnd"/>
          </w:p>
        </w:tc>
      </w:tr>
      <w:tr w:rsidR="003F2B0C" w:rsidRPr="003E394B" w:rsidTr="0084338D">
        <w:trPr>
          <w:trHeight w:val="20"/>
        </w:trPr>
        <w:tc>
          <w:tcPr>
            <w:tcW w:w="1548" w:type="dxa"/>
            <w:vMerge w:val="restart"/>
            <w:shd w:val="clear" w:color="auto" w:fill="FABE00"/>
            <w:vAlign w:val="center"/>
          </w:tcPr>
          <w:p w:rsidR="003F2B0C" w:rsidRPr="003E394B" w:rsidRDefault="003F2B0C" w:rsidP="0084338D">
            <w:pPr>
              <w:jc w:val="center"/>
              <w:rPr>
                <w:b/>
                <w:bCs/>
                <w:color w:val="000000" w:themeColor="text1"/>
                <w:sz w:val="20"/>
                <w:szCs w:val="20"/>
                <w:lang w:val="en-GB"/>
              </w:rPr>
            </w:pPr>
            <w:r w:rsidRPr="003E394B">
              <w:rPr>
                <w:b/>
                <w:bCs/>
                <w:color w:val="000000" w:themeColor="text1"/>
                <w:sz w:val="20"/>
                <w:szCs w:val="20"/>
              </w:rPr>
              <w:t>Metropolia Krakowska</w:t>
            </w:r>
          </w:p>
        </w:tc>
        <w:tc>
          <w:tcPr>
            <w:tcW w:w="2705" w:type="dxa"/>
            <w:vAlign w:val="center"/>
          </w:tcPr>
          <w:p w:rsidR="003F2B0C" w:rsidRPr="003E394B" w:rsidRDefault="003F2B0C" w:rsidP="0084338D">
            <w:pPr>
              <w:spacing w:after="0" w:line="240" w:lineRule="auto"/>
              <w:jc w:val="left"/>
              <w:rPr>
                <w:color w:val="000000" w:themeColor="text1"/>
                <w:sz w:val="20"/>
                <w:szCs w:val="20"/>
                <w:lang w:val="en-GB"/>
              </w:rPr>
            </w:pPr>
            <w:r w:rsidRPr="003E394B">
              <w:rPr>
                <w:rFonts w:cs="Calibri"/>
                <w:color w:val="000000" w:themeColor="text1"/>
                <w:sz w:val="20"/>
                <w:szCs w:val="20"/>
              </w:rPr>
              <w:t>Uniwersytet Jagielloński w Krakowie</w:t>
            </w:r>
          </w:p>
        </w:tc>
        <w:tc>
          <w:tcPr>
            <w:tcW w:w="1005"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122</w:t>
            </w:r>
          </w:p>
        </w:tc>
        <w:tc>
          <w:tcPr>
            <w:tcW w:w="1086"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5,3</w:t>
            </w:r>
          </w:p>
        </w:tc>
        <w:tc>
          <w:tcPr>
            <w:tcW w:w="1342"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70</w:t>
            </w:r>
          </w:p>
        </w:tc>
        <w:tc>
          <w:tcPr>
            <w:tcW w:w="1087"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88%</w:t>
            </w:r>
          </w:p>
        </w:tc>
        <w:tc>
          <w:tcPr>
            <w:tcW w:w="1239"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12%</w:t>
            </w:r>
          </w:p>
        </w:tc>
      </w:tr>
      <w:tr w:rsidR="003F2B0C" w:rsidRPr="003E394B" w:rsidTr="0084338D">
        <w:trPr>
          <w:trHeight w:val="20"/>
        </w:trPr>
        <w:tc>
          <w:tcPr>
            <w:tcW w:w="1548" w:type="dxa"/>
            <w:vMerge/>
            <w:shd w:val="clear" w:color="auto" w:fill="FABE00"/>
            <w:vAlign w:val="center"/>
          </w:tcPr>
          <w:p w:rsidR="003F2B0C" w:rsidRPr="003E394B" w:rsidRDefault="003F2B0C" w:rsidP="0084338D">
            <w:pPr>
              <w:jc w:val="center"/>
              <w:rPr>
                <w:b/>
                <w:bCs/>
                <w:color w:val="000000" w:themeColor="text1"/>
                <w:sz w:val="20"/>
                <w:szCs w:val="20"/>
              </w:rPr>
            </w:pPr>
          </w:p>
        </w:tc>
        <w:tc>
          <w:tcPr>
            <w:tcW w:w="2705" w:type="dxa"/>
            <w:vAlign w:val="center"/>
          </w:tcPr>
          <w:p w:rsidR="003F2B0C" w:rsidRPr="003E394B" w:rsidRDefault="003F2B0C" w:rsidP="0084338D">
            <w:pPr>
              <w:spacing w:after="0" w:line="240" w:lineRule="auto"/>
              <w:jc w:val="left"/>
              <w:rPr>
                <w:rFonts w:cs="Calibri"/>
                <w:color w:val="000000" w:themeColor="text1"/>
                <w:sz w:val="20"/>
                <w:szCs w:val="20"/>
              </w:rPr>
            </w:pPr>
            <w:r w:rsidRPr="003E394B">
              <w:rPr>
                <w:rFonts w:cs="Calibri"/>
                <w:color w:val="000000" w:themeColor="text1"/>
                <w:sz w:val="20"/>
                <w:szCs w:val="20"/>
              </w:rPr>
              <w:t>Akademia Górniczo-Hutnicza im. Stanisława Staszica w Krakowie</w:t>
            </w:r>
          </w:p>
        </w:tc>
        <w:tc>
          <w:tcPr>
            <w:tcW w:w="1005"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342</w:t>
            </w:r>
          </w:p>
        </w:tc>
        <w:tc>
          <w:tcPr>
            <w:tcW w:w="1086"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1,8</w:t>
            </w:r>
          </w:p>
        </w:tc>
        <w:tc>
          <w:tcPr>
            <w:tcW w:w="1342"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32,2</w:t>
            </w:r>
          </w:p>
        </w:tc>
        <w:tc>
          <w:tcPr>
            <w:tcW w:w="1087"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94%</w:t>
            </w:r>
          </w:p>
        </w:tc>
        <w:tc>
          <w:tcPr>
            <w:tcW w:w="1239"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6%</w:t>
            </w:r>
          </w:p>
        </w:tc>
      </w:tr>
      <w:tr w:rsidR="003F2B0C" w:rsidRPr="003E394B" w:rsidTr="0084338D">
        <w:trPr>
          <w:trHeight w:val="20"/>
        </w:trPr>
        <w:tc>
          <w:tcPr>
            <w:tcW w:w="1548" w:type="dxa"/>
            <w:vMerge/>
            <w:shd w:val="clear" w:color="auto" w:fill="FABE00"/>
            <w:vAlign w:val="center"/>
          </w:tcPr>
          <w:p w:rsidR="003F2B0C" w:rsidRPr="003E394B" w:rsidRDefault="003F2B0C" w:rsidP="0084338D">
            <w:pPr>
              <w:jc w:val="center"/>
              <w:rPr>
                <w:b/>
                <w:bCs/>
                <w:color w:val="000000" w:themeColor="text1"/>
                <w:sz w:val="20"/>
                <w:szCs w:val="20"/>
              </w:rPr>
            </w:pPr>
          </w:p>
        </w:tc>
        <w:tc>
          <w:tcPr>
            <w:tcW w:w="2705" w:type="dxa"/>
            <w:vAlign w:val="center"/>
          </w:tcPr>
          <w:p w:rsidR="003F2B0C" w:rsidRPr="003E394B" w:rsidRDefault="003F2B0C" w:rsidP="0084338D">
            <w:pPr>
              <w:spacing w:after="0" w:line="240" w:lineRule="auto"/>
              <w:jc w:val="left"/>
              <w:rPr>
                <w:rFonts w:cs="Calibri"/>
                <w:color w:val="000000" w:themeColor="text1"/>
                <w:sz w:val="20"/>
                <w:szCs w:val="20"/>
              </w:rPr>
            </w:pPr>
            <w:r w:rsidRPr="003E394B">
              <w:rPr>
                <w:rFonts w:cs="Calibri"/>
                <w:color w:val="000000" w:themeColor="text1"/>
                <w:sz w:val="20"/>
                <w:szCs w:val="20"/>
              </w:rPr>
              <w:t>Politechnika Krakowska</w:t>
            </w:r>
          </w:p>
        </w:tc>
        <w:tc>
          <w:tcPr>
            <w:tcW w:w="1005"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354</w:t>
            </w:r>
          </w:p>
        </w:tc>
        <w:tc>
          <w:tcPr>
            <w:tcW w:w="1086"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1,5</w:t>
            </w:r>
          </w:p>
        </w:tc>
        <w:tc>
          <w:tcPr>
            <w:tcW w:w="1342"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8,5</w:t>
            </w:r>
          </w:p>
        </w:tc>
        <w:tc>
          <w:tcPr>
            <w:tcW w:w="1087"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94%</w:t>
            </w:r>
          </w:p>
        </w:tc>
        <w:tc>
          <w:tcPr>
            <w:tcW w:w="1239"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6%</w:t>
            </w:r>
          </w:p>
        </w:tc>
      </w:tr>
      <w:tr w:rsidR="003F2B0C" w:rsidRPr="003E394B" w:rsidTr="0084338D">
        <w:trPr>
          <w:trHeight w:val="20"/>
        </w:trPr>
        <w:tc>
          <w:tcPr>
            <w:tcW w:w="1548" w:type="dxa"/>
            <w:vMerge w:val="restart"/>
            <w:shd w:val="clear" w:color="auto" w:fill="FABE00"/>
            <w:vAlign w:val="center"/>
          </w:tcPr>
          <w:p w:rsidR="003F2B0C" w:rsidRPr="003E394B" w:rsidRDefault="003F2B0C" w:rsidP="0084338D">
            <w:pPr>
              <w:jc w:val="center"/>
              <w:rPr>
                <w:b/>
                <w:bCs/>
                <w:color w:val="000000" w:themeColor="text1"/>
                <w:sz w:val="20"/>
                <w:szCs w:val="20"/>
                <w:lang w:val="en-GB"/>
              </w:rPr>
            </w:pPr>
            <w:r w:rsidRPr="003E394B">
              <w:rPr>
                <w:b/>
                <w:bCs/>
                <w:color w:val="000000" w:themeColor="text1"/>
                <w:sz w:val="20"/>
                <w:szCs w:val="20"/>
              </w:rPr>
              <w:t>Metropolia Poznańska</w:t>
            </w:r>
          </w:p>
        </w:tc>
        <w:tc>
          <w:tcPr>
            <w:tcW w:w="2705" w:type="dxa"/>
            <w:vAlign w:val="center"/>
          </w:tcPr>
          <w:p w:rsidR="003F2B0C" w:rsidRPr="003E394B" w:rsidRDefault="003F2B0C" w:rsidP="0084338D">
            <w:pPr>
              <w:spacing w:after="0" w:line="240" w:lineRule="auto"/>
              <w:jc w:val="left"/>
              <w:rPr>
                <w:color w:val="000000" w:themeColor="text1"/>
                <w:sz w:val="20"/>
                <w:szCs w:val="20"/>
              </w:rPr>
            </w:pPr>
            <w:r w:rsidRPr="003E394B">
              <w:rPr>
                <w:rFonts w:cs="Calibri"/>
                <w:color w:val="000000" w:themeColor="text1"/>
                <w:sz w:val="20"/>
                <w:szCs w:val="20"/>
              </w:rPr>
              <w:t>Uniwersytet Adama Mickiewicza w Poznaniu</w:t>
            </w:r>
          </w:p>
        </w:tc>
        <w:tc>
          <w:tcPr>
            <w:tcW w:w="1005" w:type="dxa"/>
            <w:vAlign w:val="center"/>
          </w:tcPr>
          <w:p w:rsidR="003F2B0C" w:rsidRPr="003E394B" w:rsidRDefault="003F2B0C" w:rsidP="0084338D">
            <w:pPr>
              <w:jc w:val="center"/>
              <w:rPr>
                <w:color w:val="000000" w:themeColor="text1"/>
                <w:sz w:val="20"/>
                <w:szCs w:val="20"/>
              </w:rPr>
            </w:pPr>
            <w:r w:rsidRPr="003E394B">
              <w:rPr>
                <w:color w:val="000000" w:themeColor="text1"/>
                <w:sz w:val="20"/>
                <w:szCs w:val="20"/>
              </w:rPr>
              <w:t>251</w:t>
            </w:r>
          </w:p>
        </w:tc>
        <w:tc>
          <w:tcPr>
            <w:tcW w:w="1086" w:type="dxa"/>
            <w:vAlign w:val="center"/>
          </w:tcPr>
          <w:p w:rsidR="003F2B0C" w:rsidRPr="003E394B" w:rsidRDefault="003F2B0C" w:rsidP="0084338D">
            <w:pPr>
              <w:jc w:val="center"/>
              <w:rPr>
                <w:color w:val="000000" w:themeColor="text1"/>
                <w:sz w:val="20"/>
                <w:szCs w:val="20"/>
              </w:rPr>
            </w:pPr>
            <w:r w:rsidRPr="003E394B">
              <w:rPr>
                <w:color w:val="000000" w:themeColor="text1"/>
                <w:sz w:val="20"/>
                <w:szCs w:val="20"/>
              </w:rPr>
              <w:t>3,3</w:t>
            </w:r>
          </w:p>
        </w:tc>
        <w:tc>
          <w:tcPr>
            <w:tcW w:w="1342" w:type="dxa"/>
            <w:vAlign w:val="center"/>
          </w:tcPr>
          <w:p w:rsidR="003F2B0C" w:rsidRPr="003E394B" w:rsidRDefault="003F2B0C" w:rsidP="0084338D">
            <w:pPr>
              <w:jc w:val="center"/>
              <w:rPr>
                <w:color w:val="000000" w:themeColor="text1"/>
                <w:sz w:val="20"/>
                <w:szCs w:val="20"/>
              </w:rPr>
            </w:pPr>
            <w:r w:rsidRPr="003E394B">
              <w:rPr>
                <w:color w:val="000000" w:themeColor="text1"/>
                <w:sz w:val="20"/>
                <w:szCs w:val="20"/>
              </w:rPr>
              <w:t>70,1</w:t>
            </w:r>
          </w:p>
        </w:tc>
        <w:tc>
          <w:tcPr>
            <w:tcW w:w="1087" w:type="dxa"/>
            <w:vAlign w:val="center"/>
          </w:tcPr>
          <w:p w:rsidR="003F2B0C" w:rsidRPr="003E394B" w:rsidRDefault="003F2B0C" w:rsidP="0084338D">
            <w:pPr>
              <w:jc w:val="center"/>
              <w:rPr>
                <w:color w:val="000000" w:themeColor="text1"/>
                <w:sz w:val="20"/>
                <w:szCs w:val="20"/>
              </w:rPr>
            </w:pPr>
            <w:r w:rsidRPr="003E394B">
              <w:rPr>
                <w:color w:val="000000" w:themeColor="text1"/>
                <w:sz w:val="20"/>
                <w:szCs w:val="20"/>
              </w:rPr>
              <w:t>92%</w:t>
            </w:r>
          </w:p>
        </w:tc>
        <w:tc>
          <w:tcPr>
            <w:tcW w:w="1239" w:type="dxa"/>
            <w:vAlign w:val="center"/>
          </w:tcPr>
          <w:p w:rsidR="003F2B0C" w:rsidRPr="003E394B" w:rsidRDefault="003F2B0C" w:rsidP="0084338D">
            <w:pPr>
              <w:jc w:val="center"/>
              <w:rPr>
                <w:color w:val="000000" w:themeColor="text1"/>
                <w:sz w:val="20"/>
                <w:szCs w:val="20"/>
              </w:rPr>
            </w:pPr>
            <w:r w:rsidRPr="003E394B">
              <w:rPr>
                <w:color w:val="000000" w:themeColor="text1"/>
                <w:sz w:val="20"/>
                <w:szCs w:val="20"/>
              </w:rPr>
              <w:t>8%</w:t>
            </w:r>
          </w:p>
        </w:tc>
      </w:tr>
      <w:tr w:rsidR="003F2B0C" w:rsidRPr="003E394B" w:rsidTr="0084338D">
        <w:trPr>
          <w:trHeight w:val="20"/>
        </w:trPr>
        <w:tc>
          <w:tcPr>
            <w:tcW w:w="1548" w:type="dxa"/>
            <w:vMerge/>
            <w:shd w:val="clear" w:color="auto" w:fill="FABE00"/>
            <w:vAlign w:val="center"/>
          </w:tcPr>
          <w:p w:rsidR="003F2B0C" w:rsidRPr="003E394B" w:rsidRDefault="003F2B0C" w:rsidP="0084338D">
            <w:pPr>
              <w:jc w:val="center"/>
              <w:rPr>
                <w:b/>
                <w:bCs/>
                <w:color w:val="000000" w:themeColor="text1"/>
                <w:sz w:val="20"/>
                <w:szCs w:val="20"/>
              </w:rPr>
            </w:pPr>
          </w:p>
        </w:tc>
        <w:tc>
          <w:tcPr>
            <w:tcW w:w="2705" w:type="dxa"/>
            <w:vAlign w:val="center"/>
          </w:tcPr>
          <w:p w:rsidR="003F2B0C" w:rsidRPr="003E394B" w:rsidRDefault="003F2B0C" w:rsidP="0084338D">
            <w:pPr>
              <w:spacing w:after="0" w:line="240" w:lineRule="auto"/>
              <w:jc w:val="left"/>
              <w:rPr>
                <w:rFonts w:cs="Calibri"/>
                <w:color w:val="000000" w:themeColor="text1"/>
                <w:sz w:val="20"/>
                <w:szCs w:val="20"/>
              </w:rPr>
            </w:pPr>
            <w:r w:rsidRPr="003E394B">
              <w:rPr>
                <w:rFonts w:cs="Calibri"/>
                <w:color w:val="000000" w:themeColor="text1"/>
                <w:sz w:val="20"/>
                <w:szCs w:val="20"/>
              </w:rPr>
              <w:t>Politechnika Poznańska</w:t>
            </w:r>
          </w:p>
        </w:tc>
        <w:tc>
          <w:tcPr>
            <w:tcW w:w="1005" w:type="dxa"/>
            <w:vAlign w:val="center"/>
          </w:tcPr>
          <w:p w:rsidR="003F2B0C" w:rsidRPr="003E394B" w:rsidRDefault="003F2B0C" w:rsidP="0084338D">
            <w:pPr>
              <w:jc w:val="center"/>
              <w:rPr>
                <w:color w:val="000000" w:themeColor="text1"/>
                <w:sz w:val="20"/>
                <w:szCs w:val="20"/>
              </w:rPr>
            </w:pPr>
            <w:r w:rsidRPr="003E394B">
              <w:rPr>
                <w:color w:val="000000" w:themeColor="text1"/>
                <w:sz w:val="20"/>
                <w:szCs w:val="20"/>
              </w:rPr>
              <w:t>418</w:t>
            </w:r>
          </w:p>
        </w:tc>
        <w:tc>
          <w:tcPr>
            <w:tcW w:w="1086" w:type="dxa"/>
            <w:vAlign w:val="center"/>
          </w:tcPr>
          <w:p w:rsidR="003F2B0C" w:rsidRPr="003E394B" w:rsidRDefault="003F2B0C" w:rsidP="0084338D">
            <w:pPr>
              <w:jc w:val="center"/>
              <w:rPr>
                <w:color w:val="000000" w:themeColor="text1"/>
                <w:sz w:val="20"/>
                <w:szCs w:val="20"/>
              </w:rPr>
            </w:pPr>
            <w:r w:rsidRPr="003E394B">
              <w:rPr>
                <w:color w:val="000000" w:themeColor="text1"/>
                <w:sz w:val="20"/>
                <w:szCs w:val="20"/>
              </w:rPr>
              <w:t>3</w:t>
            </w:r>
          </w:p>
        </w:tc>
        <w:tc>
          <w:tcPr>
            <w:tcW w:w="1342" w:type="dxa"/>
            <w:vAlign w:val="center"/>
          </w:tcPr>
          <w:p w:rsidR="003F2B0C" w:rsidRPr="003E394B" w:rsidRDefault="003F2B0C" w:rsidP="0084338D">
            <w:pPr>
              <w:jc w:val="center"/>
              <w:rPr>
                <w:color w:val="000000" w:themeColor="text1"/>
                <w:sz w:val="20"/>
                <w:szCs w:val="20"/>
              </w:rPr>
            </w:pPr>
            <w:r w:rsidRPr="003E394B">
              <w:rPr>
                <w:color w:val="000000" w:themeColor="text1"/>
                <w:sz w:val="20"/>
                <w:szCs w:val="20"/>
              </w:rPr>
              <w:t>20,3</w:t>
            </w:r>
          </w:p>
        </w:tc>
        <w:tc>
          <w:tcPr>
            <w:tcW w:w="1087" w:type="dxa"/>
            <w:vAlign w:val="center"/>
          </w:tcPr>
          <w:p w:rsidR="003F2B0C" w:rsidRPr="003E394B" w:rsidRDefault="003F2B0C" w:rsidP="0084338D">
            <w:pPr>
              <w:jc w:val="center"/>
              <w:rPr>
                <w:color w:val="000000" w:themeColor="text1"/>
                <w:sz w:val="20"/>
                <w:szCs w:val="20"/>
              </w:rPr>
            </w:pPr>
            <w:r w:rsidRPr="003E394B">
              <w:rPr>
                <w:color w:val="000000" w:themeColor="text1"/>
                <w:sz w:val="20"/>
                <w:szCs w:val="20"/>
              </w:rPr>
              <w:t>94%</w:t>
            </w:r>
          </w:p>
        </w:tc>
        <w:tc>
          <w:tcPr>
            <w:tcW w:w="1239" w:type="dxa"/>
            <w:vAlign w:val="center"/>
          </w:tcPr>
          <w:p w:rsidR="003F2B0C" w:rsidRPr="003E394B" w:rsidRDefault="003F2B0C" w:rsidP="0084338D">
            <w:pPr>
              <w:jc w:val="center"/>
              <w:rPr>
                <w:color w:val="000000" w:themeColor="text1"/>
                <w:sz w:val="20"/>
                <w:szCs w:val="20"/>
              </w:rPr>
            </w:pPr>
            <w:r w:rsidRPr="003E394B">
              <w:rPr>
                <w:color w:val="000000" w:themeColor="text1"/>
                <w:sz w:val="20"/>
                <w:szCs w:val="20"/>
              </w:rPr>
              <w:t>6%</w:t>
            </w:r>
          </w:p>
        </w:tc>
      </w:tr>
      <w:tr w:rsidR="003F2B0C" w:rsidRPr="003E394B" w:rsidTr="0084338D">
        <w:trPr>
          <w:trHeight w:val="20"/>
        </w:trPr>
        <w:tc>
          <w:tcPr>
            <w:tcW w:w="1548" w:type="dxa"/>
            <w:vMerge/>
            <w:shd w:val="clear" w:color="auto" w:fill="FABE00"/>
            <w:vAlign w:val="center"/>
          </w:tcPr>
          <w:p w:rsidR="003F2B0C" w:rsidRPr="003E394B" w:rsidRDefault="003F2B0C" w:rsidP="0084338D">
            <w:pPr>
              <w:jc w:val="center"/>
              <w:rPr>
                <w:b/>
                <w:bCs/>
                <w:color w:val="000000" w:themeColor="text1"/>
                <w:sz w:val="20"/>
                <w:szCs w:val="20"/>
              </w:rPr>
            </w:pPr>
          </w:p>
        </w:tc>
        <w:tc>
          <w:tcPr>
            <w:tcW w:w="2705" w:type="dxa"/>
            <w:vAlign w:val="center"/>
          </w:tcPr>
          <w:p w:rsidR="003F2B0C" w:rsidRPr="003E394B" w:rsidRDefault="003F2B0C" w:rsidP="0084338D">
            <w:pPr>
              <w:spacing w:after="0" w:line="240" w:lineRule="auto"/>
              <w:jc w:val="left"/>
              <w:rPr>
                <w:rFonts w:cs="Calibri"/>
                <w:color w:val="000000" w:themeColor="text1"/>
                <w:sz w:val="20"/>
                <w:szCs w:val="20"/>
              </w:rPr>
            </w:pPr>
            <w:r w:rsidRPr="003E394B">
              <w:rPr>
                <w:rFonts w:cs="Calibri"/>
                <w:color w:val="000000" w:themeColor="text1"/>
                <w:sz w:val="20"/>
                <w:szCs w:val="20"/>
              </w:rPr>
              <w:t>Uniwersytet Ekonomiczny w Poznaniu</w:t>
            </w:r>
          </w:p>
        </w:tc>
        <w:tc>
          <w:tcPr>
            <w:tcW w:w="1005"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462</w:t>
            </w:r>
          </w:p>
        </w:tc>
        <w:tc>
          <w:tcPr>
            <w:tcW w:w="1086"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4,8</w:t>
            </w:r>
          </w:p>
        </w:tc>
        <w:tc>
          <w:tcPr>
            <w:tcW w:w="1342"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2,4</w:t>
            </w:r>
          </w:p>
        </w:tc>
        <w:tc>
          <w:tcPr>
            <w:tcW w:w="1087" w:type="dxa"/>
            <w:vAlign w:val="center"/>
          </w:tcPr>
          <w:p w:rsidR="003F2B0C" w:rsidRPr="003E394B" w:rsidRDefault="003F2B0C" w:rsidP="0084338D">
            <w:pPr>
              <w:jc w:val="center"/>
              <w:rPr>
                <w:color w:val="000000" w:themeColor="text1"/>
                <w:sz w:val="20"/>
                <w:szCs w:val="20"/>
                <w:lang w:val="en-GB"/>
              </w:rPr>
            </w:pPr>
            <w:proofErr w:type="spellStart"/>
            <w:r>
              <w:rPr>
                <w:color w:val="000000" w:themeColor="text1"/>
                <w:sz w:val="20"/>
                <w:szCs w:val="20"/>
                <w:lang w:val="en-GB"/>
              </w:rPr>
              <w:t>Brak</w:t>
            </w:r>
            <w:proofErr w:type="spellEnd"/>
            <w:r>
              <w:rPr>
                <w:color w:val="000000" w:themeColor="text1"/>
                <w:sz w:val="20"/>
                <w:szCs w:val="20"/>
                <w:lang w:val="en-GB"/>
              </w:rPr>
              <w:t xml:space="preserve"> </w:t>
            </w:r>
            <w:proofErr w:type="spellStart"/>
            <w:r>
              <w:rPr>
                <w:color w:val="000000" w:themeColor="text1"/>
                <w:sz w:val="20"/>
                <w:szCs w:val="20"/>
                <w:lang w:val="en-GB"/>
              </w:rPr>
              <w:t>informacji</w:t>
            </w:r>
            <w:proofErr w:type="spellEnd"/>
          </w:p>
        </w:tc>
        <w:tc>
          <w:tcPr>
            <w:tcW w:w="1239" w:type="dxa"/>
            <w:vAlign w:val="center"/>
          </w:tcPr>
          <w:p w:rsidR="003F2B0C" w:rsidRPr="003E394B" w:rsidRDefault="003F2B0C" w:rsidP="0084338D">
            <w:pPr>
              <w:jc w:val="center"/>
              <w:rPr>
                <w:color w:val="000000" w:themeColor="text1"/>
                <w:sz w:val="20"/>
                <w:szCs w:val="20"/>
                <w:lang w:val="en-GB"/>
              </w:rPr>
            </w:pPr>
            <w:proofErr w:type="spellStart"/>
            <w:r>
              <w:rPr>
                <w:color w:val="000000" w:themeColor="text1"/>
                <w:sz w:val="20"/>
                <w:szCs w:val="20"/>
                <w:lang w:val="en-GB"/>
              </w:rPr>
              <w:t>Brak</w:t>
            </w:r>
            <w:proofErr w:type="spellEnd"/>
            <w:r>
              <w:rPr>
                <w:color w:val="000000" w:themeColor="text1"/>
                <w:sz w:val="20"/>
                <w:szCs w:val="20"/>
                <w:lang w:val="en-GB"/>
              </w:rPr>
              <w:t xml:space="preserve"> </w:t>
            </w:r>
            <w:proofErr w:type="spellStart"/>
            <w:r>
              <w:rPr>
                <w:color w:val="000000" w:themeColor="text1"/>
                <w:sz w:val="20"/>
                <w:szCs w:val="20"/>
                <w:lang w:val="en-GB"/>
              </w:rPr>
              <w:t>informacji</w:t>
            </w:r>
            <w:proofErr w:type="spellEnd"/>
          </w:p>
        </w:tc>
      </w:tr>
      <w:tr w:rsidR="003F2B0C" w:rsidRPr="003E394B" w:rsidTr="0084338D">
        <w:trPr>
          <w:trHeight w:val="20"/>
        </w:trPr>
        <w:tc>
          <w:tcPr>
            <w:tcW w:w="1548" w:type="dxa"/>
            <w:vMerge/>
            <w:shd w:val="clear" w:color="auto" w:fill="FABE00"/>
            <w:vAlign w:val="center"/>
          </w:tcPr>
          <w:p w:rsidR="003F2B0C" w:rsidRPr="003E394B" w:rsidRDefault="003F2B0C" w:rsidP="0084338D">
            <w:pPr>
              <w:jc w:val="center"/>
              <w:rPr>
                <w:b/>
                <w:bCs/>
                <w:color w:val="000000" w:themeColor="text1"/>
                <w:sz w:val="20"/>
                <w:szCs w:val="20"/>
              </w:rPr>
            </w:pPr>
          </w:p>
        </w:tc>
        <w:tc>
          <w:tcPr>
            <w:tcW w:w="2705" w:type="dxa"/>
            <w:vAlign w:val="center"/>
          </w:tcPr>
          <w:p w:rsidR="003F2B0C" w:rsidRPr="003E394B" w:rsidRDefault="003F2B0C" w:rsidP="0084338D">
            <w:pPr>
              <w:spacing w:after="0" w:line="240" w:lineRule="auto"/>
              <w:jc w:val="left"/>
              <w:rPr>
                <w:rFonts w:cs="Calibri"/>
                <w:color w:val="000000" w:themeColor="text1"/>
                <w:sz w:val="20"/>
                <w:szCs w:val="20"/>
              </w:rPr>
            </w:pPr>
            <w:r w:rsidRPr="003E394B">
              <w:rPr>
                <w:rFonts w:cs="Calibri"/>
                <w:color w:val="000000" w:themeColor="text1"/>
                <w:sz w:val="20"/>
                <w:szCs w:val="20"/>
              </w:rPr>
              <w:t>Uniwersytet Przyrodniczy w Poznaniu</w:t>
            </w:r>
          </w:p>
        </w:tc>
        <w:tc>
          <w:tcPr>
            <w:tcW w:w="1005"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468</w:t>
            </w:r>
          </w:p>
        </w:tc>
        <w:tc>
          <w:tcPr>
            <w:tcW w:w="1086"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6,9</w:t>
            </w:r>
          </w:p>
        </w:tc>
        <w:tc>
          <w:tcPr>
            <w:tcW w:w="1342"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9</w:t>
            </w:r>
          </w:p>
        </w:tc>
        <w:tc>
          <w:tcPr>
            <w:tcW w:w="1087"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92%</w:t>
            </w:r>
          </w:p>
        </w:tc>
        <w:tc>
          <w:tcPr>
            <w:tcW w:w="1239"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8%</w:t>
            </w:r>
          </w:p>
        </w:tc>
      </w:tr>
      <w:tr w:rsidR="003F2B0C" w:rsidRPr="003E394B" w:rsidTr="0084338D">
        <w:trPr>
          <w:trHeight w:val="20"/>
        </w:trPr>
        <w:tc>
          <w:tcPr>
            <w:tcW w:w="1548" w:type="dxa"/>
            <w:vMerge/>
            <w:shd w:val="clear" w:color="auto" w:fill="FABE00"/>
            <w:vAlign w:val="center"/>
          </w:tcPr>
          <w:p w:rsidR="003F2B0C" w:rsidRPr="003E394B" w:rsidRDefault="003F2B0C" w:rsidP="0084338D">
            <w:pPr>
              <w:jc w:val="center"/>
              <w:rPr>
                <w:b/>
                <w:bCs/>
                <w:color w:val="000000" w:themeColor="text1"/>
                <w:sz w:val="20"/>
                <w:szCs w:val="20"/>
              </w:rPr>
            </w:pPr>
          </w:p>
        </w:tc>
        <w:tc>
          <w:tcPr>
            <w:tcW w:w="2705" w:type="dxa"/>
            <w:vAlign w:val="center"/>
          </w:tcPr>
          <w:p w:rsidR="003F2B0C" w:rsidRPr="003E394B" w:rsidRDefault="003F2B0C" w:rsidP="0084338D">
            <w:pPr>
              <w:spacing w:after="0" w:line="240" w:lineRule="auto"/>
              <w:jc w:val="left"/>
              <w:rPr>
                <w:rFonts w:cs="Calibri"/>
                <w:color w:val="000000" w:themeColor="text1"/>
                <w:sz w:val="20"/>
                <w:szCs w:val="20"/>
              </w:rPr>
            </w:pPr>
            <w:r w:rsidRPr="003E394B">
              <w:rPr>
                <w:rFonts w:cs="Calibri"/>
                <w:color w:val="000000" w:themeColor="text1"/>
                <w:sz w:val="20"/>
                <w:szCs w:val="20"/>
              </w:rPr>
              <w:t>Wyższa Szkoła Bankowości w Poznaniu</w:t>
            </w:r>
          </w:p>
        </w:tc>
        <w:tc>
          <w:tcPr>
            <w:tcW w:w="1005"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601</w:t>
            </w:r>
          </w:p>
        </w:tc>
        <w:tc>
          <w:tcPr>
            <w:tcW w:w="1086"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2,1</w:t>
            </w:r>
          </w:p>
        </w:tc>
        <w:tc>
          <w:tcPr>
            <w:tcW w:w="1342"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1</w:t>
            </w:r>
          </w:p>
        </w:tc>
        <w:tc>
          <w:tcPr>
            <w:tcW w:w="1087" w:type="dxa"/>
            <w:vAlign w:val="center"/>
          </w:tcPr>
          <w:p w:rsidR="003F2B0C" w:rsidRPr="003E394B" w:rsidRDefault="003F2B0C" w:rsidP="0084338D">
            <w:pPr>
              <w:jc w:val="center"/>
              <w:rPr>
                <w:color w:val="000000" w:themeColor="text1"/>
                <w:sz w:val="20"/>
                <w:szCs w:val="20"/>
                <w:lang w:val="en-GB"/>
              </w:rPr>
            </w:pPr>
            <w:proofErr w:type="spellStart"/>
            <w:r>
              <w:rPr>
                <w:color w:val="000000" w:themeColor="text1"/>
                <w:sz w:val="20"/>
                <w:szCs w:val="20"/>
                <w:lang w:val="en-GB"/>
              </w:rPr>
              <w:t>Brak</w:t>
            </w:r>
            <w:proofErr w:type="spellEnd"/>
            <w:r>
              <w:rPr>
                <w:color w:val="000000" w:themeColor="text1"/>
                <w:sz w:val="20"/>
                <w:szCs w:val="20"/>
                <w:lang w:val="en-GB"/>
              </w:rPr>
              <w:t xml:space="preserve"> </w:t>
            </w:r>
            <w:proofErr w:type="spellStart"/>
            <w:r>
              <w:rPr>
                <w:color w:val="000000" w:themeColor="text1"/>
                <w:sz w:val="20"/>
                <w:szCs w:val="20"/>
                <w:lang w:val="en-GB"/>
              </w:rPr>
              <w:t>informacji</w:t>
            </w:r>
            <w:proofErr w:type="spellEnd"/>
          </w:p>
        </w:tc>
        <w:tc>
          <w:tcPr>
            <w:tcW w:w="1239" w:type="dxa"/>
            <w:vAlign w:val="center"/>
          </w:tcPr>
          <w:p w:rsidR="003F2B0C" w:rsidRPr="003E394B" w:rsidRDefault="003F2B0C" w:rsidP="0084338D">
            <w:pPr>
              <w:jc w:val="center"/>
              <w:rPr>
                <w:color w:val="000000" w:themeColor="text1"/>
                <w:sz w:val="20"/>
                <w:szCs w:val="20"/>
                <w:lang w:val="en-GB"/>
              </w:rPr>
            </w:pPr>
            <w:proofErr w:type="spellStart"/>
            <w:r>
              <w:rPr>
                <w:color w:val="000000" w:themeColor="text1"/>
                <w:sz w:val="20"/>
                <w:szCs w:val="20"/>
                <w:lang w:val="en-GB"/>
              </w:rPr>
              <w:t>Brak</w:t>
            </w:r>
            <w:proofErr w:type="spellEnd"/>
            <w:r>
              <w:rPr>
                <w:color w:val="000000" w:themeColor="text1"/>
                <w:sz w:val="20"/>
                <w:szCs w:val="20"/>
                <w:lang w:val="en-GB"/>
              </w:rPr>
              <w:t xml:space="preserve"> </w:t>
            </w:r>
            <w:proofErr w:type="spellStart"/>
            <w:r>
              <w:rPr>
                <w:color w:val="000000" w:themeColor="text1"/>
                <w:sz w:val="20"/>
                <w:szCs w:val="20"/>
                <w:lang w:val="en-GB"/>
              </w:rPr>
              <w:t>informacji</w:t>
            </w:r>
            <w:proofErr w:type="spellEnd"/>
          </w:p>
        </w:tc>
      </w:tr>
      <w:tr w:rsidR="003F2B0C" w:rsidRPr="003E394B" w:rsidTr="0084338D">
        <w:trPr>
          <w:trHeight w:val="20"/>
        </w:trPr>
        <w:tc>
          <w:tcPr>
            <w:tcW w:w="1548" w:type="dxa"/>
            <w:vMerge w:val="restart"/>
            <w:shd w:val="clear" w:color="auto" w:fill="FABE00"/>
            <w:vAlign w:val="center"/>
          </w:tcPr>
          <w:p w:rsidR="003F2B0C" w:rsidRPr="003E394B" w:rsidRDefault="003F2B0C" w:rsidP="0084338D">
            <w:pPr>
              <w:jc w:val="center"/>
              <w:rPr>
                <w:b/>
                <w:bCs/>
                <w:color w:val="000000" w:themeColor="text1"/>
                <w:sz w:val="20"/>
                <w:szCs w:val="20"/>
                <w:lang w:val="en-GB"/>
              </w:rPr>
            </w:pPr>
            <w:r w:rsidRPr="003E394B">
              <w:rPr>
                <w:b/>
                <w:bCs/>
                <w:color w:val="000000" w:themeColor="text1"/>
                <w:sz w:val="20"/>
                <w:szCs w:val="20"/>
              </w:rPr>
              <w:t>Brneński Obszar Metropolitalny</w:t>
            </w:r>
          </w:p>
        </w:tc>
        <w:tc>
          <w:tcPr>
            <w:tcW w:w="2705" w:type="dxa"/>
            <w:vAlign w:val="center"/>
          </w:tcPr>
          <w:p w:rsidR="003F2B0C" w:rsidRPr="003E394B" w:rsidRDefault="003F2B0C" w:rsidP="0084338D">
            <w:pPr>
              <w:spacing w:after="0" w:line="240" w:lineRule="auto"/>
              <w:jc w:val="left"/>
              <w:rPr>
                <w:color w:val="000000" w:themeColor="text1"/>
                <w:sz w:val="20"/>
                <w:szCs w:val="20"/>
                <w:lang w:val="en-GB"/>
              </w:rPr>
            </w:pPr>
            <w:r w:rsidRPr="003E394B">
              <w:rPr>
                <w:rFonts w:cs="Calibri"/>
                <w:color w:val="000000" w:themeColor="text1"/>
                <w:sz w:val="20"/>
                <w:szCs w:val="20"/>
              </w:rPr>
              <w:t xml:space="preserve">Masaryk </w:t>
            </w:r>
            <w:proofErr w:type="spellStart"/>
            <w:r w:rsidRPr="003E394B">
              <w:rPr>
                <w:rFonts w:cs="Calibri"/>
                <w:color w:val="000000" w:themeColor="text1"/>
                <w:sz w:val="20"/>
                <w:szCs w:val="20"/>
              </w:rPr>
              <w:t>University</w:t>
            </w:r>
            <w:proofErr w:type="spellEnd"/>
            <w:r w:rsidRPr="003E394B">
              <w:rPr>
                <w:rFonts w:cs="Calibri"/>
                <w:color w:val="000000" w:themeColor="text1"/>
                <w:sz w:val="20"/>
                <w:szCs w:val="20"/>
              </w:rPr>
              <w:t xml:space="preserve"> w Brnie</w:t>
            </w:r>
          </w:p>
        </w:tc>
        <w:tc>
          <w:tcPr>
            <w:tcW w:w="1005"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161</w:t>
            </w:r>
          </w:p>
        </w:tc>
        <w:tc>
          <w:tcPr>
            <w:tcW w:w="1086"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15,9</w:t>
            </w:r>
          </w:p>
        </w:tc>
        <w:tc>
          <w:tcPr>
            <w:tcW w:w="1342"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68</w:t>
            </w:r>
          </w:p>
        </w:tc>
        <w:tc>
          <w:tcPr>
            <w:tcW w:w="1087"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74%</w:t>
            </w:r>
          </w:p>
        </w:tc>
        <w:tc>
          <w:tcPr>
            <w:tcW w:w="1239"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26%</w:t>
            </w:r>
          </w:p>
        </w:tc>
      </w:tr>
      <w:tr w:rsidR="003F2B0C" w:rsidRPr="003E394B" w:rsidTr="0084338D">
        <w:trPr>
          <w:trHeight w:val="20"/>
        </w:trPr>
        <w:tc>
          <w:tcPr>
            <w:tcW w:w="1548" w:type="dxa"/>
            <w:vMerge/>
            <w:shd w:val="clear" w:color="auto" w:fill="FABE00"/>
            <w:vAlign w:val="center"/>
          </w:tcPr>
          <w:p w:rsidR="003F2B0C" w:rsidRPr="003E394B" w:rsidRDefault="003F2B0C" w:rsidP="0084338D">
            <w:pPr>
              <w:jc w:val="center"/>
              <w:rPr>
                <w:b/>
                <w:bCs/>
                <w:color w:val="000000" w:themeColor="text1"/>
                <w:sz w:val="20"/>
                <w:szCs w:val="20"/>
              </w:rPr>
            </w:pPr>
          </w:p>
        </w:tc>
        <w:tc>
          <w:tcPr>
            <w:tcW w:w="2705" w:type="dxa"/>
            <w:vAlign w:val="center"/>
          </w:tcPr>
          <w:p w:rsidR="003F2B0C" w:rsidRPr="003E394B" w:rsidRDefault="003F2B0C" w:rsidP="0084338D">
            <w:pPr>
              <w:spacing w:after="0" w:line="240" w:lineRule="auto"/>
              <w:jc w:val="left"/>
              <w:rPr>
                <w:color w:val="000000" w:themeColor="text1"/>
                <w:sz w:val="20"/>
                <w:szCs w:val="20"/>
                <w:lang w:val="en-GB"/>
              </w:rPr>
            </w:pPr>
            <w:r w:rsidRPr="003E394B">
              <w:rPr>
                <w:rFonts w:cs="Calibri"/>
                <w:color w:val="000000" w:themeColor="text1"/>
                <w:sz w:val="20"/>
                <w:szCs w:val="20"/>
              </w:rPr>
              <w:t>Uniwersytet Techniczny w Brnie</w:t>
            </w:r>
          </w:p>
        </w:tc>
        <w:tc>
          <w:tcPr>
            <w:tcW w:w="1005"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216</w:t>
            </w:r>
          </w:p>
        </w:tc>
        <w:tc>
          <w:tcPr>
            <w:tcW w:w="1086"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2,4</w:t>
            </w:r>
          </w:p>
        </w:tc>
        <w:tc>
          <w:tcPr>
            <w:tcW w:w="1342"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55,8</w:t>
            </w:r>
          </w:p>
        </w:tc>
        <w:tc>
          <w:tcPr>
            <w:tcW w:w="1087"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74%</w:t>
            </w:r>
          </w:p>
        </w:tc>
        <w:tc>
          <w:tcPr>
            <w:tcW w:w="1239"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26%</w:t>
            </w:r>
          </w:p>
        </w:tc>
      </w:tr>
      <w:tr w:rsidR="003F2B0C" w:rsidRPr="003E394B" w:rsidTr="0084338D">
        <w:trPr>
          <w:trHeight w:val="20"/>
        </w:trPr>
        <w:tc>
          <w:tcPr>
            <w:tcW w:w="1548" w:type="dxa"/>
            <w:vMerge/>
            <w:shd w:val="clear" w:color="auto" w:fill="FABE00"/>
            <w:vAlign w:val="center"/>
          </w:tcPr>
          <w:p w:rsidR="003F2B0C" w:rsidRPr="003E394B" w:rsidRDefault="003F2B0C" w:rsidP="0084338D">
            <w:pPr>
              <w:jc w:val="center"/>
              <w:rPr>
                <w:b/>
                <w:bCs/>
                <w:color w:val="000000" w:themeColor="text1"/>
                <w:sz w:val="20"/>
                <w:szCs w:val="20"/>
              </w:rPr>
            </w:pPr>
          </w:p>
        </w:tc>
        <w:tc>
          <w:tcPr>
            <w:tcW w:w="2705" w:type="dxa"/>
            <w:vAlign w:val="center"/>
          </w:tcPr>
          <w:p w:rsidR="003F2B0C" w:rsidRPr="003E394B" w:rsidRDefault="003F2B0C" w:rsidP="0084338D">
            <w:pPr>
              <w:spacing w:after="0" w:line="240" w:lineRule="auto"/>
              <w:jc w:val="left"/>
              <w:rPr>
                <w:rFonts w:cs="Calibri"/>
                <w:color w:val="000000" w:themeColor="text1"/>
                <w:sz w:val="20"/>
                <w:szCs w:val="20"/>
              </w:rPr>
            </w:pPr>
            <w:r w:rsidRPr="003E394B">
              <w:rPr>
                <w:rFonts w:cs="Calibri"/>
                <w:color w:val="000000" w:themeColor="text1"/>
                <w:sz w:val="20"/>
                <w:szCs w:val="20"/>
              </w:rPr>
              <w:t xml:space="preserve">Mendel </w:t>
            </w:r>
            <w:proofErr w:type="spellStart"/>
            <w:r w:rsidRPr="003E394B">
              <w:rPr>
                <w:rFonts w:cs="Calibri"/>
                <w:color w:val="000000" w:themeColor="text1"/>
                <w:sz w:val="20"/>
                <w:szCs w:val="20"/>
              </w:rPr>
              <w:t>University</w:t>
            </w:r>
            <w:proofErr w:type="spellEnd"/>
            <w:r w:rsidRPr="003E394B">
              <w:rPr>
                <w:rFonts w:cs="Calibri"/>
                <w:color w:val="000000" w:themeColor="text1"/>
                <w:sz w:val="20"/>
                <w:szCs w:val="20"/>
              </w:rPr>
              <w:t xml:space="preserve"> </w:t>
            </w:r>
            <w:proofErr w:type="spellStart"/>
            <w:r w:rsidRPr="003E394B">
              <w:rPr>
                <w:rFonts w:cs="Calibri"/>
                <w:color w:val="000000" w:themeColor="text1"/>
                <w:sz w:val="20"/>
                <w:szCs w:val="20"/>
              </w:rPr>
              <w:t>in</w:t>
            </w:r>
            <w:proofErr w:type="spellEnd"/>
            <w:r w:rsidRPr="003E394B">
              <w:rPr>
                <w:rFonts w:cs="Calibri"/>
                <w:color w:val="000000" w:themeColor="text1"/>
                <w:sz w:val="20"/>
                <w:szCs w:val="20"/>
              </w:rPr>
              <w:t xml:space="preserve"> Brno</w:t>
            </w:r>
          </w:p>
        </w:tc>
        <w:tc>
          <w:tcPr>
            <w:tcW w:w="1005"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336</w:t>
            </w:r>
          </w:p>
        </w:tc>
        <w:tc>
          <w:tcPr>
            <w:tcW w:w="1086"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4,3</w:t>
            </w:r>
          </w:p>
        </w:tc>
        <w:tc>
          <w:tcPr>
            <w:tcW w:w="1342"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32,1</w:t>
            </w:r>
          </w:p>
        </w:tc>
        <w:tc>
          <w:tcPr>
            <w:tcW w:w="1087"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83%</w:t>
            </w:r>
          </w:p>
        </w:tc>
        <w:tc>
          <w:tcPr>
            <w:tcW w:w="1239"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17%</w:t>
            </w:r>
          </w:p>
        </w:tc>
      </w:tr>
      <w:tr w:rsidR="003F2B0C" w:rsidRPr="003E394B" w:rsidTr="0084338D">
        <w:trPr>
          <w:trHeight w:val="20"/>
        </w:trPr>
        <w:tc>
          <w:tcPr>
            <w:tcW w:w="1548" w:type="dxa"/>
            <w:shd w:val="clear" w:color="auto" w:fill="FABE00"/>
            <w:vAlign w:val="center"/>
          </w:tcPr>
          <w:p w:rsidR="003F2B0C" w:rsidRPr="003E394B" w:rsidRDefault="003F2B0C" w:rsidP="0084338D">
            <w:pPr>
              <w:jc w:val="center"/>
              <w:rPr>
                <w:b/>
                <w:bCs/>
                <w:color w:val="000000" w:themeColor="text1"/>
                <w:sz w:val="20"/>
                <w:szCs w:val="20"/>
                <w:lang w:val="en-GB"/>
              </w:rPr>
            </w:pPr>
            <w:r>
              <w:rPr>
                <w:b/>
                <w:bCs/>
                <w:color w:val="000000" w:themeColor="text1"/>
                <w:sz w:val="20"/>
                <w:szCs w:val="20"/>
              </w:rPr>
              <w:t>Aglomeracja Drezna</w:t>
            </w:r>
          </w:p>
        </w:tc>
        <w:tc>
          <w:tcPr>
            <w:tcW w:w="2705" w:type="dxa"/>
            <w:vAlign w:val="center"/>
          </w:tcPr>
          <w:p w:rsidR="003F2B0C" w:rsidRPr="003E394B" w:rsidRDefault="003F2B0C" w:rsidP="0084338D">
            <w:pPr>
              <w:spacing w:after="0" w:line="240" w:lineRule="auto"/>
              <w:jc w:val="left"/>
              <w:rPr>
                <w:rFonts w:cs="Calibri"/>
                <w:color w:val="000000" w:themeColor="text1"/>
                <w:sz w:val="20"/>
                <w:szCs w:val="20"/>
              </w:rPr>
            </w:pPr>
            <w:r w:rsidRPr="003E394B">
              <w:rPr>
                <w:rFonts w:cs="Calibri"/>
                <w:color w:val="000000" w:themeColor="text1"/>
                <w:sz w:val="20"/>
                <w:szCs w:val="20"/>
              </w:rPr>
              <w:t>Uniwersytet Techniczny w Dreźnie</w:t>
            </w:r>
          </w:p>
          <w:p w:rsidR="003F2B0C" w:rsidRPr="003E394B" w:rsidRDefault="003F2B0C" w:rsidP="0084338D">
            <w:pPr>
              <w:spacing w:after="0" w:line="240" w:lineRule="auto"/>
              <w:jc w:val="left"/>
              <w:rPr>
                <w:rFonts w:cs="Calibri"/>
                <w:color w:val="000000" w:themeColor="text1"/>
                <w:sz w:val="20"/>
                <w:szCs w:val="20"/>
              </w:rPr>
            </w:pPr>
            <w:r w:rsidRPr="003E394B">
              <w:rPr>
                <w:rFonts w:cs="Calibri"/>
                <w:color w:val="000000" w:themeColor="text1"/>
                <w:sz w:val="20"/>
                <w:szCs w:val="20"/>
              </w:rPr>
              <w:t>(</w:t>
            </w:r>
            <w:proofErr w:type="spellStart"/>
            <w:r w:rsidRPr="003E394B">
              <w:rPr>
                <w:rFonts w:cs="Calibri"/>
                <w:color w:val="000000" w:themeColor="text1"/>
                <w:sz w:val="20"/>
                <w:szCs w:val="20"/>
              </w:rPr>
              <w:t>TechnischeUniversitätDresden</w:t>
            </w:r>
            <w:proofErr w:type="spellEnd"/>
            <w:r w:rsidRPr="003E394B">
              <w:rPr>
                <w:rFonts w:cs="Calibri"/>
                <w:color w:val="000000" w:themeColor="text1"/>
                <w:sz w:val="20"/>
                <w:szCs w:val="20"/>
              </w:rPr>
              <w:t>)</w:t>
            </w:r>
          </w:p>
        </w:tc>
        <w:tc>
          <w:tcPr>
            <w:tcW w:w="1005"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101</w:t>
            </w:r>
          </w:p>
        </w:tc>
        <w:tc>
          <w:tcPr>
            <w:tcW w:w="1086"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50,6</w:t>
            </w:r>
          </w:p>
        </w:tc>
        <w:tc>
          <w:tcPr>
            <w:tcW w:w="1342"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88,1</w:t>
            </w:r>
          </w:p>
        </w:tc>
        <w:tc>
          <w:tcPr>
            <w:tcW w:w="1087"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84%</w:t>
            </w:r>
          </w:p>
        </w:tc>
        <w:tc>
          <w:tcPr>
            <w:tcW w:w="1239" w:type="dxa"/>
            <w:vAlign w:val="center"/>
          </w:tcPr>
          <w:p w:rsidR="003F2B0C" w:rsidRPr="003E394B" w:rsidRDefault="003F2B0C" w:rsidP="0084338D">
            <w:pPr>
              <w:jc w:val="center"/>
              <w:rPr>
                <w:color w:val="000000" w:themeColor="text1"/>
                <w:sz w:val="20"/>
                <w:szCs w:val="20"/>
                <w:lang w:val="en-GB"/>
              </w:rPr>
            </w:pPr>
            <w:r w:rsidRPr="003E394B">
              <w:rPr>
                <w:color w:val="000000" w:themeColor="text1"/>
                <w:sz w:val="20"/>
                <w:szCs w:val="20"/>
                <w:lang w:val="en-GB"/>
              </w:rPr>
              <w:t>16%</w:t>
            </w:r>
          </w:p>
        </w:tc>
      </w:tr>
    </w:tbl>
    <w:p w:rsidR="003F2B0C" w:rsidRPr="002737CB" w:rsidRDefault="003F2B0C" w:rsidP="003F2B0C">
      <w:pPr>
        <w:spacing w:line="276" w:lineRule="auto"/>
        <w:rPr>
          <w:iCs/>
          <w:color w:val="363735" w:themeColor="accent3"/>
          <w:sz w:val="20"/>
          <w:szCs w:val="18"/>
        </w:rPr>
      </w:pPr>
      <w:r w:rsidRPr="002737CB">
        <w:rPr>
          <w:iCs/>
          <w:color w:val="363735" w:themeColor="accent3"/>
          <w:sz w:val="20"/>
          <w:szCs w:val="18"/>
        </w:rPr>
        <w:t>Źródło: https://www.topuniversities.com/europe-university-rankings</w:t>
      </w:r>
    </w:p>
    <w:p w:rsidR="003F2B0C" w:rsidRPr="002C589E" w:rsidRDefault="003F2B0C" w:rsidP="003F2B0C">
      <w:r w:rsidRPr="00DF4275">
        <w:t>Po względem liczby studentów największym potencjałem dysponuje Miasto Kraków, w którym studiuje ponad 130 tyś studentów i jako jedyne z polskich miast odnotowało między rokiem 2020, a 2023 wzrost liczby studentów. Zarówno Wrocław</w:t>
      </w:r>
      <w:r>
        <w:t>,</w:t>
      </w:r>
      <w:r w:rsidRPr="00DF4275">
        <w:t xml:space="preserve"> jak i Poznań doświadczają spadku liczby studentów </w:t>
      </w:r>
      <w:r>
        <w:t>, a wszystkie trzy miasta doświadczają</w:t>
      </w:r>
      <w:r w:rsidRPr="00DF4275">
        <w:t xml:space="preserve"> spadku liczby absolwentów. </w:t>
      </w:r>
    </w:p>
    <w:p w:rsidR="003F2B0C" w:rsidRDefault="003F2B0C" w:rsidP="003F2B0C">
      <w:pPr>
        <w:pStyle w:val="Legenda"/>
        <w:rPr>
          <w:b/>
          <w:bCs/>
          <w:color w:val="FFC000"/>
        </w:rPr>
      </w:pPr>
      <w:bookmarkStart w:id="109" w:name="_Toc196867076"/>
      <w:bookmarkStart w:id="110" w:name="_Toc196905088"/>
      <w:r>
        <w:lastRenderedPageBreak/>
        <w:t xml:space="preserve">Tabela </w:t>
      </w:r>
      <w:fldSimple w:instr=" SEQ Tabela \* ARABIC ">
        <w:r w:rsidR="0084338D">
          <w:rPr>
            <w:noProof/>
          </w:rPr>
          <w:t>24</w:t>
        </w:r>
      </w:fldSimple>
      <w:r>
        <w:t>. Wskaźniki opisujące liczbę studentów i absolwentów uczelni wyższych w latach 2020-2023</w:t>
      </w:r>
      <w:bookmarkEnd w:id="109"/>
      <w:bookmarkEnd w:id="110"/>
    </w:p>
    <w:tbl>
      <w:tblPr>
        <w:tblW w:w="9005" w:type="dxa"/>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CellMar>
          <w:left w:w="70" w:type="dxa"/>
          <w:right w:w="70" w:type="dxa"/>
        </w:tblCellMar>
        <w:tblLook w:val="04A0"/>
      </w:tblPr>
      <w:tblGrid>
        <w:gridCol w:w="3124"/>
        <w:gridCol w:w="1470"/>
        <w:gridCol w:w="1470"/>
        <w:gridCol w:w="1470"/>
        <w:gridCol w:w="1471"/>
      </w:tblGrid>
      <w:tr w:rsidR="003F2B0C" w:rsidRPr="00787D28" w:rsidTr="0084338D">
        <w:trPr>
          <w:trHeight w:val="227"/>
        </w:trPr>
        <w:tc>
          <w:tcPr>
            <w:tcW w:w="3124" w:type="dxa"/>
            <w:shd w:val="clear" w:color="auto" w:fill="FABE00"/>
            <w:noWrap/>
            <w:vAlign w:val="bottom"/>
            <w:hideMark/>
          </w:tcPr>
          <w:p w:rsidR="003F2B0C" w:rsidRPr="00787D28" w:rsidRDefault="003F2B0C" w:rsidP="0084338D">
            <w:pPr>
              <w:spacing w:after="0" w:line="240" w:lineRule="auto"/>
              <w:jc w:val="left"/>
              <w:rPr>
                <w:rFonts w:eastAsia="Times New Roman" w:cs="Times New Roman"/>
                <w:kern w:val="0"/>
                <w:sz w:val="20"/>
                <w:szCs w:val="20"/>
                <w:lang w:eastAsia="pl-PL"/>
              </w:rPr>
            </w:pPr>
          </w:p>
        </w:tc>
        <w:tc>
          <w:tcPr>
            <w:tcW w:w="1470" w:type="dxa"/>
            <w:shd w:val="clear" w:color="auto" w:fill="FABE00"/>
            <w:vAlign w:val="center"/>
            <w:hideMark/>
          </w:tcPr>
          <w:p w:rsidR="003F2B0C" w:rsidRPr="00787D28" w:rsidRDefault="003F2B0C" w:rsidP="0084338D">
            <w:pPr>
              <w:spacing w:after="0" w:line="240" w:lineRule="auto"/>
              <w:jc w:val="center"/>
              <w:rPr>
                <w:rFonts w:eastAsia="Times New Roman" w:cs="Calibri"/>
                <w:b/>
                <w:bCs/>
                <w:color w:val="000000"/>
                <w:kern w:val="0"/>
                <w:sz w:val="20"/>
                <w:szCs w:val="20"/>
                <w:lang w:eastAsia="pl-PL"/>
              </w:rPr>
            </w:pPr>
            <w:r w:rsidRPr="00787D28">
              <w:rPr>
                <w:rFonts w:eastAsia="Times New Roman" w:cs="Calibri"/>
                <w:b/>
                <w:bCs/>
                <w:color w:val="000000"/>
                <w:kern w:val="0"/>
                <w:sz w:val="20"/>
                <w:szCs w:val="20"/>
                <w:lang w:eastAsia="pl-PL"/>
              </w:rPr>
              <w:t>2020</w:t>
            </w:r>
          </w:p>
        </w:tc>
        <w:tc>
          <w:tcPr>
            <w:tcW w:w="1470" w:type="dxa"/>
            <w:shd w:val="clear" w:color="auto" w:fill="FABE00"/>
            <w:vAlign w:val="center"/>
            <w:hideMark/>
          </w:tcPr>
          <w:p w:rsidR="003F2B0C" w:rsidRPr="00787D28" w:rsidRDefault="003F2B0C" w:rsidP="0084338D">
            <w:pPr>
              <w:spacing w:after="0" w:line="240" w:lineRule="auto"/>
              <w:jc w:val="center"/>
              <w:rPr>
                <w:rFonts w:eastAsia="Times New Roman" w:cs="Calibri"/>
                <w:b/>
                <w:bCs/>
                <w:color w:val="000000"/>
                <w:kern w:val="0"/>
                <w:sz w:val="20"/>
                <w:szCs w:val="20"/>
                <w:lang w:eastAsia="pl-PL"/>
              </w:rPr>
            </w:pPr>
            <w:r w:rsidRPr="00787D28">
              <w:rPr>
                <w:rFonts w:eastAsia="Times New Roman" w:cs="Calibri"/>
                <w:b/>
                <w:bCs/>
                <w:color w:val="000000"/>
                <w:kern w:val="0"/>
                <w:sz w:val="20"/>
                <w:szCs w:val="20"/>
                <w:lang w:eastAsia="pl-PL"/>
              </w:rPr>
              <w:t>2021</w:t>
            </w:r>
          </w:p>
        </w:tc>
        <w:tc>
          <w:tcPr>
            <w:tcW w:w="1470" w:type="dxa"/>
            <w:shd w:val="clear" w:color="auto" w:fill="FABE00"/>
            <w:vAlign w:val="center"/>
            <w:hideMark/>
          </w:tcPr>
          <w:p w:rsidR="003F2B0C" w:rsidRPr="00787D28" w:rsidRDefault="003F2B0C" w:rsidP="0084338D">
            <w:pPr>
              <w:spacing w:after="0" w:line="240" w:lineRule="auto"/>
              <w:jc w:val="center"/>
              <w:rPr>
                <w:rFonts w:eastAsia="Times New Roman" w:cs="Calibri"/>
                <w:b/>
                <w:bCs/>
                <w:color w:val="000000"/>
                <w:kern w:val="0"/>
                <w:sz w:val="20"/>
                <w:szCs w:val="20"/>
                <w:lang w:eastAsia="pl-PL"/>
              </w:rPr>
            </w:pPr>
            <w:r w:rsidRPr="00787D28">
              <w:rPr>
                <w:rFonts w:eastAsia="Times New Roman" w:cs="Calibri"/>
                <w:b/>
                <w:bCs/>
                <w:color w:val="000000"/>
                <w:kern w:val="0"/>
                <w:sz w:val="20"/>
                <w:szCs w:val="20"/>
                <w:lang w:eastAsia="pl-PL"/>
              </w:rPr>
              <w:t>2022</w:t>
            </w:r>
          </w:p>
        </w:tc>
        <w:tc>
          <w:tcPr>
            <w:tcW w:w="1471" w:type="dxa"/>
            <w:shd w:val="clear" w:color="auto" w:fill="FABE00"/>
            <w:vAlign w:val="center"/>
            <w:hideMark/>
          </w:tcPr>
          <w:p w:rsidR="003F2B0C" w:rsidRPr="00787D28" w:rsidRDefault="003F2B0C" w:rsidP="0084338D">
            <w:pPr>
              <w:spacing w:after="0" w:line="240" w:lineRule="auto"/>
              <w:jc w:val="center"/>
              <w:rPr>
                <w:rFonts w:eastAsia="Times New Roman" w:cs="Calibri"/>
                <w:b/>
                <w:bCs/>
                <w:color w:val="000000"/>
                <w:kern w:val="0"/>
                <w:sz w:val="20"/>
                <w:szCs w:val="20"/>
                <w:lang w:eastAsia="pl-PL"/>
              </w:rPr>
            </w:pPr>
            <w:r w:rsidRPr="00787D28">
              <w:rPr>
                <w:rFonts w:eastAsia="Times New Roman" w:cs="Calibri"/>
                <w:b/>
                <w:bCs/>
                <w:color w:val="000000"/>
                <w:kern w:val="0"/>
                <w:sz w:val="20"/>
                <w:szCs w:val="20"/>
                <w:lang w:eastAsia="pl-PL"/>
              </w:rPr>
              <w:t>2023</w:t>
            </w:r>
          </w:p>
        </w:tc>
      </w:tr>
      <w:tr w:rsidR="003F2B0C" w:rsidRPr="00787D28" w:rsidTr="0084338D">
        <w:trPr>
          <w:trHeight w:val="227"/>
        </w:trPr>
        <w:tc>
          <w:tcPr>
            <w:tcW w:w="9005" w:type="dxa"/>
            <w:gridSpan w:val="5"/>
            <w:shd w:val="clear" w:color="auto" w:fill="FABE00"/>
            <w:noWrap/>
            <w:vAlign w:val="bottom"/>
            <w:hideMark/>
          </w:tcPr>
          <w:p w:rsidR="003F2B0C" w:rsidRPr="00787D28" w:rsidRDefault="003F2B0C" w:rsidP="0084338D">
            <w:pPr>
              <w:spacing w:after="0" w:line="240" w:lineRule="auto"/>
              <w:jc w:val="center"/>
              <w:rPr>
                <w:rFonts w:eastAsia="Times New Roman" w:cs="Calibri"/>
                <w:b/>
                <w:bCs/>
                <w:color w:val="000000"/>
                <w:kern w:val="0"/>
                <w:sz w:val="20"/>
                <w:szCs w:val="20"/>
                <w:lang w:eastAsia="pl-PL"/>
              </w:rPr>
            </w:pPr>
            <w:r w:rsidRPr="00787D28">
              <w:rPr>
                <w:rFonts w:eastAsia="Times New Roman" w:cs="Calibri"/>
                <w:b/>
                <w:bCs/>
                <w:color w:val="000000"/>
                <w:kern w:val="0"/>
                <w:sz w:val="20"/>
                <w:szCs w:val="20"/>
                <w:lang w:eastAsia="pl-PL"/>
              </w:rPr>
              <w:t>studenci ogółem</w:t>
            </w:r>
          </w:p>
        </w:tc>
      </w:tr>
      <w:tr w:rsidR="003F2B0C" w:rsidRPr="00787D28" w:rsidTr="0084338D">
        <w:trPr>
          <w:trHeight w:val="227"/>
        </w:trPr>
        <w:tc>
          <w:tcPr>
            <w:tcW w:w="3124" w:type="dxa"/>
            <w:shd w:val="clear" w:color="auto" w:fill="auto"/>
            <w:noWrap/>
            <w:vAlign w:val="bottom"/>
            <w:hideMark/>
          </w:tcPr>
          <w:p w:rsidR="003F2B0C" w:rsidRPr="00787D28" w:rsidRDefault="003F2B0C" w:rsidP="0084338D">
            <w:pPr>
              <w:spacing w:after="0" w:line="240" w:lineRule="auto"/>
              <w:jc w:val="left"/>
              <w:rPr>
                <w:rFonts w:eastAsia="Times New Roman" w:cs="Calibri"/>
                <w:kern w:val="0"/>
                <w:sz w:val="20"/>
                <w:szCs w:val="20"/>
                <w:lang w:eastAsia="pl-PL"/>
              </w:rPr>
            </w:pPr>
            <w:r w:rsidRPr="00787D28">
              <w:rPr>
                <w:rFonts w:eastAsia="Times New Roman" w:cs="Calibri"/>
                <w:kern w:val="0"/>
                <w:sz w:val="20"/>
                <w:szCs w:val="20"/>
                <w:lang w:eastAsia="pl-PL"/>
              </w:rPr>
              <w:t>Miasto Wrocław</w:t>
            </w:r>
          </w:p>
        </w:tc>
        <w:tc>
          <w:tcPr>
            <w:tcW w:w="1470" w:type="dxa"/>
            <w:shd w:val="clear" w:color="auto" w:fill="auto"/>
            <w:noWrap/>
            <w:vAlign w:val="bottom"/>
            <w:hideMark/>
          </w:tcPr>
          <w:p w:rsidR="003F2B0C" w:rsidRPr="00787D28" w:rsidRDefault="003F2B0C" w:rsidP="0084338D">
            <w:pPr>
              <w:spacing w:after="0" w:line="240" w:lineRule="auto"/>
              <w:jc w:val="right"/>
              <w:rPr>
                <w:rFonts w:eastAsia="Times New Roman" w:cs="Calibri"/>
                <w:kern w:val="0"/>
                <w:sz w:val="20"/>
                <w:szCs w:val="20"/>
                <w:lang w:eastAsia="pl-PL"/>
              </w:rPr>
            </w:pPr>
            <w:r w:rsidRPr="00787D28">
              <w:rPr>
                <w:rFonts w:eastAsia="Times New Roman" w:cs="Calibri"/>
                <w:kern w:val="0"/>
                <w:sz w:val="20"/>
                <w:szCs w:val="20"/>
                <w:lang w:eastAsia="pl-PL"/>
              </w:rPr>
              <w:t>107 894</w:t>
            </w:r>
          </w:p>
        </w:tc>
        <w:tc>
          <w:tcPr>
            <w:tcW w:w="1470" w:type="dxa"/>
            <w:shd w:val="clear" w:color="auto" w:fill="auto"/>
            <w:noWrap/>
            <w:vAlign w:val="bottom"/>
            <w:hideMark/>
          </w:tcPr>
          <w:p w:rsidR="003F2B0C" w:rsidRPr="00787D28" w:rsidRDefault="003F2B0C" w:rsidP="0084338D">
            <w:pPr>
              <w:spacing w:after="0" w:line="240" w:lineRule="auto"/>
              <w:jc w:val="right"/>
              <w:rPr>
                <w:rFonts w:eastAsia="Times New Roman" w:cs="Calibri"/>
                <w:kern w:val="0"/>
                <w:sz w:val="20"/>
                <w:szCs w:val="20"/>
                <w:lang w:eastAsia="pl-PL"/>
              </w:rPr>
            </w:pPr>
            <w:r w:rsidRPr="00787D28">
              <w:rPr>
                <w:rFonts w:eastAsia="Times New Roman" w:cs="Calibri"/>
                <w:kern w:val="0"/>
                <w:sz w:val="20"/>
                <w:szCs w:val="20"/>
                <w:lang w:eastAsia="pl-PL"/>
              </w:rPr>
              <w:t>106 517</w:t>
            </w:r>
          </w:p>
        </w:tc>
        <w:tc>
          <w:tcPr>
            <w:tcW w:w="1470" w:type="dxa"/>
            <w:shd w:val="clear" w:color="auto" w:fill="auto"/>
            <w:noWrap/>
            <w:vAlign w:val="bottom"/>
            <w:hideMark/>
          </w:tcPr>
          <w:p w:rsidR="003F2B0C" w:rsidRPr="00787D28" w:rsidRDefault="003F2B0C" w:rsidP="0084338D">
            <w:pPr>
              <w:spacing w:after="0" w:line="240" w:lineRule="auto"/>
              <w:jc w:val="right"/>
              <w:rPr>
                <w:rFonts w:eastAsia="Times New Roman" w:cs="Calibri"/>
                <w:kern w:val="0"/>
                <w:sz w:val="20"/>
                <w:szCs w:val="20"/>
                <w:lang w:eastAsia="pl-PL"/>
              </w:rPr>
            </w:pPr>
            <w:r w:rsidRPr="00787D28">
              <w:rPr>
                <w:rFonts w:eastAsia="Times New Roman" w:cs="Calibri"/>
                <w:kern w:val="0"/>
                <w:sz w:val="20"/>
                <w:szCs w:val="20"/>
                <w:lang w:eastAsia="pl-PL"/>
              </w:rPr>
              <w:t>105 103</w:t>
            </w:r>
          </w:p>
        </w:tc>
        <w:tc>
          <w:tcPr>
            <w:tcW w:w="1471" w:type="dxa"/>
            <w:shd w:val="clear" w:color="auto" w:fill="auto"/>
            <w:noWrap/>
            <w:vAlign w:val="bottom"/>
            <w:hideMark/>
          </w:tcPr>
          <w:p w:rsidR="003F2B0C" w:rsidRPr="00787D28" w:rsidRDefault="003F2B0C" w:rsidP="0084338D">
            <w:pPr>
              <w:spacing w:after="0" w:line="240" w:lineRule="auto"/>
              <w:jc w:val="right"/>
              <w:rPr>
                <w:rFonts w:eastAsia="Times New Roman" w:cs="Calibri"/>
                <w:kern w:val="0"/>
                <w:sz w:val="20"/>
                <w:szCs w:val="20"/>
                <w:lang w:eastAsia="pl-PL"/>
              </w:rPr>
            </w:pPr>
            <w:r w:rsidRPr="00787D28">
              <w:rPr>
                <w:rFonts w:eastAsia="Times New Roman" w:cs="Calibri"/>
                <w:kern w:val="0"/>
                <w:sz w:val="20"/>
                <w:szCs w:val="20"/>
                <w:lang w:eastAsia="pl-PL"/>
              </w:rPr>
              <w:t>106 116</w:t>
            </w:r>
          </w:p>
        </w:tc>
      </w:tr>
      <w:tr w:rsidR="003F2B0C" w:rsidRPr="00787D28" w:rsidTr="0084338D">
        <w:trPr>
          <w:trHeight w:val="227"/>
        </w:trPr>
        <w:tc>
          <w:tcPr>
            <w:tcW w:w="3124" w:type="dxa"/>
            <w:shd w:val="clear" w:color="auto" w:fill="auto"/>
            <w:noWrap/>
            <w:vAlign w:val="bottom"/>
            <w:hideMark/>
          </w:tcPr>
          <w:p w:rsidR="003F2B0C" w:rsidRPr="00787D28" w:rsidRDefault="003F2B0C" w:rsidP="0084338D">
            <w:pPr>
              <w:spacing w:after="0" w:line="240" w:lineRule="auto"/>
              <w:jc w:val="left"/>
              <w:rPr>
                <w:rFonts w:eastAsia="Times New Roman" w:cs="Calibri"/>
                <w:kern w:val="0"/>
                <w:sz w:val="20"/>
                <w:szCs w:val="20"/>
                <w:lang w:eastAsia="pl-PL"/>
              </w:rPr>
            </w:pPr>
            <w:r w:rsidRPr="00787D28">
              <w:rPr>
                <w:rFonts w:eastAsia="Times New Roman" w:cs="Calibri"/>
                <w:kern w:val="0"/>
                <w:sz w:val="20"/>
                <w:szCs w:val="20"/>
                <w:lang w:eastAsia="pl-PL"/>
              </w:rPr>
              <w:t xml:space="preserve">Miasto Kraków </w:t>
            </w:r>
          </w:p>
        </w:tc>
        <w:tc>
          <w:tcPr>
            <w:tcW w:w="1470" w:type="dxa"/>
            <w:shd w:val="clear" w:color="auto" w:fill="auto"/>
            <w:noWrap/>
            <w:vAlign w:val="bottom"/>
            <w:hideMark/>
          </w:tcPr>
          <w:p w:rsidR="003F2B0C" w:rsidRPr="00787D28" w:rsidRDefault="003F2B0C" w:rsidP="0084338D">
            <w:pPr>
              <w:spacing w:after="0" w:line="240" w:lineRule="auto"/>
              <w:jc w:val="right"/>
              <w:rPr>
                <w:rFonts w:eastAsia="Times New Roman" w:cs="Calibri"/>
                <w:kern w:val="0"/>
                <w:sz w:val="20"/>
                <w:szCs w:val="20"/>
                <w:lang w:eastAsia="pl-PL"/>
              </w:rPr>
            </w:pPr>
            <w:r w:rsidRPr="00787D28">
              <w:rPr>
                <w:rFonts w:eastAsia="Times New Roman" w:cs="Calibri"/>
                <w:kern w:val="0"/>
                <w:sz w:val="20"/>
                <w:szCs w:val="20"/>
                <w:lang w:eastAsia="pl-PL"/>
              </w:rPr>
              <w:t>130 428</w:t>
            </w:r>
          </w:p>
        </w:tc>
        <w:tc>
          <w:tcPr>
            <w:tcW w:w="1470" w:type="dxa"/>
            <w:shd w:val="clear" w:color="auto" w:fill="auto"/>
            <w:noWrap/>
            <w:vAlign w:val="bottom"/>
            <w:hideMark/>
          </w:tcPr>
          <w:p w:rsidR="003F2B0C" w:rsidRPr="00787D28" w:rsidRDefault="003F2B0C" w:rsidP="0084338D">
            <w:pPr>
              <w:spacing w:after="0" w:line="240" w:lineRule="auto"/>
              <w:jc w:val="right"/>
              <w:rPr>
                <w:rFonts w:eastAsia="Times New Roman" w:cs="Calibri"/>
                <w:kern w:val="0"/>
                <w:sz w:val="20"/>
                <w:szCs w:val="20"/>
                <w:lang w:eastAsia="pl-PL"/>
              </w:rPr>
            </w:pPr>
            <w:r w:rsidRPr="00787D28">
              <w:rPr>
                <w:rFonts w:eastAsia="Times New Roman" w:cs="Calibri"/>
                <w:kern w:val="0"/>
                <w:sz w:val="20"/>
                <w:szCs w:val="20"/>
                <w:lang w:eastAsia="pl-PL"/>
              </w:rPr>
              <w:t>130 360</w:t>
            </w:r>
          </w:p>
        </w:tc>
        <w:tc>
          <w:tcPr>
            <w:tcW w:w="1470" w:type="dxa"/>
            <w:shd w:val="clear" w:color="auto" w:fill="auto"/>
            <w:noWrap/>
            <w:vAlign w:val="bottom"/>
            <w:hideMark/>
          </w:tcPr>
          <w:p w:rsidR="003F2B0C" w:rsidRPr="00787D28" w:rsidRDefault="003F2B0C" w:rsidP="0084338D">
            <w:pPr>
              <w:spacing w:after="0" w:line="240" w:lineRule="auto"/>
              <w:jc w:val="right"/>
              <w:rPr>
                <w:rFonts w:eastAsia="Times New Roman" w:cs="Calibri"/>
                <w:kern w:val="0"/>
                <w:sz w:val="20"/>
                <w:szCs w:val="20"/>
                <w:lang w:eastAsia="pl-PL"/>
              </w:rPr>
            </w:pPr>
            <w:r w:rsidRPr="00787D28">
              <w:rPr>
                <w:rFonts w:eastAsia="Times New Roman" w:cs="Calibri"/>
                <w:kern w:val="0"/>
                <w:sz w:val="20"/>
                <w:szCs w:val="20"/>
                <w:lang w:eastAsia="pl-PL"/>
              </w:rPr>
              <w:t>129 357</w:t>
            </w:r>
          </w:p>
        </w:tc>
        <w:tc>
          <w:tcPr>
            <w:tcW w:w="1471" w:type="dxa"/>
            <w:shd w:val="clear" w:color="auto" w:fill="auto"/>
            <w:noWrap/>
            <w:vAlign w:val="bottom"/>
            <w:hideMark/>
          </w:tcPr>
          <w:p w:rsidR="003F2B0C" w:rsidRPr="00787D28" w:rsidRDefault="003F2B0C" w:rsidP="0084338D">
            <w:pPr>
              <w:spacing w:after="0" w:line="240" w:lineRule="auto"/>
              <w:jc w:val="right"/>
              <w:rPr>
                <w:rFonts w:eastAsia="Times New Roman" w:cs="Calibri"/>
                <w:kern w:val="0"/>
                <w:sz w:val="20"/>
                <w:szCs w:val="20"/>
                <w:lang w:eastAsia="pl-PL"/>
              </w:rPr>
            </w:pPr>
            <w:r w:rsidRPr="00787D28">
              <w:rPr>
                <w:rFonts w:eastAsia="Times New Roman" w:cs="Calibri"/>
                <w:kern w:val="0"/>
                <w:sz w:val="20"/>
                <w:szCs w:val="20"/>
                <w:lang w:eastAsia="pl-PL"/>
              </w:rPr>
              <w:t>131 961</w:t>
            </w:r>
          </w:p>
        </w:tc>
      </w:tr>
      <w:tr w:rsidR="003F2B0C" w:rsidRPr="00787D28" w:rsidTr="0084338D">
        <w:trPr>
          <w:trHeight w:val="227"/>
        </w:trPr>
        <w:tc>
          <w:tcPr>
            <w:tcW w:w="3124" w:type="dxa"/>
            <w:shd w:val="clear" w:color="auto" w:fill="auto"/>
            <w:noWrap/>
            <w:vAlign w:val="bottom"/>
            <w:hideMark/>
          </w:tcPr>
          <w:p w:rsidR="003F2B0C" w:rsidRPr="00787D28" w:rsidRDefault="003F2B0C" w:rsidP="0084338D">
            <w:pPr>
              <w:spacing w:after="0" w:line="240" w:lineRule="auto"/>
              <w:jc w:val="left"/>
              <w:rPr>
                <w:rFonts w:eastAsia="Times New Roman" w:cs="Calibri"/>
                <w:kern w:val="0"/>
                <w:sz w:val="20"/>
                <w:szCs w:val="20"/>
                <w:lang w:eastAsia="pl-PL"/>
              </w:rPr>
            </w:pPr>
            <w:r w:rsidRPr="00787D28">
              <w:rPr>
                <w:rFonts w:eastAsia="Times New Roman" w:cs="Calibri"/>
                <w:kern w:val="0"/>
                <w:sz w:val="20"/>
                <w:szCs w:val="20"/>
                <w:lang w:eastAsia="pl-PL"/>
              </w:rPr>
              <w:t>Miasto Poznań</w:t>
            </w:r>
          </w:p>
        </w:tc>
        <w:tc>
          <w:tcPr>
            <w:tcW w:w="1470" w:type="dxa"/>
            <w:shd w:val="clear" w:color="auto" w:fill="auto"/>
            <w:noWrap/>
            <w:vAlign w:val="bottom"/>
            <w:hideMark/>
          </w:tcPr>
          <w:p w:rsidR="003F2B0C" w:rsidRPr="00787D28" w:rsidRDefault="003F2B0C" w:rsidP="0084338D">
            <w:pPr>
              <w:spacing w:after="0" w:line="240" w:lineRule="auto"/>
              <w:jc w:val="right"/>
              <w:rPr>
                <w:rFonts w:eastAsia="Times New Roman" w:cs="Calibri"/>
                <w:kern w:val="0"/>
                <w:sz w:val="20"/>
                <w:szCs w:val="20"/>
                <w:lang w:eastAsia="pl-PL"/>
              </w:rPr>
            </w:pPr>
            <w:r w:rsidRPr="00787D28">
              <w:rPr>
                <w:rFonts w:eastAsia="Times New Roman" w:cs="Calibri"/>
                <w:kern w:val="0"/>
                <w:sz w:val="20"/>
                <w:szCs w:val="20"/>
                <w:lang w:eastAsia="pl-PL"/>
              </w:rPr>
              <w:t>104 729</w:t>
            </w:r>
          </w:p>
        </w:tc>
        <w:tc>
          <w:tcPr>
            <w:tcW w:w="1470" w:type="dxa"/>
            <w:shd w:val="clear" w:color="auto" w:fill="auto"/>
            <w:noWrap/>
            <w:vAlign w:val="bottom"/>
            <w:hideMark/>
          </w:tcPr>
          <w:p w:rsidR="003F2B0C" w:rsidRPr="00787D28" w:rsidRDefault="003F2B0C" w:rsidP="0084338D">
            <w:pPr>
              <w:spacing w:after="0" w:line="240" w:lineRule="auto"/>
              <w:jc w:val="right"/>
              <w:rPr>
                <w:rFonts w:eastAsia="Times New Roman" w:cs="Calibri"/>
                <w:kern w:val="0"/>
                <w:sz w:val="20"/>
                <w:szCs w:val="20"/>
                <w:lang w:eastAsia="pl-PL"/>
              </w:rPr>
            </w:pPr>
            <w:r w:rsidRPr="00787D28">
              <w:rPr>
                <w:rFonts w:eastAsia="Times New Roman" w:cs="Calibri"/>
                <w:kern w:val="0"/>
                <w:sz w:val="20"/>
                <w:szCs w:val="20"/>
                <w:lang w:eastAsia="pl-PL"/>
              </w:rPr>
              <w:t>102 199</w:t>
            </w:r>
          </w:p>
        </w:tc>
        <w:tc>
          <w:tcPr>
            <w:tcW w:w="1470" w:type="dxa"/>
            <w:shd w:val="clear" w:color="auto" w:fill="auto"/>
            <w:noWrap/>
            <w:vAlign w:val="bottom"/>
            <w:hideMark/>
          </w:tcPr>
          <w:p w:rsidR="003F2B0C" w:rsidRPr="00787D28" w:rsidRDefault="003F2B0C" w:rsidP="0084338D">
            <w:pPr>
              <w:spacing w:after="0" w:line="240" w:lineRule="auto"/>
              <w:jc w:val="right"/>
              <w:rPr>
                <w:rFonts w:eastAsia="Times New Roman" w:cs="Calibri"/>
                <w:kern w:val="0"/>
                <w:sz w:val="20"/>
                <w:szCs w:val="20"/>
                <w:lang w:eastAsia="pl-PL"/>
              </w:rPr>
            </w:pPr>
            <w:r w:rsidRPr="00787D28">
              <w:rPr>
                <w:rFonts w:eastAsia="Times New Roman" w:cs="Calibri"/>
                <w:kern w:val="0"/>
                <w:sz w:val="20"/>
                <w:szCs w:val="20"/>
                <w:lang w:eastAsia="pl-PL"/>
              </w:rPr>
              <w:t>101 108</w:t>
            </w:r>
          </w:p>
        </w:tc>
        <w:tc>
          <w:tcPr>
            <w:tcW w:w="1471" w:type="dxa"/>
            <w:shd w:val="clear" w:color="auto" w:fill="auto"/>
            <w:noWrap/>
            <w:vAlign w:val="bottom"/>
            <w:hideMark/>
          </w:tcPr>
          <w:p w:rsidR="003F2B0C" w:rsidRPr="00787D28" w:rsidRDefault="003F2B0C" w:rsidP="0084338D">
            <w:pPr>
              <w:spacing w:after="0" w:line="240" w:lineRule="auto"/>
              <w:jc w:val="right"/>
              <w:rPr>
                <w:rFonts w:eastAsia="Times New Roman" w:cs="Calibri"/>
                <w:kern w:val="0"/>
                <w:sz w:val="20"/>
                <w:szCs w:val="20"/>
                <w:lang w:eastAsia="pl-PL"/>
              </w:rPr>
            </w:pPr>
            <w:r w:rsidRPr="00787D28">
              <w:rPr>
                <w:rFonts w:eastAsia="Times New Roman" w:cs="Calibri"/>
                <w:kern w:val="0"/>
                <w:sz w:val="20"/>
                <w:szCs w:val="20"/>
                <w:lang w:eastAsia="pl-PL"/>
              </w:rPr>
              <w:t>99 427</w:t>
            </w:r>
          </w:p>
        </w:tc>
      </w:tr>
      <w:tr w:rsidR="003F2B0C" w:rsidRPr="00787D28" w:rsidTr="0084338D">
        <w:trPr>
          <w:trHeight w:val="227"/>
        </w:trPr>
        <w:tc>
          <w:tcPr>
            <w:tcW w:w="9005" w:type="dxa"/>
            <w:gridSpan w:val="5"/>
            <w:shd w:val="clear" w:color="auto" w:fill="FABE00"/>
            <w:noWrap/>
            <w:vAlign w:val="bottom"/>
            <w:hideMark/>
          </w:tcPr>
          <w:p w:rsidR="003F2B0C" w:rsidRPr="00787D28" w:rsidRDefault="003F2B0C" w:rsidP="0084338D">
            <w:pPr>
              <w:spacing w:after="0" w:line="240" w:lineRule="auto"/>
              <w:jc w:val="center"/>
              <w:rPr>
                <w:rFonts w:eastAsia="Times New Roman" w:cs="Calibri"/>
                <w:b/>
                <w:bCs/>
                <w:color w:val="000000"/>
                <w:kern w:val="0"/>
                <w:sz w:val="20"/>
                <w:szCs w:val="20"/>
                <w:lang w:eastAsia="pl-PL"/>
              </w:rPr>
            </w:pPr>
            <w:r w:rsidRPr="00787D28">
              <w:rPr>
                <w:rFonts w:eastAsia="Times New Roman" w:cs="Calibri"/>
                <w:b/>
                <w:bCs/>
                <w:color w:val="000000"/>
                <w:kern w:val="0"/>
                <w:sz w:val="20"/>
                <w:szCs w:val="20"/>
                <w:lang w:eastAsia="pl-PL"/>
              </w:rPr>
              <w:t>absolwenci ogółem</w:t>
            </w:r>
          </w:p>
        </w:tc>
      </w:tr>
      <w:tr w:rsidR="003F2B0C" w:rsidRPr="00787D28" w:rsidTr="0084338D">
        <w:trPr>
          <w:trHeight w:val="227"/>
        </w:trPr>
        <w:tc>
          <w:tcPr>
            <w:tcW w:w="3124" w:type="dxa"/>
            <w:shd w:val="clear" w:color="auto" w:fill="auto"/>
            <w:noWrap/>
            <w:vAlign w:val="bottom"/>
            <w:hideMark/>
          </w:tcPr>
          <w:p w:rsidR="003F2B0C" w:rsidRPr="00787D28" w:rsidRDefault="003F2B0C" w:rsidP="0084338D">
            <w:pPr>
              <w:spacing w:after="0" w:line="240" w:lineRule="auto"/>
              <w:jc w:val="left"/>
              <w:rPr>
                <w:rFonts w:eastAsia="Times New Roman" w:cs="Calibri"/>
                <w:kern w:val="0"/>
                <w:sz w:val="20"/>
                <w:szCs w:val="20"/>
                <w:lang w:eastAsia="pl-PL"/>
              </w:rPr>
            </w:pPr>
            <w:r w:rsidRPr="00787D28">
              <w:rPr>
                <w:rFonts w:eastAsia="Times New Roman" w:cs="Calibri"/>
                <w:kern w:val="0"/>
                <w:sz w:val="20"/>
                <w:szCs w:val="20"/>
                <w:lang w:eastAsia="pl-PL"/>
              </w:rPr>
              <w:t>Miasto Wrocław</w:t>
            </w:r>
          </w:p>
        </w:tc>
        <w:tc>
          <w:tcPr>
            <w:tcW w:w="1470" w:type="dxa"/>
            <w:shd w:val="clear" w:color="auto" w:fill="auto"/>
            <w:noWrap/>
            <w:vAlign w:val="bottom"/>
            <w:hideMark/>
          </w:tcPr>
          <w:p w:rsidR="003F2B0C" w:rsidRPr="00787D28" w:rsidRDefault="003F2B0C" w:rsidP="0084338D">
            <w:pPr>
              <w:spacing w:after="0" w:line="240" w:lineRule="auto"/>
              <w:jc w:val="right"/>
              <w:rPr>
                <w:rFonts w:eastAsia="Times New Roman" w:cs="Calibri"/>
                <w:kern w:val="0"/>
                <w:sz w:val="20"/>
                <w:szCs w:val="20"/>
                <w:lang w:eastAsia="pl-PL"/>
              </w:rPr>
            </w:pPr>
            <w:r w:rsidRPr="00787D28">
              <w:rPr>
                <w:rFonts w:eastAsia="Times New Roman" w:cs="Calibri"/>
                <w:kern w:val="0"/>
                <w:sz w:val="20"/>
                <w:szCs w:val="20"/>
                <w:lang w:eastAsia="pl-PL"/>
              </w:rPr>
              <w:t>26 429</w:t>
            </w:r>
          </w:p>
        </w:tc>
        <w:tc>
          <w:tcPr>
            <w:tcW w:w="1470" w:type="dxa"/>
            <w:shd w:val="clear" w:color="auto" w:fill="auto"/>
            <w:noWrap/>
            <w:vAlign w:val="bottom"/>
            <w:hideMark/>
          </w:tcPr>
          <w:p w:rsidR="003F2B0C" w:rsidRPr="00787D28" w:rsidRDefault="003F2B0C" w:rsidP="0084338D">
            <w:pPr>
              <w:spacing w:after="0" w:line="240" w:lineRule="auto"/>
              <w:jc w:val="right"/>
              <w:rPr>
                <w:rFonts w:eastAsia="Times New Roman" w:cs="Calibri"/>
                <w:kern w:val="0"/>
                <w:sz w:val="20"/>
                <w:szCs w:val="20"/>
                <w:lang w:eastAsia="pl-PL"/>
              </w:rPr>
            </w:pPr>
            <w:r w:rsidRPr="00787D28">
              <w:rPr>
                <w:rFonts w:eastAsia="Times New Roman" w:cs="Calibri"/>
                <w:kern w:val="0"/>
                <w:sz w:val="20"/>
                <w:szCs w:val="20"/>
                <w:lang w:eastAsia="pl-PL"/>
              </w:rPr>
              <w:t>27 320</w:t>
            </w:r>
          </w:p>
        </w:tc>
        <w:tc>
          <w:tcPr>
            <w:tcW w:w="1470" w:type="dxa"/>
            <w:shd w:val="clear" w:color="auto" w:fill="auto"/>
            <w:noWrap/>
            <w:vAlign w:val="bottom"/>
            <w:hideMark/>
          </w:tcPr>
          <w:p w:rsidR="003F2B0C" w:rsidRPr="00787D28" w:rsidRDefault="003F2B0C" w:rsidP="0084338D">
            <w:pPr>
              <w:spacing w:after="0" w:line="240" w:lineRule="auto"/>
              <w:jc w:val="right"/>
              <w:rPr>
                <w:rFonts w:eastAsia="Times New Roman" w:cs="Calibri"/>
                <w:kern w:val="0"/>
                <w:sz w:val="20"/>
                <w:szCs w:val="20"/>
                <w:lang w:eastAsia="pl-PL"/>
              </w:rPr>
            </w:pPr>
            <w:r w:rsidRPr="00787D28">
              <w:rPr>
                <w:rFonts w:eastAsia="Times New Roman" w:cs="Calibri"/>
                <w:kern w:val="0"/>
                <w:sz w:val="20"/>
                <w:szCs w:val="20"/>
                <w:lang w:eastAsia="pl-PL"/>
              </w:rPr>
              <w:t>26 513</w:t>
            </w:r>
          </w:p>
        </w:tc>
        <w:tc>
          <w:tcPr>
            <w:tcW w:w="1471" w:type="dxa"/>
            <w:shd w:val="clear" w:color="auto" w:fill="auto"/>
            <w:noWrap/>
            <w:vAlign w:val="bottom"/>
            <w:hideMark/>
          </w:tcPr>
          <w:p w:rsidR="003F2B0C" w:rsidRPr="00787D28" w:rsidRDefault="003F2B0C" w:rsidP="0084338D">
            <w:pPr>
              <w:spacing w:after="0" w:line="240" w:lineRule="auto"/>
              <w:jc w:val="right"/>
              <w:rPr>
                <w:rFonts w:eastAsia="Times New Roman" w:cs="Calibri"/>
                <w:kern w:val="0"/>
                <w:sz w:val="20"/>
                <w:szCs w:val="20"/>
                <w:lang w:eastAsia="pl-PL"/>
              </w:rPr>
            </w:pPr>
            <w:r w:rsidRPr="00787D28">
              <w:rPr>
                <w:rFonts w:eastAsia="Times New Roman" w:cs="Calibri"/>
                <w:kern w:val="0"/>
                <w:sz w:val="20"/>
                <w:szCs w:val="20"/>
                <w:lang w:eastAsia="pl-PL"/>
              </w:rPr>
              <w:t>26 094</w:t>
            </w:r>
          </w:p>
        </w:tc>
      </w:tr>
      <w:tr w:rsidR="003F2B0C" w:rsidRPr="00787D28" w:rsidTr="0084338D">
        <w:trPr>
          <w:trHeight w:val="227"/>
        </w:trPr>
        <w:tc>
          <w:tcPr>
            <w:tcW w:w="3124" w:type="dxa"/>
            <w:shd w:val="clear" w:color="auto" w:fill="auto"/>
            <w:noWrap/>
            <w:vAlign w:val="bottom"/>
            <w:hideMark/>
          </w:tcPr>
          <w:p w:rsidR="003F2B0C" w:rsidRPr="00787D28" w:rsidRDefault="003F2B0C" w:rsidP="0084338D">
            <w:pPr>
              <w:spacing w:after="0" w:line="240" w:lineRule="auto"/>
              <w:jc w:val="left"/>
              <w:rPr>
                <w:rFonts w:eastAsia="Times New Roman" w:cs="Calibri"/>
                <w:kern w:val="0"/>
                <w:sz w:val="20"/>
                <w:szCs w:val="20"/>
                <w:lang w:eastAsia="pl-PL"/>
              </w:rPr>
            </w:pPr>
            <w:r w:rsidRPr="00787D28">
              <w:rPr>
                <w:rFonts w:eastAsia="Times New Roman" w:cs="Calibri"/>
                <w:kern w:val="0"/>
                <w:sz w:val="20"/>
                <w:szCs w:val="20"/>
                <w:lang w:eastAsia="pl-PL"/>
              </w:rPr>
              <w:t xml:space="preserve">Miasto Kraków </w:t>
            </w:r>
          </w:p>
        </w:tc>
        <w:tc>
          <w:tcPr>
            <w:tcW w:w="1470" w:type="dxa"/>
            <w:shd w:val="clear" w:color="auto" w:fill="auto"/>
            <w:noWrap/>
            <w:vAlign w:val="bottom"/>
            <w:hideMark/>
          </w:tcPr>
          <w:p w:rsidR="003F2B0C" w:rsidRPr="00787D28" w:rsidRDefault="003F2B0C" w:rsidP="0084338D">
            <w:pPr>
              <w:spacing w:after="0" w:line="240" w:lineRule="auto"/>
              <w:jc w:val="right"/>
              <w:rPr>
                <w:rFonts w:eastAsia="Times New Roman" w:cs="Calibri"/>
                <w:kern w:val="0"/>
                <w:sz w:val="20"/>
                <w:szCs w:val="20"/>
                <w:lang w:eastAsia="pl-PL"/>
              </w:rPr>
            </w:pPr>
            <w:r w:rsidRPr="00787D28">
              <w:rPr>
                <w:rFonts w:eastAsia="Times New Roman" w:cs="Calibri"/>
                <w:kern w:val="0"/>
                <w:sz w:val="20"/>
                <w:szCs w:val="20"/>
                <w:lang w:eastAsia="pl-PL"/>
              </w:rPr>
              <w:t>32 881</w:t>
            </w:r>
          </w:p>
        </w:tc>
        <w:tc>
          <w:tcPr>
            <w:tcW w:w="1470" w:type="dxa"/>
            <w:shd w:val="clear" w:color="auto" w:fill="auto"/>
            <w:noWrap/>
            <w:vAlign w:val="bottom"/>
            <w:hideMark/>
          </w:tcPr>
          <w:p w:rsidR="003F2B0C" w:rsidRPr="00787D28" w:rsidRDefault="003F2B0C" w:rsidP="0084338D">
            <w:pPr>
              <w:spacing w:after="0" w:line="240" w:lineRule="auto"/>
              <w:jc w:val="right"/>
              <w:rPr>
                <w:rFonts w:eastAsia="Times New Roman" w:cs="Calibri"/>
                <w:kern w:val="0"/>
                <w:sz w:val="20"/>
                <w:szCs w:val="20"/>
                <w:lang w:eastAsia="pl-PL"/>
              </w:rPr>
            </w:pPr>
            <w:r w:rsidRPr="00787D28">
              <w:rPr>
                <w:rFonts w:eastAsia="Times New Roman" w:cs="Calibri"/>
                <w:kern w:val="0"/>
                <w:sz w:val="20"/>
                <w:szCs w:val="20"/>
                <w:lang w:eastAsia="pl-PL"/>
              </w:rPr>
              <w:t>33 242</w:t>
            </w:r>
          </w:p>
        </w:tc>
        <w:tc>
          <w:tcPr>
            <w:tcW w:w="1470" w:type="dxa"/>
            <w:shd w:val="clear" w:color="auto" w:fill="auto"/>
            <w:noWrap/>
            <w:vAlign w:val="bottom"/>
            <w:hideMark/>
          </w:tcPr>
          <w:p w:rsidR="003F2B0C" w:rsidRPr="00787D28" w:rsidRDefault="003F2B0C" w:rsidP="0084338D">
            <w:pPr>
              <w:spacing w:after="0" w:line="240" w:lineRule="auto"/>
              <w:jc w:val="right"/>
              <w:rPr>
                <w:rFonts w:eastAsia="Times New Roman" w:cs="Calibri"/>
                <w:kern w:val="0"/>
                <w:sz w:val="20"/>
                <w:szCs w:val="20"/>
                <w:lang w:eastAsia="pl-PL"/>
              </w:rPr>
            </w:pPr>
            <w:r w:rsidRPr="00787D28">
              <w:rPr>
                <w:rFonts w:eastAsia="Times New Roman" w:cs="Calibri"/>
                <w:kern w:val="0"/>
                <w:sz w:val="20"/>
                <w:szCs w:val="20"/>
                <w:lang w:eastAsia="pl-PL"/>
              </w:rPr>
              <w:t>32 328</w:t>
            </w:r>
          </w:p>
        </w:tc>
        <w:tc>
          <w:tcPr>
            <w:tcW w:w="1471" w:type="dxa"/>
            <w:shd w:val="clear" w:color="auto" w:fill="auto"/>
            <w:noWrap/>
            <w:vAlign w:val="bottom"/>
            <w:hideMark/>
          </w:tcPr>
          <w:p w:rsidR="003F2B0C" w:rsidRPr="00787D28" w:rsidRDefault="003F2B0C" w:rsidP="0084338D">
            <w:pPr>
              <w:spacing w:after="0" w:line="240" w:lineRule="auto"/>
              <w:jc w:val="right"/>
              <w:rPr>
                <w:rFonts w:eastAsia="Times New Roman" w:cs="Calibri"/>
                <w:kern w:val="0"/>
                <w:sz w:val="20"/>
                <w:szCs w:val="20"/>
                <w:lang w:eastAsia="pl-PL"/>
              </w:rPr>
            </w:pPr>
            <w:r w:rsidRPr="00787D28">
              <w:rPr>
                <w:rFonts w:eastAsia="Times New Roman" w:cs="Calibri"/>
                <w:kern w:val="0"/>
                <w:sz w:val="20"/>
                <w:szCs w:val="20"/>
                <w:lang w:eastAsia="pl-PL"/>
              </w:rPr>
              <w:t>32 273</w:t>
            </w:r>
          </w:p>
        </w:tc>
      </w:tr>
      <w:tr w:rsidR="003F2B0C" w:rsidRPr="00787D28" w:rsidTr="0084338D">
        <w:trPr>
          <w:trHeight w:val="227"/>
        </w:trPr>
        <w:tc>
          <w:tcPr>
            <w:tcW w:w="3124" w:type="dxa"/>
            <w:shd w:val="clear" w:color="auto" w:fill="auto"/>
            <w:noWrap/>
            <w:vAlign w:val="bottom"/>
            <w:hideMark/>
          </w:tcPr>
          <w:p w:rsidR="003F2B0C" w:rsidRPr="00787D28" w:rsidRDefault="003F2B0C" w:rsidP="0084338D">
            <w:pPr>
              <w:spacing w:after="0" w:line="240" w:lineRule="auto"/>
              <w:jc w:val="left"/>
              <w:rPr>
                <w:rFonts w:eastAsia="Times New Roman" w:cs="Calibri"/>
                <w:kern w:val="0"/>
                <w:sz w:val="20"/>
                <w:szCs w:val="20"/>
                <w:lang w:eastAsia="pl-PL"/>
              </w:rPr>
            </w:pPr>
            <w:r w:rsidRPr="00787D28">
              <w:rPr>
                <w:rFonts w:eastAsia="Times New Roman" w:cs="Calibri"/>
                <w:kern w:val="0"/>
                <w:sz w:val="20"/>
                <w:szCs w:val="20"/>
                <w:lang w:eastAsia="pl-PL"/>
              </w:rPr>
              <w:t>Miasto Poznań</w:t>
            </w:r>
          </w:p>
        </w:tc>
        <w:tc>
          <w:tcPr>
            <w:tcW w:w="1470" w:type="dxa"/>
            <w:shd w:val="clear" w:color="auto" w:fill="auto"/>
            <w:noWrap/>
            <w:vAlign w:val="bottom"/>
            <w:hideMark/>
          </w:tcPr>
          <w:p w:rsidR="003F2B0C" w:rsidRPr="00787D28" w:rsidRDefault="003F2B0C" w:rsidP="0084338D">
            <w:pPr>
              <w:spacing w:after="0" w:line="240" w:lineRule="auto"/>
              <w:jc w:val="right"/>
              <w:rPr>
                <w:rFonts w:eastAsia="Times New Roman" w:cs="Calibri"/>
                <w:kern w:val="0"/>
                <w:sz w:val="20"/>
                <w:szCs w:val="20"/>
                <w:lang w:eastAsia="pl-PL"/>
              </w:rPr>
            </w:pPr>
            <w:r w:rsidRPr="00787D28">
              <w:rPr>
                <w:rFonts w:eastAsia="Times New Roman" w:cs="Calibri"/>
                <w:kern w:val="0"/>
                <w:sz w:val="20"/>
                <w:szCs w:val="20"/>
                <w:lang w:eastAsia="pl-PL"/>
              </w:rPr>
              <w:t>24 920</w:t>
            </w:r>
          </w:p>
        </w:tc>
        <w:tc>
          <w:tcPr>
            <w:tcW w:w="1470" w:type="dxa"/>
            <w:shd w:val="clear" w:color="auto" w:fill="auto"/>
            <w:noWrap/>
            <w:vAlign w:val="bottom"/>
            <w:hideMark/>
          </w:tcPr>
          <w:p w:rsidR="003F2B0C" w:rsidRPr="00787D28" w:rsidRDefault="003F2B0C" w:rsidP="0084338D">
            <w:pPr>
              <w:spacing w:after="0" w:line="240" w:lineRule="auto"/>
              <w:jc w:val="right"/>
              <w:rPr>
                <w:rFonts w:eastAsia="Times New Roman" w:cs="Calibri"/>
                <w:kern w:val="0"/>
                <w:sz w:val="20"/>
                <w:szCs w:val="20"/>
                <w:lang w:eastAsia="pl-PL"/>
              </w:rPr>
            </w:pPr>
            <w:r w:rsidRPr="00787D28">
              <w:rPr>
                <w:rFonts w:eastAsia="Times New Roman" w:cs="Calibri"/>
                <w:kern w:val="0"/>
                <w:sz w:val="20"/>
                <w:szCs w:val="20"/>
                <w:lang w:eastAsia="pl-PL"/>
              </w:rPr>
              <w:t>24 509</w:t>
            </w:r>
          </w:p>
        </w:tc>
        <w:tc>
          <w:tcPr>
            <w:tcW w:w="1470" w:type="dxa"/>
            <w:shd w:val="clear" w:color="auto" w:fill="auto"/>
            <w:noWrap/>
            <w:vAlign w:val="bottom"/>
            <w:hideMark/>
          </w:tcPr>
          <w:p w:rsidR="003F2B0C" w:rsidRPr="00787D28" w:rsidRDefault="003F2B0C" w:rsidP="0084338D">
            <w:pPr>
              <w:spacing w:after="0" w:line="240" w:lineRule="auto"/>
              <w:jc w:val="right"/>
              <w:rPr>
                <w:rFonts w:eastAsia="Times New Roman" w:cs="Calibri"/>
                <w:kern w:val="0"/>
                <w:sz w:val="20"/>
                <w:szCs w:val="20"/>
                <w:lang w:eastAsia="pl-PL"/>
              </w:rPr>
            </w:pPr>
            <w:r w:rsidRPr="00787D28">
              <w:rPr>
                <w:rFonts w:eastAsia="Times New Roman" w:cs="Calibri"/>
                <w:kern w:val="0"/>
                <w:sz w:val="20"/>
                <w:szCs w:val="20"/>
                <w:lang w:eastAsia="pl-PL"/>
              </w:rPr>
              <w:t>24 509</w:t>
            </w:r>
          </w:p>
        </w:tc>
        <w:tc>
          <w:tcPr>
            <w:tcW w:w="1471" w:type="dxa"/>
            <w:shd w:val="clear" w:color="auto" w:fill="auto"/>
            <w:noWrap/>
            <w:vAlign w:val="bottom"/>
            <w:hideMark/>
          </w:tcPr>
          <w:p w:rsidR="003F2B0C" w:rsidRPr="00787D28" w:rsidRDefault="003F2B0C" w:rsidP="0084338D">
            <w:pPr>
              <w:spacing w:after="0" w:line="240" w:lineRule="auto"/>
              <w:jc w:val="right"/>
              <w:rPr>
                <w:rFonts w:eastAsia="Times New Roman" w:cs="Calibri"/>
                <w:kern w:val="0"/>
                <w:sz w:val="20"/>
                <w:szCs w:val="20"/>
                <w:lang w:eastAsia="pl-PL"/>
              </w:rPr>
            </w:pPr>
            <w:r w:rsidRPr="00787D28">
              <w:rPr>
                <w:rFonts w:eastAsia="Times New Roman" w:cs="Calibri"/>
                <w:kern w:val="0"/>
                <w:sz w:val="20"/>
                <w:szCs w:val="20"/>
                <w:lang w:eastAsia="pl-PL"/>
              </w:rPr>
              <w:t>23 774</w:t>
            </w:r>
          </w:p>
        </w:tc>
      </w:tr>
    </w:tbl>
    <w:p w:rsidR="003F2B0C" w:rsidRPr="002737CB" w:rsidRDefault="003F2B0C" w:rsidP="003F2B0C">
      <w:pPr>
        <w:spacing w:line="276" w:lineRule="auto"/>
        <w:rPr>
          <w:iCs/>
          <w:color w:val="363735" w:themeColor="accent3"/>
          <w:sz w:val="20"/>
          <w:szCs w:val="18"/>
        </w:rPr>
      </w:pPr>
      <w:r w:rsidRPr="002737CB">
        <w:rPr>
          <w:iCs/>
          <w:color w:val="363735" w:themeColor="accent3"/>
          <w:sz w:val="20"/>
          <w:szCs w:val="18"/>
        </w:rPr>
        <w:t xml:space="preserve">Źródło: opracowanie własne na podstawie danych GUS BDL, </w:t>
      </w:r>
      <w:r>
        <w:rPr>
          <w:iCs/>
          <w:color w:val="363735" w:themeColor="accent3"/>
          <w:sz w:val="20"/>
          <w:szCs w:val="18"/>
        </w:rPr>
        <w:t xml:space="preserve">dostęp </w:t>
      </w:r>
      <w:r w:rsidRPr="002737CB">
        <w:rPr>
          <w:iCs/>
          <w:color w:val="363735" w:themeColor="accent3"/>
          <w:sz w:val="20"/>
          <w:szCs w:val="18"/>
        </w:rPr>
        <w:t>30.01.2025. GUS udostępnia jedynie dane za okres 2020-2023.</w:t>
      </w:r>
    </w:p>
    <w:p w:rsidR="003F2B0C" w:rsidRPr="00EF410D" w:rsidRDefault="003F2B0C" w:rsidP="003F2B0C">
      <w:r>
        <w:t>L</w:t>
      </w:r>
      <w:r w:rsidRPr="00F87CDF">
        <w:t xml:space="preserve">iczba studentów </w:t>
      </w:r>
      <w:r>
        <w:t xml:space="preserve">na </w:t>
      </w:r>
      <w:r w:rsidRPr="00F87CDF">
        <w:t>Uniwersyte</w:t>
      </w:r>
      <w:r>
        <w:t>cie</w:t>
      </w:r>
      <w:r w:rsidRPr="00F87CDF">
        <w:t xml:space="preserve"> Techniczn</w:t>
      </w:r>
      <w:r>
        <w:t>ym</w:t>
      </w:r>
      <w:r w:rsidRPr="00F87CDF">
        <w:t xml:space="preserve"> w Dreźnie w 2023 roku wynosiła 33</w:t>
      </w:r>
      <w:r>
        <w:t> </w:t>
      </w:r>
      <w:r w:rsidRPr="00F87CDF">
        <w:t>452</w:t>
      </w:r>
      <w:r>
        <w:t xml:space="preserve">, na Brneńskim obszarze metropolitalnym znajdują się trzy uczelnie: </w:t>
      </w:r>
      <w:r w:rsidRPr="00F87CDF">
        <w:t>Uniwersytet Techniczny</w:t>
      </w:r>
      <w:r>
        <w:t>m</w:t>
      </w:r>
      <w:r w:rsidRPr="00F87CDF">
        <w:t xml:space="preserve"> w Brnie</w:t>
      </w:r>
      <w:r>
        <w:t xml:space="preserve"> liczba studentów 23 000, Uniwersytet Mendel (8 300 studentów), </w:t>
      </w:r>
      <w:r w:rsidRPr="00F87CDF">
        <w:t xml:space="preserve">Masaryk </w:t>
      </w:r>
      <w:proofErr w:type="spellStart"/>
      <w:r w:rsidRPr="00F87CDF">
        <w:t>University</w:t>
      </w:r>
      <w:proofErr w:type="spellEnd"/>
      <w:r w:rsidRPr="00F87CDF">
        <w:t xml:space="preserve"> </w:t>
      </w:r>
      <w:r>
        <w:t>(</w:t>
      </w:r>
      <w:r w:rsidRPr="00F4043F">
        <w:t>30</w:t>
      </w:r>
      <w:r>
        <w:t> </w:t>
      </w:r>
      <w:r w:rsidRPr="00F4043F">
        <w:t>890</w:t>
      </w:r>
      <w:r>
        <w:t xml:space="preserve"> studentów), które w sumie posiadają 62 190 studentów. </w:t>
      </w:r>
    </w:p>
    <w:p w:rsidR="003F2B0C" w:rsidRDefault="003F2B0C" w:rsidP="003F2B0C">
      <w:pPr>
        <w:rPr>
          <w:b/>
          <w:bCs/>
        </w:rPr>
      </w:pPr>
      <w:r w:rsidRPr="00776BD6">
        <w:rPr>
          <w:b/>
          <w:bCs/>
        </w:rPr>
        <w:t>7.Środowisko i przyroda (uwarunkowania przyrodnicze)</w:t>
      </w:r>
    </w:p>
    <w:p w:rsidR="00CA313E" w:rsidRPr="00CA313E" w:rsidRDefault="00CA313E" w:rsidP="00CA313E">
      <w:r w:rsidRPr="00CA313E">
        <w:t xml:space="preserve">Jednym z czynników wpływających na stan środowiska w miejskich obszarach funkcjonalnych jest poziom zadrzewienia tych obszarów. Drzewa zapewniają wiele korzyści dla środowiska miejskiego i jakości życia w miastach. Między innymi drzewa mogą pomóc w dostosowaniu się do zmieniającego się klimatu, obniżając temperaturę powietrza poprzez zacienienie i parowanie, zarządzanie wodami opadowymi i zmniejszanie prędkości wiatru. Mogą również działać jako pochłaniacz dwutlenku węgla, przyczyniając się w ten sposób do wysiłków na rzecz łagodzenia zmiany klimatu. Ze względu na dostępność danych w statystykach publicznych zarówno polskich jak i europejskich zestawiono ze sobą informacje dotyczące miast rdzeni, jako ośrodków oddziałujących na swoje najbliższe otoczenie i obszary funkcjonalne. Najlepiej w tym wskaźniku wypadło miasto Drezno, którego poziom zadrzewienia według danych z 2024 roku był na poziomie 38,37%. Najsłabiej natomiast wypadł Wrocław, którego pokrycie drzewami było na poziomie 25,35%. </w:t>
      </w:r>
    </w:p>
    <w:p w:rsidR="00CA313E" w:rsidRPr="00CA313E" w:rsidRDefault="00CA313E" w:rsidP="00CA313E">
      <w:pPr>
        <w:pStyle w:val="Legenda"/>
      </w:pPr>
      <w:bookmarkStart w:id="111" w:name="_Toc196905089"/>
      <w:r>
        <w:t xml:space="preserve">Tabela </w:t>
      </w:r>
      <w:fldSimple w:instr=" SEQ Tabela \* ARABIC ">
        <w:r w:rsidR="0084338D">
          <w:rPr>
            <w:noProof/>
          </w:rPr>
          <w:t>25</w:t>
        </w:r>
      </w:fldSimple>
      <w:r>
        <w:t>.</w:t>
      </w:r>
      <w:r w:rsidRPr="00CA313E">
        <w:t xml:space="preserve"> Pokrycie obszarów miejskich drzewami w km2 i % w miastach rdzeniach w 2024 r.</w:t>
      </w:r>
      <w:bookmarkEnd w:id="111"/>
      <w:r w:rsidRPr="00CA313E">
        <w:t xml:space="preserve"> </w:t>
      </w:r>
    </w:p>
    <w:tbl>
      <w:tblPr>
        <w:tblW w:w="83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216"/>
        <w:gridCol w:w="2328"/>
        <w:gridCol w:w="2328"/>
        <w:gridCol w:w="1492"/>
      </w:tblGrid>
      <w:tr w:rsidR="00CA313E" w:rsidRPr="00CA313E" w:rsidTr="00CA313E">
        <w:trPr>
          <w:trHeight w:val="978"/>
        </w:trPr>
        <w:tc>
          <w:tcPr>
            <w:tcW w:w="2216"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rsidR="00CA313E" w:rsidRPr="00CA313E" w:rsidRDefault="00CA313E" w:rsidP="00CA313E">
            <w:pPr>
              <w:spacing w:line="240" w:lineRule="auto"/>
              <w:rPr>
                <w:sz w:val="20"/>
                <w:szCs w:val="20"/>
                <w:lang w:val="en-US"/>
              </w:rPr>
            </w:pPr>
            <w:proofErr w:type="spellStart"/>
            <w:r w:rsidRPr="00CA313E">
              <w:rPr>
                <w:sz w:val="20"/>
                <w:szCs w:val="20"/>
                <w:lang w:val="en-US"/>
              </w:rPr>
              <w:t>Obszar</w:t>
            </w:r>
            <w:proofErr w:type="spellEnd"/>
            <w:r w:rsidRPr="00CA313E">
              <w:rPr>
                <w:sz w:val="20"/>
                <w:szCs w:val="20"/>
                <w:lang w:val="en-US"/>
              </w:rPr>
              <w:t xml:space="preserve"> </w:t>
            </w:r>
            <w:proofErr w:type="spellStart"/>
            <w:r w:rsidRPr="00CA313E">
              <w:rPr>
                <w:sz w:val="20"/>
                <w:szCs w:val="20"/>
                <w:lang w:val="en-US"/>
              </w:rPr>
              <w:t>miejski</w:t>
            </w:r>
            <w:proofErr w:type="spellEnd"/>
          </w:p>
          <w:p w:rsidR="00CA313E" w:rsidRPr="00CA313E" w:rsidRDefault="00CA313E" w:rsidP="00CA313E">
            <w:pPr>
              <w:spacing w:line="240" w:lineRule="auto"/>
              <w:rPr>
                <w:sz w:val="20"/>
                <w:szCs w:val="20"/>
                <w:lang w:val="en-US"/>
              </w:rPr>
            </w:pPr>
            <w:r w:rsidRPr="00CA313E">
              <w:rPr>
                <w:sz w:val="20"/>
                <w:szCs w:val="20"/>
                <w:lang w:val="en-US"/>
              </w:rPr>
              <w:t>(Functional Urban Area)</w:t>
            </w:r>
          </w:p>
        </w:tc>
        <w:tc>
          <w:tcPr>
            <w:tcW w:w="2328"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CA313E" w:rsidRPr="00CA313E" w:rsidRDefault="00CA313E" w:rsidP="00CA313E">
            <w:pPr>
              <w:spacing w:line="240" w:lineRule="auto"/>
              <w:rPr>
                <w:sz w:val="20"/>
                <w:szCs w:val="20"/>
              </w:rPr>
            </w:pPr>
            <w:r w:rsidRPr="00CA313E">
              <w:rPr>
                <w:sz w:val="20"/>
                <w:szCs w:val="20"/>
              </w:rPr>
              <w:t>Obszar w km2</w:t>
            </w:r>
          </w:p>
        </w:tc>
        <w:tc>
          <w:tcPr>
            <w:tcW w:w="2328"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CA313E" w:rsidRPr="00CA313E" w:rsidRDefault="00CA313E" w:rsidP="00CA313E">
            <w:pPr>
              <w:spacing w:line="240" w:lineRule="auto"/>
              <w:rPr>
                <w:sz w:val="20"/>
                <w:szCs w:val="20"/>
              </w:rPr>
            </w:pPr>
            <w:r w:rsidRPr="00CA313E">
              <w:rPr>
                <w:sz w:val="20"/>
                <w:szCs w:val="20"/>
              </w:rPr>
              <w:t>Pokrycie drzewami km2</w:t>
            </w:r>
          </w:p>
        </w:tc>
        <w:tc>
          <w:tcPr>
            <w:tcW w:w="1492"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CA313E" w:rsidRPr="00CA313E" w:rsidRDefault="00CA313E" w:rsidP="00CA313E">
            <w:pPr>
              <w:spacing w:line="240" w:lineRule="auto"/>
              <w:rPr>
                <w:sz w:val="20"/>
                <w:szCs w:val="20"/>
              </w:rPr>
            </w:pPr>
            <w:r w:rsidRPr="00CA313E">
              <w:rPr>
                <w:sz w:val="20"/>
                <w:szCs w:val="20"/>
              </w:rPr>
              <w:t>Porycie drzewami %</w:t>
            </w:r>
          </w:p>
        </w:tc>
      </w:tr>
      <w:tr w:rsidR="00CA313E" w:rsidRPr="00CA313E" w:rsidTr="00CA313E">
        <w:trPr>
          <w:trHeight w:val="326"/>
        </w:trPr>
        <w:tc>
          <w:tcPr>
            <w:tcW w:w="2216" w:type="dxa"/>
            <w:tcBorders>
              <w:top w:val="single" w:sz="4" w:space="0" w:color="auto"/>
              <w:left w:val="single" w:sz="4" w:space="0" w:color="auto"/>
              <w:bottom w:val="single" w:sz="4" w:space="0" w:color="auto"/>
              <w:right w:val="single" w:sz="4" w:space="0" w:color="auto"/>
            </w:tcBorders>
            <w:noWrap/>
            <w:vAlign w:val="bottom"/>
            <w:hideMark/>
          </w:tcPr>
          <w:p w:rsidR="00CA313E" w:rsidRPr="00CA313E" w:rsidRDefault="00CA313E" w:rsidP="00CA313E">
            <w:pPr>
              <w:spacing w:line="240" w:lineRule="auto"/>
              <w:rPr>
                <w:sz w:val="20"/>
                <w:szCs w:val="20"/>
              </w:rPr>
            </w:pPr>
            <w:r w:rsidRPr="00CA313E">
              <w:rPr>
                <w:sz w:val="20"/>
                <w:szCs w:val="20"/>
              </w:rPr>
              <w:t>Wrocław</w:t>
            </w:r>
          </w:p>
        </w:tc>
        <w:tc>
          <w:tcPr>
            <w:tcW w:w="2328" w:type="dxa"/>
            <w:tcBorders>
              <w:top w:val="single" w:sz="4" w:space="0" w:color="auto"/>
              <w:left w:val="single" w:sz="4" w:space="0" w:color="auto"/>
              <w:bottom w:val="single" w:sz="4" w:space="0" w:color="auto"/>
              <w:right w:val="single" w:sz="4" w:space="0" w:color="auto"/>
            </w:tcBorders>
            <w:noWrap/>
            <w:vAlign w:val="bottom"/>
            <w:hideMark/>
          </w:tcPr>
          <w:p w:rsidR="00CA313E" w:rsidRPr="00CA313E" w:rsidRDefault="00CA313E" w:rsidP="00CA313E">
            <w:pPr>
              <w:spacing w:line="240" w:lineRule="auto"/>
              <w:rPr>
                <w:sz w:val="20"/>
                <w:szCs w:val="20"/>
              </w:rPr>
            </w:pPr>
            <w:r w:rsidRPr="00CA313E">
              <w:rPr>
                <w:sz w:val="20"/>
                <w:szCs w:val="20"/>
              </w:rPr>
              <w:t>2 648</w:t>
            </w:r>
          </w:p>
        </w:tc>
        <w:tc>
          <w:tcPr>
            <w:tcW w:w="2328" w:type="dxa"/>
            <w:tcBorders>
              <w:top w:val="single" w:sz="4" w:space="0" w:color="auto"/>
              <w:left w:val="single" w:sz="4" w:space="0" w:color="auto"/>
              <w:bottom w:val="single" w:sz="4" w:space="0" w:color="auto"/>
              <w:right w:val="single" w:sz="4" w:space="0" w:color="auto"/>
            </w:tcBorders>
            <w:noWrap/>
            <w:vAlign w:val="bottom"/>
            <w:hideMark/>
          </w:tcPr>
          <w:p w:rsidR="00CA313E" w:rsidRPr="00CA313E" w:rsidRDefault="00CA313E" w:rsidP="00CA313E">
            <w:pPr>
              <w:spacing w:line="240" w:lineRule="auto"/>
              <w:rPr>
                <w:sz w:val="20"/>
                <w:szCs w:val="20"/>
              </w:rPr>
            </w:pPr>
            <w:r w:rsidRPr="00CA313E">
              <w:rPr>
                <w:sz w:val="20"/>
                <w:szCs w:val="20"/>
              </w:rPr>
              <w:t>671</w:t>
            </w:r>
          </w:p>
        </w:tc>
        <w:tc>
          <w:tcPr>
            <w:tcW w:w="1492" w:type="dxa"/>
            <w:tcBorders>
              <w:top w:val="single" w:sz="4" w:space="0" w:color="auto"/>
              <w:left w:val="single" w:sz="4" w:space="0" w:color="auto"/>
              <w:bottom w:val="single" w:sz="4" w:space="0" w:color="auto"/>
              <w:right w:val="single" w:sz="4" w:space="0" w:color="auto"/>
            </w:tcBorders>
            <w:noWrap/>
            <w:vAlign w:val="bottom"/>
            <w:hideMark/>
          </w:tcPr>
          <w:p w:rsidR="00CA313E" w:rsidRPr="00CA313E" w:rsidRDefault="00CA313E" w:rsidP="00CA313E">
            <w:pPr>
              <w:spacing w:line="240" w:lineRule="auto"/>
              <w:rPr>
                <w:sz w:val="20"/>
                <w:szCs w:val="20"/>
              </w:rPr>
            </w:pPr>
            <w:r w:rsidRPr="00CA313E">
              <w:rPr>
                <w:sz w:val="20"/>
                <w:szCs w:val="20"/>
              </w:rPr>
              <w:t>25,35</w:t>
            </w:r>
          </w:p>
        </w:tc>
      </w:tr>
      <w:tr w:rsidR="00CA313E" w:rsidRPr="00CA313E" w:rsidTr="00CA313E">
        <w:trPr>
          <w:trHeight w:val="326"/>
        </w:trPr>
        <w:tc>
          <w:tcPr>
            <w:tcW w:w="2216" w:type="dxa"/>
            <w:tcBorders>
              <w:top w:val="single" w:sz="4" w:space="0" w:color="auto"/>
              <w:left w:val="single" w:sz="4" w:space="0" w:color="auto"/>
              <w:bottom w:val="single" w:sz="4" w:space="0" w:color="auto"/>
              <w:right w:val="single" w:sz="4" w:space="0" w:color="auto"/>
            </w:tcBorders>
            <w:noWrap/>
            <w:vAlign w:val="bottom"/>
            <w:hideMark/>
          </w:tcPr>
          <w:p w:rsidR="00CA313E" w:rsidRPr="00CA313E" w:rsidRDefault="00CA313E" w:rsidP="00CA313E">
            <w:pPr>
              <w:spacing w:line="240" w:lineRule="auto"/>
              <w:rPr>
                <w:sz w:val="20"/>
                <w:szCs w:val="20"/>
              </w:rPr>
            </w:pPr>
            <w:r w:rsidRPr="00CA313E">
              <w:rPr>
                <w:sz w:val="20"/>
                <w:szCs w:val="20"/>
              </w:rPr>
              <w:t>Kraków</w:t>
            </w:r>
          </w:p>
        </w:tc>
        <w:tc>
          <w:tcPr>
            <w:tcW w:w="2328" w:type="dxa"/>
            <w:tcBorders>
              <w:top w:val="single" w:sz="4" w:space="0" w:color="auto"/>
              <w:left w:val="single" w:sz="4" w:space="0" w:color="auto"/>
              <w:bottom w:val="single" w:sz="4" w:space="0" w:color="auto"/>
              <w:right w:val="single" w:sz="4" w:space="0" w:color="auto"/>
            </w:tcBorders>
            <w:noWrap/>
            <w:vAlign w:val="bottom"/>
            <w:hideMark/>
          </w:tcPr>
          <w:p w:rsidR="00CA313E" w:rsidRPr="00CA313E" w:rsidRDefault="00CA313E" w:rsidP="00CA313E">
            <w:pPr>
              <w:spacing w:line="240" w:lineRule="auto"/>
              <w:rPr>
                <w:sz w:val="20"/>
                <w:szCs w:val="20"/>
              </w:rPr>
            </w:pPr>
            <w:r w:rsidRPr="00CA313E">
              <w:rPr>
                <w:sz w:val="20"/>
                <w:szCs w:val="20"/>
              </w:rPr>
              <w:t>3 758</w:t>
            </w:r>
          </w:p>
        </w:tc>
        <w:tc>
          <w:tcPr>
            <w:tcW w:w="2328" w:type="dxa"/>
            <w:tcBorders>
              <w:top w:val="single" w:sz="4" w:space="0" w:color="auto"/>
              <w:left w:val="single" w:sz="4" w:space="0" w:color="auto"/>
              <w:bottom w:val="single" w:sz="4" w:space="0" w:color="auto"/>
              <w:right w:val="single" w:sz="4" w:space="0" w:color="auto"/>
            </w:tcBorders>
            <w:noWrap/>
            <w:vAlign w:val="bottom"/>
            <w:hideMark/>
          </w:tcPr>
          <w:p w:rsidR="00CA313E" w:rsidRPr="00CA313E" w:rsidRDefault="00CA313E" w:rsidP="00CA313E">
            <w:pPr>
              <w:spacing w:line="240" w:lineRule="auto"/>
              <w:rPr>
                <w:sz w:val="20"/>
                <w:szCs w:val="20"/>
              </w:rPr>
            </w:pPr>
            <w:r w:rsidRPr="00CA313E">
              <w:rPr>
                <w:sz w:val="20"/>
                <w:szCs w:val="20"/>
              </w:rPr>
              <w:t>1062</w:t>
            </w:r>
          </w:p>
        </w:tc>
        <w:tc>
          <w:tcPr>
            <w:tcW w:w="1492" w:type="dxa"/>
            <w:tcBorders>
              <w:top w:val="single" w:sz="4" w:space="0" w:color="auto"/>
              <w:left w:val="single" w:sz="4" w:space="0" w:color="auto"/>
              <w:bottom w:val="single" w:sz="4" w:space="0" w:color="auto"/>
              <w:right w:val="single" w:sz="4" w:space="0" w:color="auto"/>
            </w:tcBorders>
            <w:noWrap/>
            <w:vAlign w:val="bottom"/>
            <w:hideMark/>
          </w:tcPr>
          <w:p w:rsidR="00CA313E" w:rsidRPr="00CA313E" w:rsidRDefault="00CA313E" w:rsidP="00CA313E">
            <w:pPr>
              <w:spacing w:line="240" w:lineRule="auto"/>
              <w:rPr>
                <w:sz w:val="20"/>
                <w:szCs w:val="20"/>
              </w:rPr>
            </w:pPr>
            <w:r w:rsidRPr="00CA313E">
              <w:rPr>
                <w:sz w:val="20"/>
                <w:szCs w:val="20"/>
              </w:rPr>
              <w:t>28,25</w:t>
            </w:r>
          </w:p>
        </w:tc>
      </w:tr>
      <w:tr w:rsidR="00CA313E" w:rsidRPr="00CA313E" w:rsidTr="00CA313E">
        <w:trPr>
          <w:trHeight w:val="326"/>
        </w:trPr>
        <w:tc>
          <w:tcPr>
            <w:tcW w:w="2216" w:type="dxa"/>
            <w:tcBorders>
              <w:top w:val="single" w:sz="4" w:space="0" w:color="auto"/>
              <w:left w:val="single" w:sz="4" w:space="0" w:color="auto"/>
              <w:bottom w:val="single" w:sz="4" w:space="0" w:color="auto"/>
              <w:right w:val="single" w:sz="4" w:space="0" w:color="auto"/>
            </w:tcBorders>
            <w:noWrap/>
            <w:vAlign w:val="bottom"/>
            <w:hideMark/>
          </w:tcPr>
          <w:p w:rsidR="00CA313E" w:rsidRPr="00CA313E" w:rsidRDefault="00CA313E" w:rsidP="00CA313E">
            <w:pPr>
              <w:spacing w:line="240" w:lineRule="auto"/>
              <w:rPr>
                <w:sz w:val="20"/>
                <w:szCs w:val="20"/>
              </w:rPr>
            </w:pPr>
            <w:r w:rsidRPr="00CA313E">
              <w:rPr>
                <w:sz w:val="20"/>
                <w:szCs w:val="20"/>
              </w:rPr>
              <w:t>Poznań</w:t>
            </w:r>
          </w:p>
        </w:tc>
        <w:tc>
          <w:tcPr>
            <w:tcW w:w="2328" w:type="dxa"/>
            <w:tcBorders>
              <w:top w:val="single" w:sz="4" w:space="0" w:color="auto"/>
              <w:left w:val="single" w:sz="4" w:space="0" w:color="auto"/>
              <w:bottom w:val="single" w:sz="4" w:space="0" w:color="auto"/>
              <w:right w:val="single" w:sz="4" w:space="0" w:color="auto"/>
            </w:tcBorders>
            <w:noWrap/>
            <w:vAlign w:val="bottom"/>
            <w:hideMark/>
          </w:tcPr>
          <w:p w:rsidR="00CA313E" w:rsidRPr="00CA313E" w:rsidRDefault="00CA313E" w:rsidP="00CA313E">
            <w:pPr>
              <w:spacing w:line="240" w:lineRule="auto"/>
              <w:rPr>
                <w:sz w:val="20"/>
                <w:szCs w:val="20"/>
              </w:rPr>
            </w:pPr>
            <w:r w:rsidRPr="00CA313E">
              <w:rPr>
                <w:sz w:val="20"/>
                <w:szCs w:val="20"/>
              </w:rPr>
              <w:t>3 093</w:t>
            </w:r>
          </w:p>
        </w:tc>
        <w:tc>
          <w:tcPr>
            <w:tcW w:w="2328" w:type="dxa"/>
            <w:tcBorders>
              <w:top w:val="single" w:sz="4" w:space="0" w:color="auto"/>
              <w:left w:val="single" w:sz="4" w:space="0" w:color="auto"/>
              <w:bottom w:val="single" w:sz="4" w:space="0" w:color="auto"/>
              <w:right w:val="single" w:sz="4" w:space="0" w:color="auto"/>
            </w:tcBorders>
            <w:noWrap/>
            <w:vAlign w:val="bottom"/>
            <w:hideMark/>
          </w:tcPr>
          <w:p w:rsidR="00CA313E" w:rsidRPr="00CA313E" w:rsidRDefault="00CA313E" w:rsidP="00CA313E">
            <w:pPr>
              <w:spacing w:line="240" w:lineRule="auto"/>
              <w:rPr>
                <w:sz w:val="20"/>
                <w:szCs w:val="20"/>
              </w:rPr>
            </w:pPr>
            <w:r w:rsidRPr="00CA313E">
              <w:rPr>
                <w:sz w:val="20"/>
                <w:szCs w:val="20"/>
              </w:rPr>
              <w:t>967</w:t>
            </w:r>
          </w:p>
        </w:tc>
        <w:tc>
          <w:tcPr>
            <w:tcW w:w="1492" w:type="dxa"/>
            <w:tcBorders>
              <w:top w:val="single" w:sz="4" w:space="0" w:color="auto"/>
              <w:left w:val="single" w:sz="4" w:space="0" w:color="auto"/>
              <w:bottom w:val="single" w:sz="4" w:space="0" w:color="auto"/>
              <w:right w:val="single" w:sz="4" w:space="0" w:color="auto"/>
            </w:tcBorders>
            <w:noWrap/>
            <w:vAlign w:val="bottom"/>
            <w:hideMark/>
          </w:tcPr>
          <w:p w:rsidR="00CA313E" w:rsidRPr="00CA313E" w:rsidRDefault="00CA313E" w:rsidP="00CA313E">
            <w:pPr>
              <w:spacing w:line="240" w:lineRule="auto"/>
              <w:rPr>
                <w:sz w:val="20"/>
                <w:szCs w:val="20"/>
              </w:rPr>
            </w:pPr>
            <w:r w:rsidRPr="00CA313E">
              <w:rPr>
                <w:sz w:val="20"/>
                <w:szCs w:val="20"/>
              </w:rPr>
              <w:t>31,26</w:t>
            </w:r>
          </w:p>
        </w:tc>
      </w:tr>
      <w:tr w:rsidR="00CA313E" w:rsidRPr="00CA313E" w:rsidTr="00CA313E">
        <w:trPr>
          <w:trHeight w:val="326"/>
        </w:trPr>
        <w:tc>
          <w:tcPr>
            <w:tcW w:w="2216" w:type="dxa"/>
            <w:tcBorders>
              <w:top w:val="single" w:sz="4" w:space="0" w:color="auto"/>
              <w:left w:val="single" w:sz="4" w:space="0" w:color="auto"/>
              <w:bottom w:val="single" w:sz="4" w:space="0" w:color="auto"/>
              <w:right w:val="single" w:sz="4" w:space="0" w:color="auto"/>
            </w:tcBorders>
            <w:noWrap/>
            <w:vAlign w:val="bottom"/>
            <w:hideMark/>
          </w:tcPr>
          <w:p w:rsidR="00CA313E" w:rsidRPr="00CA313E" w:rsidRDefault="00CA313E" w:rsidP="00CA313E">
            <w:pPr>
              <w:spacing w:line="240" w:lineRule="auto"/>
              <w:rPr>
                <w:sz w:val="20"/>
                <w:szCs w:val="20"/>
              </w:rPr>
            </w:pPr>
            <w:r w:rsidRPr="00CA313E">
              <w:rPr>
                <w:sz w:val="20"/>
                <w:szCs w:val="20"/>
              </w:rPr>
              <w:t>Brno</w:t>
            </w:r>
          </w:p>
        </w:tc>
        <w:tc>
          <w:tcPr>
            <w:tcW w:w="2328" w:type="dxa"/>
            <w:tcBorders>
              <w:top w:val="single" w:sz="4" w:space="0" w:color="auto"/>
              <w:left w:val="single" w:sz="4" w:space="0" w:color="auto"/>
              <w:bottom w:val="single" w:sz="4" w:space="0" w:color="auto"/>
              <w:right w:val="single" w:sz="4" w:space="0" w:color="auto"/>
            </w:tcBorders>
            <w:noWrap/>
            <w:vAlign w:val="bottom"/>
            <w:hideMark/>
          </w:tcPr>
          <w:p w:rsidR="00CA313E" w:rsidRPr="00CA313E" w:rsidRDefault="00CA313E" w:rsidP="00CA313E">
            <w:pPr>
              <w:spacing w:line="240" w:lineRule="auto"/>
              <w:rPr>
                <w:sz w:val="20"/>
                <w:szCs w:val="20"/>
              </w:rPr>
            </w:pPr>
            <w:r w:rsidRPr="00CA313E">
              <w:rPr>
                <w:sz w:val="20"/>
                <w:szCs w:val="20"/>
              </w:rPr>
              <w:t>2 679</w:t>
            </w:r>
          </w:p>
        </w:tc>
        <w:tc>
          <w:tcPr>
            <w:tcW w:w="2328" w:type="dxa"/>
            <w:tcBorders>
              <w:top w:val="single" w:sz="4" w:space="0" w:color="auto"/>
              <w:left w:val="single" w:sz="4" w:space="0" w:color="auto"/>
              <w:bottom w:val="single" w:sz="4" w:space="0" w:color="auto"/>
              <w:right w:val="single" w:sz="4" w:space="0" w:color="auto"/>
            </w:tcBorders>
            <w:noWrap/>
            <w:vAlign w:val="bottom"/>
            <w:hideMark/>
          </w:tcPr>
          <w:p w:rsidR="00CA313E" w:rsidRPr="00CA313E" w:rsidRDefault="00CA313E" w:rsidP="00CA313E">
            <w:pPr>
              <w:spacing w:line="240" w:lineRule="auto"/>
              <w:rPr>
                <w:sz w:val="20"/>
                <w:szCs w:val="20"/>
              </w:rPr>
            </w:pPr>
            <w:r w:rsidRPr="00CA313E">
              <w:rPr>
                <w:sz w:val="20"/>
                <w:szCs w:val="20"/>
              </w:rPr>
              <w:t>988</w:t>
            </w:r>
          </w:p>
        </w:tc>
        <w:tc>
          <w:tcPr>
            <w:tcW w:w="1492" w:type="dxa"/>
            <w:tcBorders>
              <w:top w:val="single" w:sz="4" w:space="0" w:color="auto"/>
              <w:left w:val="single" w:sz="4" w:space="0" w:color="auto"/>
              <w:bottom w:val="single" w:sz="4" w:space="0" w:color="auto"/>
              <w:right w:val="single" w:sz="4" w:space="0" w:color="auto"/>
            </w:tcBorders>
            <w:noWrap/>
            <w:vAlign w:val="bottom"/>
            <w:hideMark/>
          </w:tcPr>
          <w:p w:rsidR="00CA313E" w:rsidRPr="00CA313E" w:rsidRDefault="00CA313E" w:rsidP="00CA313E">
            <w:pPr>
              <w:spacing w:line="240" w:lineRule="auto"/>
              <w:rPr>
                <w:sz w:val="20"/>
                <w:szCs w:val="20"/>
              </w:rPr>
            </w:pPr>
            <w:r w:rsidRPr="00CA313E">
              <w:rPr>
                <w:sz w:val="20"/>
                <w:szCs w:val="20"/>
              </w:rPr>
              <w:t>36,89</w:t>
            </w:r>
          </w:p>
        </w:tc>
      </w:tr>
      <w:tr w:rsidR="00CA313E" w:rsidRPr="00CA313E" w:rsidTr="00CA313E">
        <w:trPr>
          <w:trHeight w:val="326"/>
        </w:trPr>
        <w:tc>
          <w:tcPr>
            <w:tcW w:w="2216" w:type="dxa"/>
            <w:tcBorders>
              <w:top w:val="single" w:sz="4" w:space="0" w:color="auto"/>
              <w:left w:val="single" w:sz="4" w:space="0" w:color="auto"/>
              <w:bottom w:val="single" w:sz="4" w:space="0" w:color="auto"/>
              <w:right w:val="single" w:sz="4" w:space="0" w:color="auto"/>
            </w:tcBorders>
            <w:noWrap/>
            <w:vAlign w:val="bottom"/>
            <w:hideMark/>
          </w:tcPr>
          <w:p w:rsidR="00CA313E" w:rsidRPr="00CA313E" w:rsidRDefault="00CA313E" w:rsidP="00CA313E">
            <w:pPr>
              <w:spacing w:line="240" w:lineRule="auto"/>
              <w:rPr>
                <w:sz w:val="20"/>
                <w:szCs w:val="20"/>
              </w:rPr>
            </w:pPr>
            <w:proofErr w:type="spellStart"/>
            <w:r w:rsidRPr="00CA313E">
              <w:rPr>
                <w:sz w:val="20"/>
                <w:szCs w:val="20"/>
              </w:rPr>
              <w:t>Dresden</w:t>
            </w:r>
            <w:proofErr w:type="spellEnd"/>
          </w:p>
        </w:tc>
        <w:tc>
          <w:tcPr>
            <w:tcW w:w="2328" w:type="dxa"/>
            <w:tcBorders>
              <w:top w:val="single" w:sz="4" w:space="0" w:color="auto"/>
              <w:left w:val="single" w:sz="4" w:space="0" w:color="auto"/>
              <w:bottom w:val="single" w:sz="4" w:space="0" w:color="auto"/>
              <w:right w:val="single" w:sz="4" w:space="0" w:color="auto"/>
            </w:tcBorders>
            <w:noWrap/>
            <w:vAlign w:val="bottom"/>
            <w:hideMark/>
          </w:tcPr>
          <w:p w:rsidR="00CA313E" w:rsidRPr="00CA313E" w:rsidRDefault="00CA313E" w:rsidP="00CA313E">
            <w:pPr>
              <w:spacing w:line="240" w:lineRule="auto"/>
              <w:rPr>
                <w:sz w:val="20"/>
                <w:szCs w:val="20"/>
              </w:rPr>
            </w:pPr>
            <w:r w:rsidRPr="00CA313E">
              <w:rPr>
                <w:sz w:val="20"/>
                <w:szCs w:val="20"/>
              </w:rPr>
              <w:t>5 833</w:t>
            </w:r>
          </w:p>
        </w:tc>
        <w:tc>
          <w:tcPr>
            <w:tcW w:w="2328" w:type="dxa"/>
            <w:tcBorders>
              <w:top w:val="single" w:sz="4" w:space="0" w:color="auto"/>
              <w:left w:val="single" w:sz="4" w:space="0" w:color="auto"/>
              <w:bottom w:val="single" w:sz="4" w:space="0" w:color="auto"/>
              <w:right w:val="single" w:sz="4" w:space="0" w:color="auto"/>
            </w:tcBorders>
            <w:noWrap/>
            <w:vAlign w:val="bottom"/>
            <w:hideMark/>
          </w:tcPr>
          <w:p w:rsidR="00CA313E" w:rsidRPr="00CA313E" w:rsidRDefault="00CA313E" w:rsidP="00CA313E">
            <w:pPr>
              <w:spacing w:line="240" w:lineRule="auto"/>
              <w:rPr>
                <w:sz w:val="20"/>
                <w:szCs w:val="20"/>
              </w:rPr>
            </w:pPr>
            <w:r w:rsidRPr="00CA313E">
              <w:rPr>
                <w:sz w:val="20"/>
                <w:szCs w:val="20"/>
              </w:rPr>
              <w:t>2238</w:t>
            </w:r>
          </w:p>
        </w:tc>
        <w:tc>
          <w:tcPr>
            <w:tcW w:w="1492" w:type="dxa"/>
            <w:tcBorders>
              <w:top w:val="single" w:sz="4" w:space="0" w:color="auto"/>
              <w:left w:val="single" w:sz="4" w:space="0" w:color="auto"/>
              <w:bottom w:val="single" w:sz="4" w:space="0" w:color="auto"/>
              <w:right w:val="single" w:sz="4" w:space="0" w:color="auto"/>
            </w:tcBorders>
            <w:noWrap/>
            <w:vAlign w:val="bottom"/>
            <w:hideMark/>
          </w:tcPr>
          <w:p w:rsidR="00CA313E" w:rsidRPr="00CA313E" w:rsidRDefault="00CA313E" w:rsidP="00CA313E">
            <w:pPr>
              <w:spacing w:line="240" w:lineRule="auto"/>
              <w:rPr>
                <w:sz w:val="20"/>
                <w:szCs w:val="20"/>
              </w:rPr>
            </w:pPr>
            <w:r w:rsidRPr="00CA313E">
              <w:rPr>
                <w:sz w:val="20"/>
                <w:szCs w:val="20"/>
              </w:rPr>
              <w:t>38,37</w:t>
            </w:r>
          </w:p>
        </w:tc>
      </w:tr>
    </w:tbl>
    <w:p w:rsidR="00CA313E" w:rsidRPr="00CA313E" w:rsidRDefault="00CA313E" w:rsidP="00CA313E">
      <w:pPr>
        <w:rPr>
          <w:color w:val="363735" w:themeColor="accent3"/>
          <w:sz w:val="20"/>
          <w:szCs w:val="20"/>
        </w:rPr>
      </w:pPr>
      <w:r w:rsidRPr="00CA313E">
        <w:rPr>
          <w:color w:val="363735" w:themeColor="accent3"/>
          <w:sz w:val="20"/>
          <w:szCs w:val="20"/>
        </w:rPr>
        <w:t xml:space="preserve">Źródło: Opracowanie własne na podstawie </w:t>
      </w:r>
      <w:proofErr w:type="spellStart"/>
      <w:r w:rsidRPr="00CA313E">
        <w:rPr>
          <w:color w:val="363735" w:themeColor="accent3"/>
          <w:sz w:val="20"/>
          <w:szCs w:val="20"/>
        </w:rPr>
        <w:t>European</w:t>
      </w:r>
      <w:proofErr w:type="spellEnd"/>
      <w:r w:rsidRPr="00CA313E">
        <w:rPr>
          <w:color w:val="363735" w:themeColor="accent3"/>
          <w:sz w:val="20"/>
          <w:szCs w:val="20"/>
        </w:rPr>
        <w:t xml:space="preserve"> Environment </w:t>
      </w:r>
      <w:proofErr w:type="spellStart"/>
      <w:r w:rsidRPr="00CA313E">
        <w:rPr>
          <w:color w:val="363735" w:themeColor="accent3"/>
          <w:sz w:val="20"/>
          <w:szCs w:val="20"/>
        </w:rPr>
        <w:t>Agency</w:t>
      </w:r>
      <w:proofErr w:type="spellEnd"/>
      <w:r w:rsidRPr="00CA313E">
        <w:rPr>
          <w:color w:val="363735" w:themeColor="accent3"/>
          <w:sz w:val="20"/>
          <w:szCs w:val="20"/>
        </w:rPr>
        <w:t>, dostęp 30.04.2025</w:t>
      </w:r>
    </w:p>
    <w:p w:rsidR="003F2B0C" w:rsidRDefault="003F2B0C" w:rsidP="003F2B0C">
      <w:r w:rsidRPr="00C36071">
        <w:lastRenderedPageBreak/>
        <w:t xml:space="preserve">Pod względem obszarów chronionych </w:t>
      </w:r>
      <w:r>
        <w:t xml:space="preserve">wśród polskich funkcjonalnych </w:t>
      </w:r>
      <w:r w:rsidRPr="00C36071">
        <w:t>największa powierzchnia na jednego mieszkańca przypada w Metropolii Poznań - 22 703,3 m2, najmniejsza natomiast we Wrocławskim Obszarze Funkcjonalnym -8440,7 m2.</w:t>
      </w:r>
      <w:r>
        <w:t xml:space="preserve"> Podobnie wygląda sytuacja w przypadku liczby pomników przyrody na 100 km, najwięcej pomników znajduje się w Metropolii Poznań – 585,1 , a najmniej na obszarze Wrocławskiego Obszaru Funkcjonalnego – 294,9. </w:t>
      </w:r>
    </w:p>
    <w:p w:rsidR="003F2B0C" w:rsidRDefault="003F2B0C" w:rsidP="003F2B0C">
      <w:pPr>
        <w:pStyle w:val="Legenda"/>
      </w:pPr>
      <w:bookmarkStart w:id="112" w:name="_Toc196867077"/>
      <w:bookmarkStart w:id="113" w:name="_Toc196905090"/>
      <w:r>
        <w:t xml:space="preserve">Tabela </w:t>
      </w:r>
      <w:fldSimple w:instr=" SEQ Tabela \* ARABIC ">
        <w:r w:rsidR="0084338D">
          <w:rPr>
            <w:noProof/>
          </w:rPr>
          <w:t>26</w:t>
        </w:r>
      </w:fldSimple>
      <w:r>
        <w:t>. Charakterystyka obszarów chronionych.</w:t>
      </w:r>
      <w:bookmarkEnd w:id="112"/>
      <w:bookmarkEnd w:id="113"/>
    </w:p>
    <w:tbl>
      <w:tblPr>
        <w:tblW w:w="9097" w:type="dxa"/>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CellMar>
          <w:left w:w="70" w:type="dxa"/>
          <w:right w:w="70" w:type="dxa"/>
        </w:tblCellMar>
        <w:tblLook w:val="04A0"/>
      </w:tblPr>
      <w:tblGrid>
        <w:gridCol w:w="2309"/>
        <w:gridCol w:w="1131"/>
        <w:gridCol w:w="1131"/>
        <w:gridCol w:w="1131"/>
        <w:gridCol w:w="1131"/>
        <w:gridCol w:w="1131"/>
        <w:gridCol w:w="1133"/>
      </w:tblGrid>
      <w:tr w:rsidR="003F2B0C" w:rsidRPr="00C36071" w:rsidTr="0084338D">
        <w:trPr>
          <w:trHeight w:val="322"/>
        </w:trPr>
        <w:tc>
          <w:tcPr>
            <w:tcW w:w="2309" w:type="dxa"/>
            <w:shd w:val="clear" w:color="auto" w:fill="FFC000"/>
            <w:noWrap/>
            <w:vAlign w:val="bottom"/>
            <w:hideMark/>
          </w:tcPr>
          <w:p w:rsidR="003F2B0C" w:rsidRPr="00C36071" w:rsidRDefault="003F2B0C" w:rsidP="0084338D">
            <w:pPr>
              <w:spacing w:after="0" w:line="240" w:lineRule="auto"/>
              <w:jc w:val="left"/>
              <w:rPr>
                <w:rFonts w:eastAsia="Times New Roman" w:cs="Times New Roman"/>
                <w:kern w:val="0"/>
                <w:sz w:val="20"/>
                <w:szCs w:val="20"/>
                <w:lang w:eastAsia="pl-PL"/>
              </w:rPr>
            </w:pPr>
          </w:p>
        </w:tc>
        <w:tc>
          <w:tcPr>
            <w:tcW w:w="1131" w:type="dxa"/>
            <w:shd w:val="clear" w:color="auto" w:fill="FFC000"/>
            <w:vAlign w:val="center"/>
            <w:hideMark/>
          </w:tcPr>
          <w:p w:rsidR="003F2B0C" w:rsidRPr="00C36071" w:rsidRDefault="003F2B0C" w:rsidP="0084338D">
            <w:pPr>
              <w:spacing w:after="0" w:line="240" w:lineRule="auto"/>
              <w:jc w:val="left"/>
              <w:rPr>
                <w:rFonts w:eastAsia="Times New Roman" w:cs="Calibri"/>
                <w:color w:val="000000"/>
                <w:kern w:val="0"/>
                <w:sz w:val="20"/>
                <w:szCs w:val="20"/>
                <w:lang w:eastAsia="pl-PL"/>
              </w:rPr>
            </w:pPr>
            <w:r w:rsidRPr="00C36071">
              <w:rPr>
                <w:rFonts w:eastAsia="Times New Roman" w:cs="Calibri"/>
                <w:color w:val="000000"/>
                <w:kern w:val="0"/>
                <w:sz w:val="20"/>
                <w:szCs w:val="20"/>
                <w:lang w:eastAsia="pl-PL"/>
              </w:rPr>
              <w:t>2018</w:t>
            </w:r>
          </w:p>
        </w:tc>
        <w:tc>
          <w:tcPr>
            <w:tcW w:w="1131" w:type="dxa"/>
            <w:shd w:val="clear" w:color="auto" w:fill="FFC000"/>
            <w:vAlign w:val="center"/>
            <w:hideMark/>
          </w:tcPr>
          <w:p w:rsidR="003F2B0C" w:rsidRPr="00C36071" w:rsidRDefault="003F2B0C" w:rsidP="0084338D">
            <w:pPr>
              <w:spacing w:after="0" w:line="240" w:lineRule="auto"/>
              <w:jc w:val="left"/>
              <w:rPr>
                <w:rFonts w:eastAsia="Times New Roman" w:cs="Calibri"/>
                <w:color w:val="000000"/>
                <w:kern w:val="0"/>
                <w:sz w:val="20"/>
                <w:szCs w:val="20"/>
                <w:lang w:eastAsia="pl-PL"/>
              </w:rPr>
            </w:pPr>
            <w:r w:rsidRPr="00C36071">
              <w:rPr>
                <w:rFonts w:eastAsia="Times New Roman" w:cs="Calibri"/>
                <w:color w:val="000000"/>
                <w:kern w:val="0"/>
                <w:sz w:val="20"/>
                <w:szCs w:val="20"/>
                <w:lang w:eastAsia="pl-PL"/>
              </w:rPr>
              <w:t>2019</w:t>
            </w:r>
          </w:p>
        </w:tc>
        <w:tc>
          <w:tcPr>
            <w:tcW w:w="1131" w:type="dxa"/>
            <w:shd w:val="clear" w:color="auto" w:fill="FFC000"/>
            <w:vAlign w:val="center"/>
            <w:hideMark/>
          </w:tcPr>
          <w:p w:rsidR="003F2B0C" w:rsidRPr="00C36071" w:rsidRDefault="003F2B0C" w:rsidP="0084338D">
            <w:pPr>
              <w:spacing w:after="0" w:line="240" w:lineRule="auto"/>
              <w:jc w:val="left"/>
              <w:rPr>
                <w:rFonts w:eastAsia="Times New Roman" w:cs="Calibri"/>
                <w:color w:val="000000"/>
                <w:kern w:val="0"/>
                <w:sz w:val="20"/>
                <w:szCs w:val="20"/>
                <w:lang w:eastAsia="pl-PL"/>
              </w:rPr>
            </w:pPr>
            <w:r w:rsidRPr="00C36071">
              <w:rPr>
                <w:rFonts w:eastAsia="Times New Roman" w:cs="Calibri"/>
                <w:color w:val="000000"/>
                <w:kern w:val="0"/>
                <w:sz w:val="20"/>
                <w:szCs w:val="20"/>
                <w:lang w:eastAsia="pl-PL"/>
              </w:rPr>
              <w:t>2020</w:t>
            </w:r>
          </w:p>
        </w:tc>
        <w:tc>
          <w:tcPr>
            <w:tcW w:w="1131" w:type="dxa"/>
            <w:shd w:val="clear" w:color="auto" w:fill="FFC000"/>
            <w:vAlign w:val="center"/>
            <w:hideMark/>
          </w:tcPr>
          <w:p w:rsidR="003F2B0C" w:rsidRPr="00C36071" w:rsidRDefault="003F2B0C" w:rsidP="0084338D">
            <w:pPr>
              <w:spacing w:after="0" w:line="240" w:lineRule="auto"/>
              <w:jc w:val="left"/>
              <w:rPr>
                <w:rFonts w:eastAsia="Times New Roman" w:cs="Calibri"/>
                <w:color w:val="000000"/>
                <w:kern w:val="0"/>
                <w:sz w:val="20"/>
                <w:szCs w:val="20"/>
                <w:lang w:eastAsia="pl-PL"/>
              </w:rPr>
            </w:pPr>
            <w:r w:rsidRPr="00C36071">
              <w:rPr>
                <w:rFonts w:eastAsia="Times New Roman" w:cs="Calibri"/>
                <w:color w:val="000000"/>
                <w:kern w:val="0"/>
                <w:sz w:val="20"/>
                <w:szCs w:val="20"/>
                <w:lang w:eastAsia="pl-PL"/>
              </w:rPr>
              <w:t>2021</w:t>
            </w:r>
          </w:p>
        </w:tc>
        <w:tc>
          <w:tcPr>
            <w:tcW w:w="1131" w:type="dxa"/>
            <w:shd w:val="clear" w:color="auto" w:fill="FFC000"/>
            <w:vAlign w:val="center"/>
            <w:hideMark/>
          </w:tcPr>
          <w:p w:rsidR="003F2B0C" w:rsidRPr="00C36071" w:rsidRDefault="003F2B0C" w:rsidP="0084338D">
            <w:pPr>
              <w:spacing w:after="0" w:line="240" w:lineRule="auto"/>
              <w:jc w:val="left"/>
              <w:rPr>
                <w:rFonts w:eastAsia="Times New Roman" w:cs="Calibri"/>
                <w:color w:val="000000"/>
                <w:kern w:val="0"/>
                <w:sz w:val="20"/>
                <w:szCs w:val="20"/>
                <w:lang w:eastAsia="pl-PL"/>
              </w:rPr>
            </w:pPr>
            <w:r w:rsidRPr="00C36071">
              <w:rPr>
                <w:rFonts w:eastAsia="Times New Roman" w:cs="Calibri"/>
                <w:color w:val="000000"/>
                <w:kern w:val="0"/>
                <w:sz w:val="20"/>
                <w:szCs w:val="20"/>
                <w:lang w:eastAsia="pl-PL"/>
              </w:rPr>
              <w:t>2022</w:t>
            </w:r>
          </w:p>
        </w:tc>
        <w:tc>
          <w:tcPr>
            <w:tcW w:w="1133" w:type="dxa"/>
            <w:shd w:val="clear" w:color="auto" w:fill="FFC000"/>
            <w:vAlign w:val="center"/>
            <w:hideMark/>
          </w:tcPr>
          <w:p w:rsidR="003F2B0C" w:rsidRPr="00C36071" w:rsidRDefault="003F2B0C" w:rsidP="0084338D">
            <w:pPr>
              <w:spacing w:after="0" w:line="240" w:lineRule="auto"/>
              <w:jc w:val="left"/>
              <w:rPr>
                <w:rFonts w:eastAsia="Times New Roman" w:cs="Calibri"/>
                <w:color w:val="000000"/>
                <w:kern w:val="0"/>
                <w:sz w:val="20"/>
                <w:szCs w:val="20"/>
                <w:lang w:eastAsia="pl-PL"/>
              </w:rPr>
            </w:pPr>
            <w:r w:rsidRPr="00C36071">
              <w:rPr>
                <w:rFonts w:eastAsia="Times New Roman" w:cs="Calibri"/>
                <w:color w:val="000000"/>
                <w:kern w:val="0"/>
                <w:sz w:val="20"/>
                <w:szCs w:val="20"/>
                <w:lang w:eastAsia="pl-PL"/>
              </w:rPr>
              <w:t>2023</w:t>
            </w:r>
          </w:p>
        </w:tc>
      </w:tr>
      <w:tr w:rsidR="003F2B0C" w:rsidRPr="00C36071" w:rsidTr="0084338D">
        <w:trPr>
          <w:trHeight w:val="322"/>
        </w:trPr>
        <w:tc>
          <w:tcPr>
            <w:tcW w:w="2309" w:type="dxa"/>
            <w:shd w:val="clear" w:color="auto" w:fill="FFC000"/>
            <w:noWrap/>
            <w:vAlign w:val="bottom"/>
            <w:hideMark/>
          </w:tcPr>
          <w:p w:rsidR="003F2B0C" w:rsidRPr="00C36071" w:rsidRDefault="003F2B0C" w:rsidP="0084338D">
            <w:pPr>
              <w:spacing w:after="0" w:line="240" w:lineRule="auto"/>
              <w:jc w:val="left"/>
              <w:rPr>
                <w:rFonts w:eastAsia="Times New Roman" w:cs="Calibri"/>
                <w:color w:val="000000"/>
                <w:kern w:val="0"/>
                <w:sz w:val="20"/>
                <w:szCs w:val="20"/>
                <w:lang w:eastAsia="pl-PL"/>
              </w:rPr>
            </w:pPr>
          </w:p>
        </w:tc>
        <w:tc>
          <w:tcPr>
            <w:tcW w:w="6788" w:type="dxa"/>
            <w:gridSpan w:val="6"/>
            <w:shd w:val="clear" w:color="auto" w:fill="FFC000"/>
            <w:vAlign w:val="center"/>
            <w:hideMark/>
          </w:tcPr>
          <w:p w:rsidR="003F2B0C" w:rsidRPr="00C36071" w:rsidRDefault="003F2B0C" w:rsidP="0084338D">
            <w:pPr>
              <w:spacing w:after="0" w:line="240" w:lineRule="auto"/>
              <w:jc w:val="left"/>
              <w:rPr>
                <w:rFonts w:eastAsia="Times New Roman" w:cs="Calibri"/>
                <w:color w:val="000000"/>
                <w:kern w:val="0"/>
                <w:sz w:val="20"/>
                <w:szCs w:val="20"/>
                <w:lang w:eastAsia="pl-PL"/>
              </w:rPr>
            </w:pPr>
            <w:r w:rsidRPr="00C36071">
              <w:rPr>
                <w:rFonts w:eastAsia="Times New Roman" w:cs="Calibri"/>
                <w:color w:val="000000"/>
                <w:kern w:val="0"/>
                <w:sz w:val="20"/>
                <w:szCs w:val="20"/>
                <w:lang w:eastAsia="pl-PL"/>
              </w:rPr>
              <w:t>powierzchnia obszarów prawnie chronionych na 1 mieszkańca</w:t>
            </w:r>
            <w:r>
              <w:rPr>
                <w:rFonts w:eastAsia="Times New Roman" w:cs="Calibri"/>
                <w:color w:val="000000"/>
                <w:kern w:val="0"/>
                <w:sz w:val="20"/>
                <w:szCs w:val="20"/>
                <w:lang w:eastAsia="pl-PL"/>
              </w:rPr>
              <w:t xml:space="preserve"> w m2</w:t>
            </w:r>
          </w:p>
        </w:tc>
      </w:tr>
      <w:tr w:rsidR="003F2B0C" w:rsidRPr="00C36071" w:rsidTr="0084338D">
        <w:trPr>
          <w:trHeight w:val="644"/>
        </w:trPr>
        <w:tc>
          <w:tcPr>
            <w:tcW w:w="2309" w:type="dxa"/>
            <w:shd w:val="clear" w:color="auto" w:fill="auto"/>
            <w:vAlign w:val="center"/>
            <w:hideMark/>
          </w:tcPr>
          <w:p w:rsidR="003F2B0C" w:rsidRPr="00C36071" w:rsidRDefault="003F2B0C" w:rsidP="0084338D">
            <w:pPr>
              <w:spacing w:after="0" w:line="240" w:lineRule="auto"/>
              <w:jc w:val="left"/>
              <w:rPr>
                <w:rFonts w:eastAsia="Times New Roman" w:cs="Calibri"/>
                <w:kern w:val="0"/>
                <w:sz w:val="20"/>
                <w:szCs w:val="20"/>
                <w:lang w:eastAsia="pl-PL"/>
              </w:rPr>
            </w:pPr>
            <w:r w:rsidRPr="00C36071">
              <w:rPr>
                <w:rFonts w:eastAsia="Times New Roman" w:cs="Calibri"/>
                <w:kern w:val="0"/>
                <w:sz w:val="20"/>
                <w:szCs w:val="20"/>
                <w:lang w:eastAsia="pl-PL"/>
              </w:rPr>
              <w:t>Wrocławski Obszar Funkcjonalny</w:t>
            </w:r>
          </w:p>
        </w:tc>
        <w:tc>
          <w:tcPr>
            <w:tcW w:w="1131" w:type="dxa"/>
            <w:shd w:val="clear" w:color="auto" w:fill="auto"/>
            <w:noWrap/>
            <w:vAlign w:val="center"/>
            <w:hideMark/>
          </w:tcPr>
          <w:p w:rsidR="003F2B0C" w:rsidRPr="00C36071" w:rsidRDefault="003F2B0C" w:rsidP="0084338D">
            <w:pPr>
              <w:spacing w:after="0" w:line="240" w:lineRule="auto"/>
              <w:jc w:val="center"/>
              <w:rPr>
                <w:rFonts w:eastAsia="Times New Roman" w:cs="Calibri"/>
                <w:kern w:val="0"/>
                <w:sz w:val="20"/>
                <w:szCs w:val="20"/>
                <w:lang w:eastAsia="pl-PL"/>
              </w:rPr>
            </w:pPr>
            <w:r w:rsidRPr="00C36071">
              <w:rPr>
                <w:rFonts w:eastAsia="Times New Roman" w:cs="Calibri"/>
                <w:kern w:val="0"/>
                <w:sz w:val="20"/>
                <w:szCs w:val="20"/>
                <w:lang w:eastAsia="pl-PL"/>
              </w:rPr>
              <w:t>9 377,4</w:t>
            </w:r>
          </w:p>
        </w:tc>
        <w:tc>
          <w:tcPr>
            <w:tcW w:w="1131" w:type="dxa"/>
            <w:shd w:val="clear" w:color="auto" w:fill="auto"/>
            <w:noWrap/>
            <w:vAlign w:val="center"/>
            <w:hideMark/>
          </w:tcPr>
          <w:p w:rsidR="003F2B0C" w:rsidRPr="00C36071" w:rsidRDefault="003F2B0C" w:rsidP="0084338D">
            <w:pPr>
              <w:spacing w:after="0" w:line="240" w:lineRule="auto"/>
              <w:jc w:val="center"/>
              <w:rPr>
                <w:rFonts w:eastAsia="Times New Roman" w:cs="Calibri"/>
                <w:kern w:val="0"/>
                <w:sz w:val="20"/>
                <w:szCs w:val="20"/>
                <w:lang w:eastAsia="pl-PL"/>
              </w:rPr>
            </w:pPr>
            <w:r w:rsidRPr="00C36071">
              <w:rPr>
                <w:rFonts w:eastAsia="Times New Roman" w:cs="Calibri"/>
                <w:kern w:val="0"/>
                <w:sz w:val="20"/>
                <w:szCs w:val="20"/>
                <w:lang w:eastAsia="pl-PL"/>
              </w:rPr>
              <w:t>9 232,8</w:t>
            </w:r>
          </w:p>
        </w:tc>
        <w:tc>
          <w:tcPr>
            <w:tcW w:w="1131" w:type="dxa"/>
            <w:shd w:val="clear" w:color="auto" w:fill="auto"/>
            <w:noWrap/>
            <w:vAlign w:val="center"/>
            <w:hideMark/>
          </w:tcPr>
          <w:p w:rsidR="003F2B0C" w:rsidRPr="00C36071" w:rsidRDefault="003F2B0C" w:rsidP="0084338D">
            <w:pPr>
              <w:spacing w:after="0" w:line="240" w:lineRule="auto"/>
              <w:jc w:val="center"/>
              <w:rPr>
                <w:rFonts w:eastAsia="Times New Roman" w:cs="Calibri"/>
                <w:kern w:val="0"/>
                <w:sz w:val="20"/>
                <w:szCs w:val="20"/>
                <w:lang w:eastAsia="pl-PL"/>
              </w:rPr>
            </w:pPr>
            <w:r w:rsidRPr="00C36071">
              <w:rPr>
                <w:rFonts w:eastAsia="Times New Roman" w:cs="Calibri"/>
                <w:kern w:val="0"/>
                <w:sz w:val="20"/>
                <w:szCs w:val="20"/>
                <w:lang w:eastAsia="pl-PL"/>
              </w:rPr>
              <w:t>8 661,5</w:t>
            </w:r>
          </w:p>
        </w:tc>
        <w:tc>
          <w:tcPr>
            <w:tcW w:w="1131" w:type="dxa"/>
            <w:shd w:val="clear" w:color="auto" w:fill="auto"/>
            <w:noWrap/>
            <w:vAlign w:val="center"/>
            <w:hideMark/>
          </w:tcPr>
          <w:p w:rsidR="003F2B0C" w:rsidRPr="00C36071" w:rsidRDefault="003F2B0C" w:rsidP="0084338D">
            <w:pPr>
              <w:spacing w:after="0" w:line="240" w:lineRule="auto"/>
              <w:jc w:val="center"/>
              <w:rPr>
                <w:rFonts w:eastAsia="Times New Roman" w:cs="Calibri"/>
                <w:kern w:val="0"/>
                <w:sz w:val="20"/>
                <w:szCs w:val="20"/>
                <w:lang w:eastAsia="pl-PL"/>
              </w:rPr>
            </w:pPr>
            <w:r w:rsidRPr="00C36071">
              <w:rPr>
                <w:rFonts w:eastAsia="Times New Roman" w:cs="Calibri"/>
                <w:kern w:val="0"/>
                <w:sz w:val="20"/>
                <w:szCs w:val="20"/>
                <w:lang w:eastAsia="pl-PL"/>
              </w:rPr>
              <w:t>8 605,4</w:t>
            </w:r>
          </w:p>
        </w:tc>
        <w:tc>
          <w:tcPr>
            <w:tcW w:w="1131" w:type="dxa"/>
            <w:shd w:val="clear" w:color="auto" w:fill="auto"/>
            <w:noWrap/>
            <w:vAlign w:val="center"/>
            <w:hideMark/>
          </w:tcPr>
          <w:p w:rsidR="003F2B0C" w:rsidRPr="00C36071" w:rsidRDefault="003F2B0C" w:rsidP="0084338D">
            <w:pPr>
              <w:spacing w:after="0" w:line="240" w:lineRule="auto"/>
              <w:jc w:val="center"/>
              <w:rPr>
                <w:rFonts w:eastAsia="Times New Roman" w:cs="Calibri"/>
                <w:kern w:val="0"/>
                <w:sz w:val="20"/>
                <w:szCs w:val="20"/>
                <w:lang w:eastAsia="pl-PL"/>
              </w:rPr>
            </w:pPr>
            <w:r w:rsidRPr="00C36071">
              <w:rPr>
                <w:rFonts w:eastAsia="Times New Roman" w:cs="Calibri"/>
                <w:kern w:val="0"/>
                <w:sz w:val="20"/>
                <w:szCs w:val="20"/>
                <w:lang w:eastAsia="pl-PL"/>
              </w:rPr>
              <w:t>8 529,9</w:t>
            </w:r>
          </w:p>
        </w:tc>
        <w:tc>
          <w:tcPr>
            <w:tcW w:w="1133" w:type="dxa"/>
            <w:shd w:val="clear" w:color="auto" w:fill="auto"/>
            <w:noWrap/>
            <w:vAlign w:val="center"/>
            <w:hideMark/>
          </w:tcPr>
          <w:p w:rsidR="003F2B0C" w:rsidRPr="00C36071" w:rsidRDefault="003F2B0C" w:rsidP="0084338D">
            <w:pPr>
              <w:spacing w:after="0" w:line="240" w:lineRule="auto"/>
              <w:jc w:val="center"/>
              <w:rPr>
                <w:rFonts w:eastAsia="Times New Roman" w:cs="Calibri"/>
                <w:kern w:val="0"/>
                <w:sz w:val="20"/>
                <w:szCs w:val="20"/>
                <w:lang w:eastAsia="pl-PL"/>
              </w:rPr>
            </w:pPr>
            <w:r w:rsidRPr="00C36071">
              <w:rPr>
                <w:rFonts w:eastAsia="Times New Roman" w:cs="Calibri"/>
                <w:kern w:val="0"/>
                <w:sz w:val="20"/>
                <w:szCs w:val="20"/>
                <w:lang w:eastAsia="pl-PL"/>
              </w:rPr>
              <w:t>8 440,7</w:t>
            </w:r>
          </w:p>
        </w:tc>
      </w:tr>
      <w:tr w:rsidR="003F2B0C" w:rsidRPr="00C36071" w:rsidTr="0084338D">
        <w:trPr>
          <w:trHeight w:val="644"/>
        </w:trPr>
        <w:tc>
          <w:tcPr>
            <w:tcW w:w="2309" w:type="dxa"/>
            <w:shd w:val="clear" w:color="auto" w:fill="auto"/>
            <w:vAlign w:val="center"/>
            <w:hideMark/>
          </w:tcPr>
          <w:p w:rsidR="003F2B0C" w:rsidRPr="00C36071" w:rsidRDefault="003F2B0C" w:rsidP="0084338D">
            <w:pPr>
              <w:spacing w:after="0" w:line="240" w:lineRule="auto"/>
              <w:jc w:val="left"/>
              <w:rPr>
                <w:rFonts w:eastAsia="Times New Roman" w:cs="Calibri"/>
                <w:kern w:val="0"/>
                <w:sz w:val="20"/>
                <w:szCs w:val="20"/>
                <w:lang w:eastAsia="pl-PL"/>
              </w:rPr>
            </w:pPr>
            <w:r w:rsidRPr="00C36071">
              <w:rPr>
                <w:rFonts w:eastAsia="Times New Roman" w:cs="Calibri"/>
                <w:kern w:val="0"/>
                <w:sz w:val="20"/>
                <w:szCs w:val="20"/>
                <w:lang w:eastAsia="pl-PL"/>
              </w:rPr>
              <w:t>Metropolia Krakowska</w:t>
            </w:r>
          </w:p>
        </w:tc>
        <w:tc>
          <w:tcPr>
            <w:tcW w:w="1131" w:type="dxa"/>
            <w:shd w:val="clear" w:color="auto" w:fill="auto"/>
            <w:noWrap/>
            <w:vAlign w:val="center"/>
            <w:hideMark/>
          </w:tcPr>
          <w:p w:rsidR="003F2B0C" w:rsidRPr="00C36071" w:rsidRDefault="003F2B0C" w:rsidP="0084338D">
            <w:pPr>
              <w:spacing w:after="0" w:line="240" w:lineRule="auto"/>
              <w:jc w:val="center"/>
              <w:rPr>
                <w:rFonts w:eastAsia="Times New Roman" w:cs="Calibri"/>
                <w:kern w:val="0"/>
                <w:sz w:val="20"/>
                <w:szCs w:val="20"/>
                <w:lang w:eastAsia="pl-PL"/>
              </w:rPr>
            </w:pPr>
            <w:r w:rsidRPr="00C36071">
              <w:rPr>
                <w:rFonts w:eastAsia="Times New Roman" w:cs="Calibri"/>
                <w:kern w:val="0"/>
                <w:sz w:val="20"/>
                <w:szCs w:val="20"/>
                <w:lang w:eastAsia="pl-PL"/>
              </w:rPr>
              <w:t>10 874,2</w:t>
            </w:r>
          </w:p>
        </w:tc>
        <w:tc>
          <w:tcPr>
            <w:tcW w:w="1131" w:type="dxa"/>
            <w:shd w:val="clear" w:color="auto" w:fill="auto"/>
            <w:noWrap/>
            <w:vAlign w:val="center"/>
            <w:hideMark/>
          </w:tcPr>
          <w:p w:rsidR="003F2B0C" w:rsidRPr="00C36071" w:rsidRDefault="003F2B0C" w:rsidP="0084338D">
            <w:pPr>
              <w:spacing w:after="0" w:line="240" w:lineRule="auto"/>
              <w:jc w:val="center"/>
              <w:rPr>
                <w:rFonts w:eastAsia="Times New Roman" w:cs="Calibri"/>
                <w:kern w:val="0"/>
                <w:sz w:val="20"/>
                <w:szCs w:val="20"/>
                <w:lang w:eastAsia="pl-PL"/>
              </w:rPr>
            </w:pPr>
            <w:r w:rsidRPr="00C36071">
              <w:rPr>
                <w:rFonts w:eastAsia="Times New Roman" w:cs="Calibri"/>
                <w:kern w:val="0"/>
                <w:sz w:val="20"/>
                <w:szCs w:val="20"/>
                <w:lang w:eastAsia="pl-PL"/>
              </w:rPr>
              <w:t>10 696,1</w:t>
            </w:r>
          </w:p>
        </w:tc>
        <w:tc>
          <w:tcPr>
            <w:tcW w:w="1131" w:type="dxa"/>
            <w:shd w:val="clear" w:color="auto" w:fill="auto"/>
            <w:noWrap/>
            <w:vAlign w:val="center"/>
            <w:hideMark/>
          </w:tcPr>
          <w:p w:rsidR="003F2B0C" w:rsidRPr="00C36071" w:rsidRDefault="003F2B0C" w:rsidP="0084338D">
            <w:pPr>
              <w:spacing w:after="0" w:line="240" w:lineRule="auto"/>
              <w:jc w:val="center"/>
              <w:rPr>
                <w:rFonts w:eastAsia="Times New Roman" w:cs="Calibri"/>
                <w:kern w:val="0"/>
                <w:sz w:val="20"/>
                <w:szCs w:val="20"/>
                <w:lang w:eastAsia="pl-PL"/>
              </w:rPr>
            </w:pPr>
            <w:r w:rsidRPr="00C36071">
              <w:rPr>
                <w:rFonts w:eastAsia="Times New Roman" w:cs="Calibri"/>
                <w:kern w:val="0"/>
                <w:sz w:val="20"/>
                <w:szCs w:val="20"/>
                <w:lang w:eastAsia="pl-PL"/>
              </w:rPr>
              <w:t>9 761,2</w:t>
            </w:r>
          </w:p>
        </w:tc>
        <w:tc>
          <w:tcPr>
            <w:tcW w:w="1131" w:type="dxa"/>
            <w:shd w:val="clear" w:color="auto" w:fill="auto"/>
            <w:noWrap/>
            <w:vAlign w:val="center"/>
            <w:hideMark/>
          </w:tcPr>
          <w:p w:rsidR="003F2B0C" w:rsidRPr="00C36071" w:rsidRDefault="003F2B0C" w:rsidP="0084338D">
            <w:pPr>
              <w:spacing w:after="0" w:line="240" w:lineRule="auto"/>
              <w:jc w:val="center"/>
              <w:rPr>
                <w:rFonts w:eastAsia="Times New Roman" w:cs="Calibri"/>
                <w:kern w:val="0"/>
                <w:sz w:val="20"/>
                <w:szCs w:val="20"/>
                <w:lang w:eastAsia="pl-PL"/>
              </w:rPr>
            </w:pPr>
            <w:r w:rsidRPr="00C36071">
              <w:rPr>
                <w:rFonts w:eastAsia="Times New Roman" w:cs="Calibri"/>
                <w:kern w:val="0"/>
                <w:sz w:val="20"/>
                <w:szCs w:val="20"/>
                <w:lang w:eastAsia="pl-PL"/>
              </w:rPr>
              <w:t>9 701,7</w:t>
            </w:r>
          </w:p>
        </w:tc>
        <w:tc>
          <w:tcPr>
            <w:tcW w:w="1131" w:type="dxa"/>
            <w:shd w:val="clear" w:color="auto" w:fill="auto"/>
            <w:noWrap/>
            <w:vAlign w:val="center"/>
            <w:hideMark/>
          </w:tcPr>
          <w:p w:rsidR="003F2B0C" w:rsidRPr="00C36071" w:rsidRDefault="003F2B0C" w:rsidP="0084338D">
            <w:pPr>
              <w:spacing w:after="0" w:line="240" w:lineRule="auto"/>
              <w:jc w:val="center"/>
              <w:rPr>
                <w:rFonts w:eastAsia="Times New Roman" w:cs="Calibri"/>
                <w:kern w:val="0"/>
                <w:sz w:val="20"/>
                <w:szCs w:val="20"/>
                <w:lang w:eastAsia="pl-PL"/>
              </w:rPr>
            </w:pPr>
            <w:r w:rsidRPr="00C36071">
              <w:rPr>
                <w:rFonts w:eastAsia="Times New Roman" w:cs="Calibri"/>
                <w:kern w:val="0"/>
                <w:sz w:val="20"/>
                <w:szCs w:val="20"/>
                <w:lang w:eastAsia="pl-PL"/>
              </w:rPr>
              <w:t>9 543,0</w:t>
            </w:r>
          </w:p>
        </w:tc>
        <w:tc>
          <w:tcPr>
            <w:tcW w:w="1133" w:type="dxa"/>
            <w:shd w:val="clear" w:color="auto" w:fill="auto"/>
            <w:noWrap/>
            <w:vAlign w:val="center"/>
            <w:hideMark/>
          </w:tcPr>
          <w:p w:rsidR="003F2B0C" w:rsidRPr="00C36071" w:rsidRDefault="003F2B0C" w:rsidP="0084338D">
            <w:pPr>
              <w:spacing w:after="0" w:line="240" w:lineRule="auto"/>
              <w:jc w:val="center"/>
              <w:rPr>
                <w:rFonts w:eastAsia="Times New Roman" w:cs="Calibri"/>
                <w:kern w:val="0"/>
                <w:sz w:val="20"/>
                <w:szCs w:val="20"/>
                <w:lang w:eastAsia="pl-PL"/>
              </w:rPr>
            </w:pPr>
            <w:r w:rsidRPr="00C36071">
              <w:rPr>
                <w:rFonts w:eastAsia="Times New Roman" w:cs="Calibri"/>
                <w:kern w:val="0"/>
                <w:sz w:val="20"/>
                <w:szCs w:val="20"/>
                <w:lang w:eastAsia="pl-PL"/>
              </w:rPr>
              <w:t>9 419,2</w:t>
            </w:r>
          </w:p>
        </w:tc>
      </w:tr>
      <w:tr w:rsidR="003F2B0C" w:rsidRPr="00C36071" w:rsidTr="0084338D">
        <w:trPr>
          <w:trHeight w:val="322"/>
        </w:trPr>
        <w:tc>
          <w:tcPr>
            <w:tcW w:w="2309" w:type="dxa"/>
            <w:shd w:val="clear" w:color="auto" w:fill="auto"/>
            <w:vAlign w:val="center"/>
            <w:hideMark/>
          </w:tcPr>
          <w:p w:rsidR="003F2B0C" w:rsidRPr="00C36071" w:rsidRDefault="003F2B0C" w:rsidP="0084338D">
            <w:pPr>
              <w:spacing w:after="0" w:line="240" w:lineRule="auto"/>
              <w:jc w:val="left"/>
              <w:rPr>
                <w:rFonts w:eastAsia="Times New Roman" w:cs="Calibri"/>
                <w:kern w:val="0"/>
                <w:sz w:val="20"/>
                <w:szCs w:val="20"/>
                <w:lang w:eastAsia="pl-PL"/>
              </w:rPr>
            </w:pPr>
            <w:r w:rsidRPr="00C36071">
              <w:rPr>
                <w:rFonts w:eastAsia="Times New Roman" w:cs="Calibri"/>
                <w:kern w:val="0"/>
                <w:sz w:val="20"/>
                <w:szCs w:val="20"/>
                <w:lang w:eastAsia="pl-PL"/>
              </w:rPr>
              <w:t>Metropolia Poznań</w:t>
            </w:r>
          </w:p>
        </w:tc>
        <w:tc>
          <w:tcPr>
            <w:tcW w:w="1131" w:type="dxa"/>
            <w:shd w:val="clear" w:color="auto" w:fill="auto"/>
            <w:noWrap/>
            <w:vAlign w:val="center"/>
            <w:hideMark/>
          </w:tcPr>
          <w:p w:rsidR="003F2B0C" w:rsidRPr="00C36071" w:rsidRDefault="003F2B0C" w:rsidP="0084338D">
            <w:pPr>
              <w:spacing w:after="0" w:line="240" w:lineRule="auto"/>
              <w:jc w:val="center"/>
              <w:rPr>
                <w:rFonts w:eastAsia="Times New Roman" w:cs="Calibri"/>
                <w:kern w:val="0"/>
                <w:sz w:val="20"/>
                <w:szCs w:val="20"/>
                <w:lang w:eastAsia="pl-PL"/>
              </w:rPr>
            </w:pPr>
            <w:r w:rsidRPr="00C36071">
              <w:rPr>
                <w:rFonts w:eastAsia="Times New Roman" w:cs="Calibri"/>
                <w:kern w:val="0"/>
                <w:sz w:val="20"/>
                <w:szCs w:val="20"/>
                <w:lang w:eastAsia="pl-PL"/>
              </w:rPr>
              <w:t>24 596,6</w:t>
            </w:r>
          </w:p>
        </w:tc>
        <w:tc>
          <w:tcPr>
            <w:tcW w:w="1131" w:type="dxa"/>
            <w:shd w:val="clear" w:color="auto" w:fill="auto"/>
            <w:noWrap/>
            <w:vAlign w:val="center"/>
            <w:hideMark/>
          </w:tcPr>
          <w:p w:rsidR="003F2B0C" w:rsidRPr="00C36071" w:rsidRDefault="003F2B0C" w:rsidP="0084338D">
            <w:pPr>
              <w:spacing w:after="0" w:line="240" w:lineRule="auto"/>
              <w:jc w:val="center"/>
              <w:rPr>
                <w:rFonts w:eastAsia="Times New Roman" w:cs="Calibri"/>
                <w:kern w:val="0"/>
                <w:sz w:val="20"/>
                <w:szCs w:val="20"/>
                <w:lang w:eastAsia="pl-PL"/>
              </w:rPr>
            </w:pPr>
            <w:r w:rsidRPr="00C36071">
              <w:rPr>
                <w:rFonts w:eastAsia="Times New Roman" w:cs="Calibri"/>
                <w:kern w:val="0"/>
                <w:sz w:val="20"/>
                <w:szCs w:val="20"/>
                <w:lang w:eastAsia="pl-PL"/>
              </w:rPr>
              <w:t>24 198,7</w:t>
            </w:r>
          </w:p>
        </w:tc>
        <w:tc>
          <w:tcPr>
            <w:tcW w:w="1131" w:type="dxa"/>
            <w:shd w:val="clear" w:color="auto" w:fill="auto"/>
            <w:noWrap/>
            <w:vAlign w:val="center"/>
            <w:hideMark/>
          </w:tcPr>
          <w:p w:rsidR="003F2B0C" w:rsidRPr="00C36071" w:rsidRDefault="003F2B0C" w:rsidP="0084338D">
            <w:pPr>
              <w:spacing w:after="0" w:line="240" w:lineRule="auto"/>
              <w:jc w:val="center"/>
              <w:rPr>
                <w:rFonts w:eastAsia="Times New Roman" w:cs="Calibri"/>
                <w:kern w:val="0"/>
                <w:sz w:val="20"/>
                <w:szCs w:val="20"/>
                <w:lang w:eastAsia="pl-PL"/>
              </w:rPr>
            </w:pPr>
            <w:r w:rsidRPr="00C36071">
              <w:rPr>
                <w:rFonts w:eastAsia="Times New Roman" w:cs="Calibri"/>
                <w:kern w:val="0"/>
                <w:sz w:val="20"/>
                <w:szCs w:val="20"/>
                <w:lang w:eastAsia="pl-PL"/>
              </w:rPr>
              <w:t>22 996,9</w:t>
            </w:r>
          </w:p>
        </w:tc>
        <w:tc>
          <w:tcPr>
            <w:tcW w:w="1131" w:type="dxa"/>
            <w:shd w:val="clear" w:color="auto" w:fill="auto"/>
            <w:noWrap/>
            <w:vAlign w:val="center"/>
            <w:hideMark/>
          </w:tcPr>
          <w:p w:rsidR="003F2B0C" w:rsidRPr="00C36071" w:rsidRDefault="003F2B0C" w:rsidP="0084338D">
            <w:pPr>
              <w:spacing w:after="0" w:line="240" w:lineRule="auto"/>
              <w:jc w:val="center"/>
              <w:rPr>
                <w:rFonts w:eastAsia="Times New Roman" w:cs="Calibri"/>
                <w:kern w:val="0"/>
                <w:sz w:val="20"/>
                <w:szCs w:val="20"/>
                <w:lang w:eastAsia="pl-PL"/>
              </w:rPr>
            </w:pPr>
            <w:r w:rsidRPr="00C36071">
              <w:rPr>
                <w:rFonts w:eastAsia="Times New Roman" w:cs="Calibri"/>
                <w:kern w:val="0"/>
                <w:sz w:val="20"/>
                <w:szCs w:val="20"/>
                <w:lang w:eastAsia="pl-PL"/>
              </w:rPr>
              <w:t>22 768,4</w:t>
            </w:r>
          </w:p>
        </w:tc>
        <w:tc>
          <w:tcPr>
            <w:tcW w:w="1131" w:type="dxa"/>
            <w:shd w:val="clear" w:color="auto" w:fill="auto"/>
            <w:noWrap/>
            <w:vAlign w:val="center"/>
            <w:hideMark/>
          </w:tcPr>
          <w:p w:rsidR="003F2B0C" w:rsidRPr="00C36071" w:rsidRDefault="003F2B0C" w:rsidP="0084338D">
            <w:pPr>
              <w:spacing w:after="0" w:line="240" w:lineRule="auto"/>
              <w:jc w:val="center"/>
              <w:rPr>
                <w:rFonts w:eastAsia="Times New Roman" w:cs="Calibri"/>
                <w:kern w:val="0"/>
                <w:sz w:val="20"/>
                <w:szCs w:val="20"/>
                <w:lang w:eastAsia="pl-PL"/>
              </w:rPr>
            </w:pPr>
            <w:r w:rsidRPr="00C36071">
              <w:rPr>
                <w:rFonts w:eastAsia="Times New Roman" w:cs="Calibri"/>
                <w:kern w:val="0"/>
                <w:sz w:val="20"/>
                <w:szCs w:val="20"/>
                <w:lang w:eastAsia="pl-PL"/>
              </w:rPr>
              <w:t>22 910,5</w:t>
            </w:r>
          </w:p>
        </w:tc>
        <w:tc>
          <w:tcPr>
            <w:tcW w:w="1133" w:type="dxa"/>
            <w:shd w:val="clear" w:color="auto" w:fill="auto"/>
            <w:noWrap/>
            <w:vAlign w:val="center"/>
            <w:hideMark/>
          </w:tcPr>
          <w:p w:rsidR="003F2B0C" w:rsidRPr="00C36071" w:rsidRDefault="003F2B0C" w:rsidP="0084338D">
            <w:pPr>
              <w:spacing w:after="0" w:line="240" w:lineRule="auto"/>
              <w:jc w:val="center"/>
              <w:rPr>
                <w:rFonts w:eastAsia="Times New Roman" w:cs="Calibri"/>
                <w:kern w:val="0"/>
                <w:sz w:val="20"/>
                <w:szCs w:val="20"/>
                <w:lang w:eastAsia="pl-PL"/>
              </w:rPr>
            </w:pPr>
            <w:r w:rsidRPr="00C36071">
              <w:rPr>
                <w:rFonts w:eastAsia="Times New Roman" w:cs="Calibri"/>
                <w:kern w:val="0"/>
                <w:sz w:val="20"/>
                <w:szCs w:val="20"/>
                <w:lang w:eastAsia="pl-PL"/>
              </w:rPr>
              <w:t>22 703,3</w:t>
            </w:r>
          </w:p>
        </w:tc>
      </w:tr>
      <w:tr w:rsidR="003F2B0C" w:rsidRPr="00C36071" w:rsidTr="0084338D">
        <w:trPr>
          <w:trHeight w:val="322"/>
        </w:trPr>
        <w:tc>
          <w:tcPr>
            <w:tcW w:w="2309" w:type="dxa"/>
            <w:shd w:val="clear" w:color="auto" w:fill="FFC000"/>
            <w:noWrap/>
            <w:vAlign w:val="bottom"/>
            <w:hideMark/>
          </w:tcPr>
          <w:p w:rsidR="003F2B0C" w:rsidRPr="00C36071" w:rsidRDefault="003F2B0C" w:rsidP="0084338D">
            <w:pPr>
              <w:spacing w:after="0" w:line="240" w:lineRule="auto"/>
              <w:jc w:val="right"/>
              <w:rPr>
                <w:rFonts w:eastAsia="Times New Roman" w:cs="Calibri"/>
                <w:kern w:val="0"/>
                <w:sz w:val="20"/>
                <w:szCs w:val="20"/>
                <w:lang w:eastAsia="pl-PL"/>
              </w:rPr>
            </w:pPr>
          </w:p>
        </w:tc>
        <w:tc>
          <w:tcPr>
            <w:tcW w:w="6788" w:type="dxa"/>
            <w:gridSpan w:val="6"/>
            <w:shd w:val="clear" w:color="auto" w:fill="FFC000"/>
            <w:vAlign w:val="center"/>
            <w:hideMark/>
          </w:tcPr>
          <w:p w:rsidR="003F2B0C" w:rsidRPr="00C36071" w:rsidRDefault="003F2B0C" w:rsidP="0084338D">
            <w:pPr>
              <w:spacing w:after="0" w:line="240" w:lineRule="auto"/>
              <w:jc w:val="left"/>
              <w:rPr>
                <w:rFonts w:eastAsia="Times New Roman" w:cs="Calibri"/>
                <w:color w:val="000000"/>
                <w:kern w:val="0"/>
                <w:sz w:val="20"/>
                <w:szCs w:val="20"/>
                <w:lang w:eastAsia="pl-PL"/>
              </w:rPr>
            </w:pPr>
            <w:r w:rsidRPr="00C36071">
              <w:rPr>
                <w:rFonts w:eastAsia="Times New Roman" w:cs="Calibri"/>
                <w:color w:val="000000"/>
                <w:kern w:val="0"/>
                <w:sz w:val="20"/>
                <w:szCs w:val="20"/>
                <w:lang w:eastAsia="pl-PL"/>
              </w:rPr>
              <w:t>liczba pomników przyrody na 100 km2</w:t>
            </w:r>
          </w:p>
        </w:tc>
      </w:tr>
      <w:tr w:rsidR="003F2B0C" w:rsidRPr="00C36071" w:rsidTr="0084338D">
        <w:trPr>
          <w:trHeight w:val="644"/>
        </w:trPr>
        <w:tc>
          <w:tcPr>
            <w:tcW w:w="2309" w:type="dxa"/>
            <w:shd w:val="clear" w:color="auto" w:fill="auto"/>
            <w:vAlign w:val="center"/>
            <w:hideMark/>
          </w:tcPr>
          <w:p w:rsidR="003F2B0C" w:rsidRPr="00C36071" w:rsidRDefault="003F2B0C" w:rsidP="0084338D">
            <w:pPr>
              <w:spacing w:after="0" w:line="240" w:lineRule="auto"/>
              <w:jc w:val="left"/>
              <w:rPr>
                <w:rFonts w:eastAsia="Times New Roman" w:cs="Calibri"/>
                <w:kern w:val="0"/>
                <w:sz w:val="20"/>
                <w:szCs w:val="20"/>
                <w:lang w:eastAsia="pl-PL"/>
              </w:rPr>
            </w:pPr>
            <w:r w:rsidRPr="00C36071">
              <w:rPr>
                <w:rFonts w:eastAsia="Times New Roman" w:cs="Calibri"/>
                <w:kern w:val="0"/>
                <w:sz w:val="20"/>
                <w:szCs w:val="20"/>
                <w:lang w:eastAsia="pl-PL"/>
              </w:rPr>
              <w:t>Wrocławski Obszar Funkcjonalny</w:t>
            </w:r>
          </w:p>
        </w:tc>
        <w:tc>
          <w:tcPr>
            <w:tcW w:w="1131" w:type="dxa"/>
            <w:shd w:val="clear" w:color="auto" w:fill="auto"/>
            <w:noWrap/>
            <w:vAlign w:val="center"/>
            <w:hideMark/>
          </w:tcPr>
          <w:p w:rsidR="003F2B0C" w:rsidRPr="00C36071" w:rsidRDefault="003F2B0C" w:rsidP="0084338D">
            <w:pPr>
              <w:spacing w:after="0" w:line="240" w:lineRule="auto"/>
              <w:jc w:val="center"/>
              <w:rPr>
                <w:rFonts w:eastAsia="Times New Roman" w:cs="Calibri"/>
                <w:kern w:val="0"/>
                <w:sz w:val="20"/>
                <w:szCs w:val="20"/>
                <w:lang w:eastAsia="pl-PL"/>
              </w:rPr>
            </w:pPr>
            <w:r w:rsidRPr="00C36071">
              <w:rPr>
                <w:rFonts w:eastAsia="Times New Roman" w:cs="Calibri"/>
                <w:kern w:val="0"/>
                <w:sz w:val="20"/>
                <w:szCs w:val="20"/>
                <w:lang w:eastAsia="pl-PL"/>
              </w:rPr>
              <w:t>253,4</w:t>
            </w:r>
          </w:p>
        </w:tc>
        <w:tc>
          <w:tcPr>
            <w:tcW w:w="1131" w:type="dxa"/>
            <w:shd w:val="clear" w:color="auto" w:fill="auto"/>
            <w:noWrap/>
            <w:vAlign w:val="center"/>
            <w:hideMark/>
          </w:tcPr>
          <w:p w:rsidR="003F2B0C" w:rsidRPr="00C36071" w:rsidRDefault="003F2B0C" w:rsidP="0084338D">
            <w:pPr>
              <w:spacing w:after="0" w:line="240" w:lineRule="auto"/>
              <w:jc w:val="center"/>
              <w:rPr>
                <w:rFonts w:eastAsia="Times New Roman" w:cs="Calibri"/>
                <w:kern w:val="0"/>
                <w:sz w:val="20"/>
                <w:szCs w:val="20"/>
                <w:lang w:eastAsia="pl-PL"/>
              </w:rPr>
            </w:pPr>
            <w:r w:rsidRPr="00C36071">
              <w:rPr>
                <w:rFonts w:eastAsia="Times New Roman" w:cs="Calibri"/>
                <w:kern w:val="0"/>
                <w:sz w:val="20"/>
                <w:szCs w:val="20"/>
                <w:lang w:eastAsia="pl-PL"/>
              </w:rPr>
              <w:t>256</w:t>
            </w:r>
          </w:p>
        </w:tc>
        <w:tc>
          <w:tcPr>
            <w:tcW w:w="1131" w:type="dxa"/>
            <w:shd w:val="clear" w:color="auto" w:fill="auto"/>
            <w:noWrap/>
            <w:vAlign w:val="center"/>
            <w:hideMark/>
          </w:tcPr>
          <w:p w:rsidR="003F2B0C" w:rsidRPr="00C36071" w:rsidRDefault="003F2B0C" w:rsidP="0084338D">
            <w:pPr>
              <w:spacing w:after="0" w:line="240" w:lineRule="auto"/>
              <w:jc w:val="center"/>
              <w:rPr>
                <w:rFonts w:eastAsia="Times New Roman" w:cs="Calibri"/>
                <w:kern w:val="0"/>
                <w:sz w:val="20"/>
                <w:szCs w:val="20"/>
                <w:lang w:eastAsia="pl-PL"/>
              </w:rPr>
            </w:pPr>
            <w:r w:rsidRPr="00C36071">
              <w:rPr>
                <w:rFonts w:eastAsia="Times New Roman" w:cs="Calibri"/>
                <w:kern w:val="0"/>
                <w:sz w:val="20"/>
                <w:szCs w:val="20"/>
                <w:lang w:eastAsia="pl-PL"/>
              </w:rPr>
              <w:t>265,2</w:t>
            </w:r>
          </w:p>
        </w:tc>
        <w:tc>
          <w:tcPr>
            <w:tcW w:w="1131" w:type="dxa"/>
            <w:shd w:val="clear" w:color="auto" w:fill="auto"/>
            <w:noWrap/>
            <w:vAlign w:val="center"/>
            <w:hideMark/>
          </w:tcPr>
          <w:p w:rsidR="003F2B0C" w:rsidRPr="00C36071" w:rsidRDefault="003F2B0C" w:rsidP="0084338D">
            <w:pPr>
              <w:spacing w:after="0" w:line="240" w:lineRule="auto"/>
              <w:jc w:val="center"/>
              <w:rPr>
                <w:rFonts w:eastAsia="Times New Roman" w:cs="Calibri"/>
                <w:kern w:val="0"/>
                <w:sz w:val="20"/>
                <w:szCs w:val="20"/>
                <w:lang w:eastAsia="pl-PL"/>
              </w:rPr>
            </w:pPr>
            <w:r w:rsidRPr="00C36071">
              <w:rPr>
                <w:rFonts w:eastAsia="Times New Roman" w:cs="Calibri"/>
                <w:kern w:val="0"/>
                <w:sz w:val="20"/>
                <w:szCs w:val="20"/>
                <w:lang w:eastAsia="pl-PL"/>
              </w:rPr>
              <w:t>274,5</w:t>
            </w:r>
          </w:p>
        </w:tc>
        <w:tc>
          <w:tcPr>
            <w:tcW w:w="1131" w:type="dxa"/>
            <w:shd w:val="clear" w:color="auto" w:fill="auto"/>
            <w:noWrap/>
            <w:vAlign w:val="center"/>
            <w:hideMark/>
          </w:tcPr>
          <w:p w:rsidR="003F2B0C" w:rsidRPr="00C36071" w:rsidRDefault="003F2B0C" w:rsidP="0084338D">
            <w:pPr>
              <w:spacing w:after="0" w:line="240" w:lineRule="auto"/>
              <w:jc w:val="center"/>
              <w:rPr>
                <w:rFonts w:eastAsia="Times New Roman" w:cs="Calibri"/>
                <w:kern w:val="0"/>
                <w:sz w:val="20"/>
                <w:szCs w:val="20"/>
                <w:lang w:eastAsia="pl-PL"/>
              </w:rPr>
            </w:pPr>
            <w:r w:rsidRPr="00C36071">
              <w:rPr>
                <w:rFonts w:eastAsia="Times New Roman" w:cs="Calibri"/>
                <w:kern w:val="0"/>
                <w:sz w:val="20"/>
                <w:szCs w:val="20"/>
                <w:lang w:eastAsia="pl-PL"/>
              </w:rPr>
              <w:t>296,2</w:t>
            </w:r>
          </w:p>
        </w:tc>
        <w:tc>
          <w:tcPr>
            <w:tcW w:w="1133" w:type="dxa"/>
            <w:shd w:val="clear" w:color="auto" w:fill="auto"/>
            <w:noWrap/>
            <w:vAlign w:val="center"/>
            <w:hideMark/>
          </w:tcPr>
          <w:p w:rsidR="003F2B0C" w:rsidRPr="00C36071" w:rsidRDefault="003F2B0C" w:rsidP="0084338D">
            <w:pPr>
              <w:spacing w:after="0" w:line="240" w:lineRule="auto"/>
              <w:jc w:val="center"/>
              <w:rPr>
                <w:rFonts w:eastAsia="Times New Roman" w:cs="Calibri"/>
                <w:kern w:val="0"/>
                <w:sz w:val="20"/>
                <w:szCs w:val="20"/>
                <w:lang w:eastAsia="pl-PL"/>
              </w:rPr>
            </w:pPr>
            <w:r w:rsidRPr="00C36071">
              <w:rPr>
                <w:rFonts w:eastAsia="Times New Roman" w:cs="Calibri"/>
                <w:kern w:val="0"/>
                <w:sz w:val="20"/>
                <w:szCs w:val="20"/>
                <w:lang w:eastAsia="pl-PL"/>
              </w:rPr>
              <w:t>294,9</w:t>
            </w:r>
          </w:p>
        </w:tc>
      </w:tr>
      <w:tr w:rsidR="003F2B0C" w:rsidRPr="00C36071" w:rsidTr="0084338D">
        <w:trPr>
          <w:trHeight w:val="644"/>
        </w:trPr>
        <w:tc>
          <w:tcPr>
            <w:tcW w:w="2309" w:type="dxa"/>
            <w:shd w:val="clear" w:color="auto" w:fill="auto"/>
            <w:vAlign w:val="center"/>
            <w:hideMark/>
          </w:tcPr>
          <w:p w:rsidR="003F2B0C" w:rsidRPr="00C36071" w:rsidRDefault="003F2B0C" w:rsidP="0084338D">
            <w:pPr>
              <w:spacing w:after="0" w:line="240" w:lineRule="auto"/>
              <w:jc w:val="left"/>
              <w:rPr>
                <w:rFonts w:eastAsia="Times New Roman" w:cs="Calibri"/>
                <w:kern w:val="0"/>
                <w:sz w:val="20"/>
                <w:szCs w:val="20"/>
                <w:lang w:eastAsia="pl-PL"/>
              </w:rPr>
            </w:pPr>
            <w:r w:rsidRPr="00C36071">
              <w:rPr>
                <w:rFonts w:eastAsia="Times New Roman" w:cs="Calibri"/>
                <w:kern w:val="0"/>
                <w:sz w:val="20"/>
                <w:szCs w:val="20"/>
                <w:lang w:eastAsia="pl-PL"/>
              </w:rPr>
              <w:t>Metropolia Krakowska</w:t>
            </w:r>
          </w:p>
        </w:tc>
        <w:tc>
          <w:tcPr>
            <w:tcW w:w="1131" w:type="dxa"/>
            <w:shd w:val="clear" w:color="auto" w:fill="auto"/>
            <w:noWrap/>
            <w:vAlign w:val="center"/>
            <w:hideMark/>
          </w:tcPr>
          <w:p w:rsidR="003F2B0C" w:rsidRPr="00C36071" w:rsidRDefault="003F2B0C" w:rsidP="0084338D">
            <w:pPr>
              <w:spacing w:after="0" w:line="240" w:lineRule="auto"/>
              <w:jc w:val="center"/>
              <w:rPr>
                <w:rFonts w:eastAsia="Times New Roman" w:cs="Calibri"/>
                <w:kern w:val="0"/>
                <w:sz w:val="20"/>
                <w:szCs w:val="20"/>
                <w:lang w:eastAsia="pl-PL"/>
              </w:rPr>
            </w:pPr>
            <w:r w:rsidRPr="00C36071">
              <w:rPr>
                <w:rFonts w:eastAsia="Times New Roman" w:cs="Calibri"/>
                <w:kern w:val="0"/>
                <w:sz w:val="20"/>
                <w:szCs w:val="20"/>
                <w:lang w:eastAsia="pl-PL"/>
              </w:rPr>
              <w:t>544,7</w:t>
            </w:r>
          </w:p>
        </w:tc>
        <w:tc>
          <w:tcPr>
            <w:tcW w:w="1131" w:type="dxa"/>
            <w:shd w:val="clear" w:color="auto" w:fill="auto"/>
            <w:noWrap/>
            <w:vAlign w:val="center"/>
            <w:hideMark/>
          </w:tcPr>
          <w:p w:rsidR="003F2B0C" w:rsidRPr="00C36071" w:rsidRDefault="003F2B0C" w:rsidP="0084338D">
            <w:pPr>
              <w:spacing w:after="0" w:line="240" w:lineRule="auto"/>
              <w:jc w:val="center"/>
              <w:rPr>
                <w:rFonts w:eastAsia="Times New Roman" w:cs="Calibri"/>
                <w:kern w:val="0"/>
                <w:sz w:val="20"/>
                <w:szCs w:val="20"/>
                <w:lang w:eastAsia="pl-PL"/>
              </w:rPr>
            </w:pPr>
            <w:r w:rsidRPr="00C36071">
              <w:rPr>
                <w:rFonts w:eastAsia="Times New Roman" w:cs="Calibri"/>
                <w:kern w:val="0"/>
                <w:sz w:val="20"/>
                <w:szCs w:val="20"/>
                <w:lang w:eastAsia="pl-PL"/>
              </w:rPr>
              <w:t>544,7</w:t>
            </w:r>
          </w:p>
        </w:tc>
        <w:tc>
          <w:tcPr>
            <w:tcW w:w="1131" w:type="dxa"/>
            <w:shd w:val="clear" w:color="auto" w:fill="auto"/>
            <w:noWrap/>
            <w:vAlign w:val="center"/>
            <w:hideMark/>
          </w:tcPr>
          <w:p w:rsidR="003F2B0C" w:rsidRPr="00C36071" w:rsidRDefault="003F2B0C" w:rsidP="0084338D">
            <w:pPr>
              <w:spacing w:after="0" w:line="240" w:lineRule="auto"/>
              <w:jc w:val="center"/>
              <w:rPr>
                <w:rFonts w:eastAsia="Times New Roman" w:cs="Calibri"/>
                <w:kern w:val="0"/>
                <w:sz w:val="20"/>
                <w:szCs w:val="20"/>
                <w:lang w:eastAsia="pl-PL"/>
              </w:rPr>
            </w:pPr>
            <w:r w:rsidRPr="00C36071">
              <w:rPr>
                <w:rFonts w:eastAsia="Times New Roman" w:cs="Calibri"/>
                <w:kern w:val="0"/>
                <w:sz w:val="20"/>
                <w:szCs w:val="20"/>
                <w:lang w:eastAsia="pl-PL"/>
              </w:rPr>
              <w:t>579</w:t>
            </w:r>
          </w:p>
        </w:tc>
        <w:tc>
          <w:tcPr>
            <w:tcW w:w="1131" w:type="dxa"/>
            <w:shd w:val="clear" w:color="auto" w:fill="auto"/>
            <w:noWrap/>
            <w:vAlign w:val="center"/>
            <w:hideMark/>
          </w:tcPr>
          <w:p w:rsidR="003F2B0C" w:rsidRPr="00C36071" w:rsidRDefault="003F2B0C" w:rsidP="0084338D">
            <w:pPr>
              <w:spacing w:after="0" w:line="240" w:lineRule="auto"/>
              <w:jc w:val="center"/>
              <w:rPr>
                <w:rFonts w:eastAsia="Times New Roman" w:cs="Calibri"/>
                <w:kern w:val="0"/>
                <w:sz w:val="20"/>
                <w:szCs w:val="20"/>
                <w:lang w:eastAsia="pl-PL"/>
              </w:rPr>
            </w:pPr>
            <w:r w:rsidRPr="00C36071">
              <w:rPr>
                <w:rFonts w:eastAsia="Times New Roman" w:cs="Calibri"/>
                <w:kern w:val="0"/>
                <w:sz w:val="20"/>
                <w:szCs w:val="20"/>
                <w:lang w:eastAsia="pl-PL"/>
              </w:rPr>
              <w:t>585,9</w:t>
            </w:r>
          </w:p>
        </w:tc>
        <w:tc>
          <w:tcPr>
            <w:tcW w:w="1131" w:type="dxa"/>
            <w:shd w:val="clear" w:color="auto" w:fill="auto"/>
            <w:noWrap/>
            <w:vAlign w:val="center"/>
            <w:hideMark/>
          </w:tcPr>
          <w:p w:rsidR="003F2B0C" w:rsidRPr="00C36071" w:rsidRDefault="003F2B0C" w:rsidP="0084338D">
            <w:pPr>
              <w:spacing w:after="0" w:line="240" w:lineRule="auto"/>
              <w:jc w:val="center"/>
              <w:rPr>
                <w:rFonts w:eastAsia="Times New Roman" w:cs="Calibri"/>
                <w:kern w:val="0"/>
                <w:sz w:val="20"/>
                <w:szCs w:val="20"/>
                <w:lang w:eastAsia="pl-PL"/>
              </w:rPr>
            </w:pPr>
            <w:r w:rsidRPr="00C36071">
              <w:rPr>
                <w:rFonts w:eastAsia="Times New Roman" w:cs="Calibri"/>
                <w:kern w:val="0"/>
                <w:sz w:val="20"/>
                <w:szCs w:val="20"/>
                <w:lang w:eastAsia="pl-PL"/>
              </w:rPr>
              <w:t>588,7</w:t>
            </w:r>
          </w:p>
        </w:tc>
        <w:tc>
          <w:tcPr>
            <w:tcW w:w="1133" w:type="dxa"/>
            <w:shd w:val="clear" w:color="auto" w:fill="auto"/>
            <w:noWrap/>
            <w:vAlign w:val="center"/>
            <w:hideMark/>
          </w:tcPr>
          <w:p w:rsidR="003F2B0C" w:rsidRPr="00C36071" w:rsidRDefault="003F2B0C" w:rsidP="0084338D">
            <w:pPr>
              <w:spacing w:after="0" w:line="240" w:lineRule="auto"/>
              <w:jc w:val="center"/>
              <w:rPr>
                <w:rFonts w:eastAsia="Times New Roman" w:cs="Calibri"/>
                <w:kern w:val="0"/>
                <w:sz w:val="20"/>
                <w:szCs w:val="20"/>
                <w:lang w:eastAsia="pl-PL"/>
              </w:rPr>
            </w:pPr>
            <w:r w:rsidRPr="00C36071">
              <w:rPr>
                <w:rFonts w:eastAsia="Times New Roman" w:cs="Calibri"/>
                <w:kern w:val="0"/>
                <w:sz w:val="20"/>
                <w:szCs w:val="20"/>
                <w:lang w:eastAsia="pl-PL"/>
              </w:rPr>
              <w:t>596</w:t>
            </w:r>
          </w:p>
        </w:tc>
      </w:tr>
      <w:tr w:rsidR="003F2B0C" w:rsidRPr="00C36071" w:rsidTr="0084338D">
        <w:trPr>
          <w:trHeight w:val="322"/>
        </w:trPr>
        <w:tc>
          <w:tcPr>
            <w:tcW w:w="2309" w:type="dxa"/>
            <w:shd w:val="clear" w:color="auto" w:fill="auto"/>
            <w:vAlign w:val="center"/>
            <w:hideMark/>
          </w:tcPr>
          <w:p w:rsidR="003F2B0C" w:rsidRPr="00C36071" w:rsidRDefault="003F2B0C" w:rsidP="0084338D">
            <w:pPr>
              <w:spacing w:after="0" w:line="240" w:lineRule="auto"/>
              <w:jc w:val="left"/>
              <w:rPr>
                <w:rFonts w:eastAsia="Times New Roman" w:cs="Calibri"/>
                <w:kern w:val="0"/>
                <w:sz w:val="20"/>
                <w:szCs w:val="20"/>
                <w:lang w:eastAsia="pl-PL"/>
              </w:rPr>
            </w:pPr>
            <w:r w:rsidRPr="00C36071">
              <w:rPr>
                <w:rFonts w:eastAsia="Times New Roman" w:cs="Calibri"/>
                <w:kern w:val="0"/>
                <w:sz w:val="20"/>
                <w:szCs w:val="20"/>
                <w:lang w:eastAsia="pl-PL"/>
              </w:rPr>
              <w:t>Metropolia Poznań</w:t>
            </w:r>
          </w:p>
        </w:tc>
        <w:tc>
          <w:tcPr>
            <w:tcW w:w="1131" w:type="dxa"/>
            <w:shd w:val="clear" w:color="auto" w:fill="auto"/>
            <w:noWrap/>
            <w:vAlign w:val="center"/>
            <w:hideMark/>
          </w:tcPr>
          <w:p w:rsidR="003F2B0C" w:rsidRPr="00C36071" w:rsidRDefault="003F2B0C" w:rsidP="0084338D">
            <w:pPr>
              <w:spacing w:after="0" w:line="240" w:lineRule="auto"/>
              <w:jc w:val="center"/>
              <w:rPr>
                <w:rFonts w:eastAsia="Times New Roman" w:cs="Calibri"/>
                <w:kern w:val="0"/>
                <w:sz w:val="20"/>
                <w:szCs w:val="20"/>
                <w:lang w:eastAsia="pl-PL"/>
              </w:rPr>
            </w:pPr>
            <w:r w:rsidRPr="00C36071">
              <w:rPr>
                <w:rFonts w:eastAsia="Times New Roman" w:cs="Calibri"/>
                <w:kern w:val="0"/>
                <w:sz w:val="20"/>
                <w:szCs w:val="20"/>
                <w:lang w:eastAsia="pl-PL"/>
              </w:rPr>
              <w:t>583,7</w:t>
            </w:r>
          </w:p>
        </w:tc>
        <w:tc>
          <w:tcPr>
            <w:tcW w:w="1131" w:type="dxa"/>
            <w:shd w:val="clear" w:color="auto" w:fill="auto"/>
            <w:noWrap/>
            <w:vAlign w:val="center"/>
            <w:hideMark/>
          </w:tcPr>
          <w:p w:rsidR="003F2B0C" w:rsidRPr="00C36071" w:rsidRDefault="003F2B0C" w:rsidP="0084338D">
            <w:pPr>
              <w:spacing w:after="0" w:line="240" w:lineRule="auto"/>
              <w:jc w:val="center"/>
              <w:rPr>
                <w:rFonts w:eastAsia="Times New Roman" w:cs="Calibri"/>
                <w:kern w:val="0"/>
                <w:sz w:val="20"/>
                <w:szCs w:val="20"/>
                <w:lang w:eastAsia="pl-PL"/>
              </w:rPr>
            </w:pPr>
            <w:r w:rsidRPr="00C36071">
              <w:rPr>
                <w:rFonts w:eastAsia="Times New Roman" w:cs="Calibri"/>
                <w:kern w:val="0"/>
                <w:sz w:val="20"/>
                <w:szCs w:val="20"/>
                <w:lang w:eastAsia="pl-PL"/>
              </w:rPr>
              <w:t>558,4</w:t>
            </w:r>
          </w:p>
        </w:tc>
        <w:tc>
          <w:tcPr>
            <w:tcW w:w="1131" w:type="dxa"/>
            <w:shd w:val="clear" w:color="auto" w:fill="auto"/>
            <w:noWrap/>
            <w:vAlign w:val="center"/>
            <w:hideMark/>
          </w:tcPr>
          <w:p w:rsidR="003F2B0C" w:rsidRPr="00C36071" w:rsidRDefault="003F2B0C" w:rsidP="0084338D">
            <w:pPr>
              <w:spacing w:after="0" w:line="240" w:lineRule="auto"/>
              <w:jc w:val="center"/>
              <w:rPr>
                <w:rFonts w:eastAsia="Times New Roman" w:cs="Calibri"/>
                <w:kern w:val="0"/>
                <w:sz w:val="20"/>
                <w:szCs w:val="20"/>
                <w:lang w:eastAsia="pl-PL"/>
              </w:rPr>
            </w:pPr>
            <w:r w:rsidRPr="00C36071">
              <w:rPr>
                <w:rFonts w:eastAsia="Times New Roman" w:cs="Calibri"/>
                <w:kern w:val="0"/>
                <w:sz w:val="20"/>
                <w:szCs w:val="20"/>
                <w:lang w:eastAsia="pl-PL"/>
              </w:rPr>
              <w:t>609,9</w:t>
            </w:r>
          </w:p>
        </w:tc>
        <w:tc>
          <w:tcPr>
            <w:tcW w:w="1131" w:type="dxa"/>
            <w:shd w:val="clear" w:color="auto" w:fill="auto"/>
            <w:noWrap/>
            <w:vAlign w:val="center"/>
            <w:hideMark/>
          </w:tcPr>
          <w:p w:rsidR="003F2B0C" w:rsidRPr="00C36071" w:rsidRDefault="003F2B0C" w:rsidP="0084338D">
            <w:pPr>
              <w:spacing w:after="0" w:line="240" w:lineRule="auto"/>
              <w:jc w:val="center"/>
              <w:rPr>
                <w:rFonts w:eastAsia="Times New Roman" w:cs="Calibri"/>
                <w:kern w:val="0"/>
                <w:sz w:val="20"/>
                <w:szCs w:val="20"/>
                <w:lang w:eastAsia="pl-PL"/>
              </w:rPr>
            </w:pPr>
            <w:r w:rsidRPr="00C36071">
              <w:rPr>
                <w:rFonts w:eastAsia="Times New Roman" w:cs="Calibri"/>
                <w:kern w:val="0"/>
                <w:sz w:val="20"/>
                <w:szCs w:val="20"/>
                <w:lang w:eastAsia="pl-PL"/>
              </w:rPr>
              <w:t>599,4</w:t>
            </w:r>
          </w:p>
        </w:tc>
        <w:tc>
          <w:tcPr>
            <w:tcW w:w="1131" w:type="dxa"/>
            <w:shd w:val="clear" w:color="auto" w:fill="auto"/>
            <w:noWrap/>
            <w:vAlign w:val="center"/>
            <w:hideMark/>
          </w:tcPr>
          <w:p w:rsidR="003F2B0C" w:rsidRPr="00C36071" w:rsidRDefault="003F2B0C" w:rsidP="0084338D">
            <w:pPr>
              <w:spacing w:after="0" w:line="240" w:lineRule="auto"/>
              <w:jc w:val="center"/>
              <w:rPr>
                <w:rFonts w:eastAsia="Times New Roman" w:cs="Calibri"/>
                <w:kern w:val="0"/>
                <w:sz w:val="20"/>
                <w:szCs w:val="20"/>
                <w:lang w:eastAsia="pl-PL"/>
              </w:rPr>
            </w:pPr>
            <w:r w:rsidRPr="00C36071">
              <w:rPr>
                <w:rFonts w:eastAsia="Times New Roman" w:cs="Calibri"/>
                <w:kern w:val="0"/>
                <w:sz w:val="20"/>
                <w:szCs w:val="20"/>
                <w:lang w:eastAsia="pl-PL"/>
              </w:rPr>
              <w:t>599</w:t>
            </w:r>
          </w:p>
        </w:tc>
        <w:tc>
          <w:tcPr>
            <w:tcW w:w="1133" w:type="dxa"/>
            <w:shd w:val="clear" w:color="auto" w:fill="auto"/>
            <w:noWrap/>
            <w:vAlign w:val="center"/>
            <w:hideMark/>
          </w:tcPr>
          <w:p w:rsidR="003F2B0C" w:rsidRPr="00C36071" w:rsidRDefault="003F2B0C" w:rsidP="0084338D">
            <w:pPr>
              <w:spacing w:after="0" w:line="240" w:lineRule="auto"/>
              <w:jc w:val="center"/>
              <w:rPr>
                <w:rFonts w:eastAsia="Times New Roman" w:cs="Calibri"/>
                <w:kern w:val="0"/>
                <w:sz w:val="20"/>
                <w:szCs w:val="20"/>
                <w:lang w:eastAsia="pl-PL"/>
              </w:rPr>
            </w:pPr>
            <w:r w:rsidRPr="00C36071">
              <w:rPr>
                <w:rFonts w:eastAsia="Times New Roman" w:cs="Calibri"/>
                <w:kern w:val="0"/>
                <w:sz w:val="20"/>
                <w:szCs w:val="20"/>
                <w:lang w:eastAsia="pl-PL"/>
              </w:rPr>
              <w:t>585,1</w:t>
            </w:r>
          </w:p>
        </w:tc>
      </w:tr>
    </w:tbl>
    <w:p w:rsidR="003F2B0C" w:rsidRPr="002737CB" w:rsidRDefault="003F2B0C" w:rsidP="003F2B0C">
      <w:pPr>
        <w:spacing w:line="276" w:lineRule="auto"/>
        <w:rPr>
          <w:iCs/>
          <w:color w:val="363735" w:themeColor="accent3"/>
          <w:sz w:val="20"/>
          <w:szCs w:val="18"/>
        </w:rPr>
      </w:pPr>
      <w:r w:rsidRPr="002737CB">
        <w:rPr>
          <w:iCs/>
          <w:color w:val="363735" w:themeColor="accent3"/>
          <w:sz w:val="20"/>
          <w:szCs w:val="18"/>
        </w:rPr>
        <w:t xml:space="preserve">Źródło: opracowanie własne na podstawie danych GUS BDL, </w:t>
      </w:r>
      <w:r>
        <w:rPr>
          <w:iCs/>
          <w:color w:val="363735" w:themeColor="accent3"/>
          <w:sz w:val="20"/>
          <w:szCs w:val="18"/>
        </w:rPr>
        <w:t>dostęp</w:t>
      </w:r>
      <w:r w:rsidRPr="002737CB">
        <w:rPr>
          <w:iCs/>
          <w:color w:val="363735" w:themeColor="accent3"/>
          <w:sz w:val="20"/>
          <w:szCs w:val="18"/>
        </w:rPr>
        <w:t xml:space="preserve"> 30.01.2025</w:t>
      </w:r>
    </w:p>
    <w:p w:rsidR="003F2B0C" w:rsidRDefault="003F2B0C" w:rsidP="00CA313E">
      <w:r>
        <w:t xml:space="preserve">Na jednego mieszkańca Wrocławskiego Obszaru Funkcjonalnego przypada 522,5 m2 terenów zieleni i 277,1 m2 </w:t>
      </w:r>
      <w:r w:rsidRPr="00C36071">
        <w:t xml:space="preserve">powierzchni parków, zieleńców i terenów zieleni osiedlowej. </w:t>
      </w:r>
      <w:r>
        <w:t xml:space="preserve">Najwięcej m2 zarówno terenów zieleni jak i powierzchni parków, zieleńców i terenów zieleni osiedlowej przypada na 1 mieszkańca w Metropolii Poznań. </w:t>
      </w:r>
    </w:p>
    <w:p w:rsidR="003F2B0C" w:rsidRDefault="003F2B0C" w:rsidP="003F2B0C">
      <w:pPr>
        <w:pStyle w:val="Legenda"/>
        <w:rPr>
          <w:b/>
          <w:bCs/>
          <w:color w:val="FFC000"/>
        </w:rPr>
      </w:pPr>
      <w:bookmarkStart w:id="114" w:name="_Toc196867103"/>
      <w:bookmarkStart w:id="115" w:name="_Toc197678837"/>
      <w:r>
        <w:t xml:space="preserve">Wykres </w:t>
      </w:r>
      <w:fldSimple w:instr=" SEQ Wykres \* ARABIC ">
        <w:r w:rsidR="0084338D">
          <w:rPr>
            <w:noProof/>
          </w:rPr>
          <w:t>23</w:t>
        </w:r>
      </w:fldSimple>
      <w:r>
        <w:t>. P</w:t>
      </w:r>
      <w:r w:rsidRPr="00E225FC">
        <w:t>owierzchnia terenów zieleni ogółem na 1 mieszkańca</w:t>
      </w:r>
      <w:r>
        <w:t>.</w:t>
      </w:r>
      <w:bookmarkEnd w:id="114"/>
      <w:bookmarkEnd w:id="115"/>
    </w:p>
    <w:p w:rsidR="003F2B0C" w:rsidRDefault="003F2B0C" w:rsidP="003F2B0C">
      <w:pPr>
        <w:rPr>
          <w:b/>
          <w:bCs/>
          <w:color w:val="FFC000"/>
        </w:rPr>
      </w:pPr>
      <w:r>
        <w:rPr>
          <w:noProof/>
          <w:lang w:eastAsia="pl-PL"/>
        </w:rPr>
        <w:drawing>
          <wp:inline distT="0" distB="0" distL="0" distR="0">
            <wp:extent cx="5761990" cy="2232838"/>
            <wp:effectExtent l="0" t="0" r="10160" b="15240"/>
            <wp:docPr id="1767987723" name="Wykres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672858E6-D34E-5D4F-052C-61CCC281B4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3F2B0C" w:rsidRDefault="003F2B0C" w:rsidP="003F2B0C">
      <w:pPr>
        <w:spacing w:line="276" w:lineRule="auto"/>
        <w:rPr>
          <w:iCs/>
          <w:color w:val="363735" w:themeColor="accent3"/>
          <w:sz w:val="20"/>
          <w:szCs w:val="18"/>
        </w:rPr>
      </w:pPr>
      <w:r w:rsidRPr="002737CB">
        <w:rPr>
          <w:iCs/>
          <w:color w:val="363735" w:themeColor="accent3"/>
          <w:sz w:val="20"/>
          <w:szCs w:val="18"/>
        </w:rPr>
        <w:t xml:space="preserve">Źródło: opracowanie własne na podstawie danych GUS BDL, </w:t>
      </w:r>
      <w:r>
        <w:rPr>
          <w:iCs/>
          <w:color w:val="363735" w:themeColor="accent3"/>
          <w:sz w:val="20"/>
          <w:szCs w:val="18"/>
        </w:rPr>
        <w:t xml:space="preserve">dostęp </w:t>
      </w:r>
      <w:r w:rsidRPr="002737CB">
        <w:rPr>
          <w:iCs/>
          <w:color w:val="363735" w:themeColor="accent3"/>
          <w:sz w:val="20"/>
          <w:szCs w:val="18"/>
        </w:rPr>
        <w:t>30.01.2025</w:t>
      </w:r>
    </w:p>
    <w:p w:rsidR="003F2B0C" w:rsidRPr="00274F5E" w:rsidRDefault="003F2B0C" w:rsidP="003F2B0C">
      <w:pPr>
        <w:pStyle w:val="Legenda"/>
        <w:rPr>
          <w:lang w:eastAsia="pl-PL"/>
        </w:rPr>
      </w:pPr>
      <w:bookmarkStart w:id="116" w:name="_Toc196867104"/>
      <w:bookmarkStart w:id="117" w:name="_Toc197678838"/>
      <w:r>
        <w:lastRenderedPageBreak/>
        <w:t xml:space="preserve">Wykres </w:t>
      </w:r>
      <w:fldSimple w:instr=" SEQ Wykres \* ARABIC ">
        <w:r w:rsidR="0084338D">
          <w:rPr>
            <w:noProof/>
          </w:rPr>
          <w:t>24</w:t>
        </w:r>
      </w:fldSimple>
      <w:r>
        <w:t xml:space="preserve">. </w:t>
      </w:r>
      <w:r>
        <w:rPr>
          <w:lang w:eastAsia="pl-PL"/>
        </w:rPr>
        <w:t>P</w:t>
      </w:r>
      <w:r w:rsidRPr="00274F5E">
        <w:rPr>
          <w:lang w:eastAsia="pl-PL"/>
        </w:rPr>
        <w:t>owierzchnia parków, zieleńców i terenów zieleni osiedlowej na 1 mieszkańca</w:t>
      </w:r>
      <w:bookmarkEnd w:id="116"/>
      <w:bookmarkEnd w:id="117"/>
    </w:p>
    <w:p w:rsidR="003F2B0C" w:rsidRPr="005A7B7A" w:rsidRDefault="003F2B0C" w:rsidP="003F2B0C">
      <w:pPr>
        <w:spacing w:line="276" w:lineRule="auto"/>
        <w:rPr>
          <w:iCs/>
          <w:color w:val="363735" w:themeColor="accent3"/>
          <w:sz w:val="20"/>
          <w:szCs w:val="18"/>
        </w:rPr>
      </w:pPr>
      <w:r w:rsidRPr="005A7B7A">
        <w:rPr>
          <w:iCs/>
          <w:noProof/>
          <w:color w:val="363735" w:themeColor="accent3"/>
          <w:sz w:val="20"/>
          <w:szCs w:val="18"/>
          <w:lang w:eastAsia="pl-PL"/>
        </w:rPr>
        <w:drawing>
          <wp:inline distT="0" distB="0" distL="0" distR="0">
            <wp:extent cx="5759450" cy="2482850"/>
            <wp:effectExtent l="0" t="0" r="12700" b="12700"/>
            <wp:docPr id="362756819" name="Wykres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8FAD57F7-704F-95BA-31BF-2D1B414C64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3F2B0C" w:rsidRPr="005A7B7A" w:rsidRDefault="003F2B0C" w:rsidP="003F2B0C">
      <w:pPr>
        <w:spacing w:line="276" w:lineRule="auto"/>
        <w:rPr>
          <w:iCs/>
          <w:color w:val="363735" w:themeColor="accent3"/>
          <w:sz w:val="20"/>
          <w:szCs w:val="18"/>
        </w:rPr>
      </w:pPr>
      <w:r w:rsidRPr="005A7B7A">
        <w:rPr>
          <w:iCs/>
          <w:color w:val="363735" w:themeColor="accent3"/>
          <w:sz w:val="20"/>
          <w:szCs w:val="18"/>
        </w:rPr>
        <w:t xml:space="preserve">Źródło: opracowanie własne na podstawie danych GUS BDL, </w:t>
      </w:r>
      <w:r>
        <w:rPr>
          <w:iCs/>
          <w:color w:val="363735" w:themeColor="accent3"/>
          <w:sz w:val="20"/>
          <w:szCs w:val="18"/>
        </w:rPr>
        <w:t>dostęp</w:t>
      </w:r>
      <w:r w:rsidRPr="005A7B7A">
        <w:rPr>
          <w:iCs/>
          <w:color w:val="363735" w:themeColor="accent3"/>
          <w:sz w:val="20"/>
          <w:szCs w:val="18"/>
        </w:rPr>
        <w:t xml:space="preserve"> 30.01.2025</w:t>
      </w:r>
    </w:p>
    <w:p w:rsidR="003F2B0C" w:rsidRDefault="003F2B0C" w:rsidP="003F2B0C">
      <w:r>
        <w:t xml:space="preserve">Wszystkie analizowane obszary funkcjonalne posiadają walory przyrodnicze, stanowiące o ich potencjale. </w:t>
      </w:r>
    </w:p>
    <w:p w:rsidR="003F2B0C" w:rsidRDefault="003F2B0C" w:rsidP="003F2B0C">
      <w:r>
        <w:t xml:space="preserve">Obszar Metropolitalny Brna obejmuje kilka obszarów chronionych, takich jak część obszaru chronionego krajobrazu Morawskiego Krasu, narodowy pomnik przyrody </w:t>
      </w:r>
      <w:proofErr w:type="spellStart"/>
      <w:r>
        <w:t>Stránská</w:t>
      </w:r>
      <w:proofErr w:type="spellEnd"/>
      <w:r>
        <w:t xml:space="preserve"> </w:t>
      </w:r>
      <w:proofErr w:type="spellStart"/>
      <w:r>
        <w:t>skála</w:t>
      </w:r>
      <w:proofErr w:type="spellEnd"/>
      <w:r>
        <w:t xml:space="preserve">, narodowy rezerwat przyrody </w:t>
      </w:r>
      <w:proofErr w:type="spellStart"/>
      <w:r>
        <w:t>Hádecká</w:t>
      </w:r>
      <w:proofErr w:type="spellEnd"/>
      <w:r>
        <w:t xml:space="preserve"> </w:t>
      </w:r>
      <w:proofErr w:type="spellStart"/>
      <w:r>
        <w:t>planinka</w:t>
      </w:r>
      <w:proofErr w:type="spellEnd"/>
      <w:r>
        <w:t xml:space="preserve">, pomnik przyrody </w:t>
      </w:r>
      <w:proofErr w:type="spellStart"/>
      <w:r>
        <w:t>Bílá</w:t>
      </w:r>
      <w:proofErr w:type="spellEnd"/>
      <w:r>
        <w:t xml:space="preserve"> hora lub rezerwat przyrody </w:t>
      </w:r>
      <w:proofErr w:type="spellStart"/>
      <w:r>
        <w:t>Bosonožský</w:t>
      </w:r>
      <w:proofErr w:type="spellEnd"/>
      <w:r>
        <w:t xml:space="preserve"> </w:t>
      </w:r>
      <w:proofErr w:type="spellStart"/>
      <w:r>
        <w:t>hájek</w:t>
      </w:r>
      <w:proofErr w:type="spellEnd"/>
      <w:r>
        <w:t xml:space="preserve">. </w:t>
      </w:r>
    </w:p>
    <w:p w:rsidR="003F2B0C" w:rsidRDefault="003F2B0C" w:rsidP="003F2B0C">
      <w:r>
        <w:t xml:space="preserve">W Dreźnie znajduje się dziesięć obszarów objętych ochroną krajobrazu, w tym: Wrzosowisko Drezdeńskie, Zbocza Łaby </w:t>
      </w:r>
      <w:proofErr w:type="spellStart"/>
      <w:r>
        <w:t>Drezno-Pirna</w:t>
      </w:r>
      <w:proofErr w:type="spellEnd"/>
      <w:r>
        <w:t xml:space="preserve"> i </w:t>
      </w:r>
      <w:proofErr w:type="spellStart"/>
      <w:r>
        <w:t>Schönfelder</w:t>
      </w:r>
      <w:proofErr w:type="spellEnd"/>
      <w:r>
        <w:t xml:space="preserve"> </w:t>
      </w:r>
      <w:proofErr w:type="spellStart"/>
      <w:r>
        <w:t>Hochland</w:t>
      </w:r>
      <w:proofErr w:type="spellEnd"/>
      <w:r>
        <w:t xml:space="preserve">, </w:t>
      </w:r>
      <w:proofErr w:type="spellStart"/>
      <w:r>
        <w:t>Lockwitztal</w:t>
      </w:r>
      <w:proofErr w:type="spellEnd"/>
      <w:r>
        <w:t xml:space="preserve"> i </w:t>
      </w:r>
      <w:proofErr w:type="spellStart"/>
      <w:r>
        <w:t>Gebergrund</w:t>
      </w:r>
      <w:proofErr w:type="spellEnd"/>
      <w:r>
        <w:t>.</w:t>
      </w:r>
    </w:p>
    <w:p w:rsidR="003F2B0C" w:rsidRDefault="003F2B0C" w:rsidP="003F2B0C">
      <w:proofErr w:type="spellStart"/>
      <w:r>
        <w:t>WrOF</w:t>
      </w:r>
      <w:proofErr w:type="spellEnd"/>
      <w:r>
        <w:t xml:space="preserve"> charakteryzuje się obecnością licznych obszarów chronionych, takich jak obszary Natura 2000 oraz krajobrazy chronione, takimi jak: Dolina Oleśnicy i Potoku </w:t>
      </w:r>
      <w:proofErr w:type="spellStart"/>
      <w:r>
        <w:t>Boguszyckiego</w:t>
      </w:r>
      <w:proofErr w:type="spellEnd"/>
      <w:r>
        <w:t xml:space="preserve">, Kumaki Dobrej, Lasy Grędzińskie, Dąbrowy Janikowskie, Grądy w Dolinie Odry, Grądy Odrzańskie, Dolina Widawy, Łęgi nad Bystrzycą, Łęgi Odrzańskie, Jodłowice, Ostoja nad Baryczą, </w:t>
      </w:r>
      <w:proofErr w:type="spellStart"/>
      <w:r>
        <w:t>Skoroszowskie</w:t>
      </w:r>
      <w:proofErr w:type="spellEnd"/>
      <w:r>
        <w:t xml:space="preserve"> Łąki, Dolina Baryczy, Las </w:t>
      </w:r>
      <w:proofErr w:type="spellStart"/>
      <w:r>
        <w:t>Pilczycki</w:t>
      </w:r>
      <w:proofErr w:type="spellEnd"/>
      <w:r>
        <w:t xml:space="preserve">, Stawy w Borowej, </w:t>
      </w:r>
      <w:proofErr w:type="spellStart"/>
      <w:r>
        <w:t>Przeplatki</w:t>
      </w:r>
      <w:proofErr w:type="spellEnd"/>
      <w:r>
        <w:t xml:space="preserve"> nad Bystrzycą, Masyw Ślęży, Park Krajobrazowy Dolina Bystrzycy, Park Krajobrazowy Dolina Baryczy, </w:t>
      </w:r>
      <w:proofErr w:type="spellStart"/>
      <w:r>
        <w:t>Ślężański</w:t>
      </w:r>
      <w:proofErr w:type="spellEnd"/>
      <w:r>
        <w:t xml:space="preserve"> Park Krajobrazowy. </w:t>
      </w:r>
    </w:p>
    <w:p w:rsidR="003F2B0C" w:rsidRDefault="003F2B0C" w:rsidP="003F2B0C">
      <w:r>
        <w:t xml:space="preserve">Na terenie Metropolii Krakowskiej również </w:t>
      </w:r>
      <w:proofErr w:type="spellStart"/>
      <w:r>
        <w:t>znaduje</w:t>
      </w:r>
      <w:proofErr w:type="spellEnd"/>
      <w:r>
        <w:t xml:space="preserve"> się wiele form chronionej przyrody m.in.: Ojcowski Park Narodowy, </w:t>
      </w:r>
      <w:proofErr w:type="spellStart"/>
      <w:r>
        <w:t>Dłubniański</w:t>
      </w:r>
      <w:proofErr w:type="spellEnd"/>
      <w:r>
        <w:t xml:space="preserve"> Park Krajobrazowy, Park Krajobrazowy Dolinki Krakowskie </w:t>
      </w:r>
      <w:proofErr w:type="spellStart"/>
      <w:r>
        <w:t>Rudniański</w:t>
      </w:r>
      <w:proofErr w:type="spellEnd"/>
      <w:r>
        <w:t xml:space="preserve"> Park Krajobrazowy, Tenczyński Park Krajobrazowy , Bielańsko-Tyniecki Park Krajobrazowy , Dolina Prądnika</w:t>
      </w:r>
    </w:p>
    <w:p w:rsidR="003F2B0C" w:rsidRDefault="003F2B0C" w:rsidP="003F2B0C">
      <w:r>
        <w:t xml:space="preserve">Na terenie Metropolii Poznań znajdują się m.in. Puszcza Zielonka, atrakcyjne doliny rzeczne, m.in. Warty i Cybiny, Rogalińska Dolina Warty, Wielkopolski Park Narodowy, Meteoryt </w:t>
      </w:r>
      <w:proofErr w:type="spellStart"/>
      <w:r>
        <w:t>Morasko</w:t>
      </w:r>
      <w:proofErr w:type="spellEnd"/>
      <w:r>
        <w:t xml:space="preserve"> –Żurawiniec.</w:t>
      </w:r>
    </w:p>
    <w:p w:rsidR="003F2B0C" w:rsidRDefault="003F2B0C" w:rsidP="003F2B0C">
      <w:pPr>
        <w:rPr>
          <w:iCs/>
          <w:color w:val="363735" w:themeColor="accent3"/>
          <w:sz w:val="20"/>
          <w:szCs w:val="18"/>
        </w:rPr>
      </w:pPr>
      <w:r>
        <w:lastRenderedPageBreak/>
        <w:t xml:space="preserve">Wpływ na środowisko mają również odpady komunalne i selektywne wytworzone w ciągu roku. Największą masę odpadów komunalnych wytworzoną przez gospodarstwa domowe odnotowano w 2023 roku w Metropolii Krakowskiej – 508 304,50 ton. Najmniej w Metropolii Poznań – 449 737,66 ton. </w:t>
      </w:r>
    </w:p>
    <w:p w:rsidR="00CA313E" w:rsidRDefault="00CA313E">
      <w:pPr>
        <w:spacing w:after="160" w:line="259" w:lineRule="auto"/>
        <w:jc w:val="left"/>
        <w:rPr>
          <w:iCs/>
          <w:color w:val="363735" w:themeColor="accent3"/>
          <w:sz w:val="20"/>
          <w:szCs w:val="18"/>
        </w:rPr>
      </w:pPr>
      <w:bookmarkStart w:id="118" w:name="_Toc196867105"/>
      <w:r>
        <w:br w:type="page"/>
      </w:r>
    </w:p>
    <w:p w:rsidR="003F2B0C" w:rsidRDefault="003F2B0C" w:rsidP="003F2B0C">
      <w:pPr>
        <w:pStyle w:val="Legenda"/>
      </w:pPr>
      <w:bookmarkStart w:id="119" w:name="_Toc197678839"/>
      <w:r>
        <w:lastRenderedPageBreak/>
        <w:t xml:space="preserve">Wykres </w:t>
      </w:r>
      <w:fldSimple w:instr=" SEQ Wykres \* ARABIC ">
        <w:r w:rsidR="0084338D">
          <w:rPr>
            <w:noProof/>
          </w:rPr>
          <w:t>25</w:t>
        </w:r>
      </w:fldSimple>
      <w:r>
        <w:t>. Odpady komunalne wytworzone w ciągu roku z gospodarstw domowych w latach 2018-2023</w:t>
      </w:r>
      <w:bookmarkEnd w:id="118"/>
      <w:bookmarkEnd w:id="119"/>
    </w:p>
    <w:p w:rsidR="003F2B0C" w:rsidRPr="00D83147" w:rsidRDefault="003F2B0C" w:rsidP="003F2B0C">
      <w:pPr>
        <w:spacing w:line="276" w:lineRule="auto"/>
        <w:rPr>
          <w:iCs/>
          <w:color w:val="363735" w:themeColor="accent3"/>
          <w:sz w:val="20"/>
          <w:szCs w:val="18"/>
        </w:rPr>
      </w:pPr>
      <w:r w:rsidRPr="00D83147">
        <w:rPr>
          <w:iCs/>
          <w:noProof/>
          <w:color w:val="363735" w:themeColor="accent3"/>
          <w:sz w:val="20"/>
          <w:szCs w:val="18"/>
          <w:lang w:eastAsia="pl-PL"/>
        </w:rPr>
        <w:drawing>
          <wp:inline distT="0" distB="0" distL="0" distR="0">
            <wp:extent cx="5760720" cy="3136605"/>
            <wp:effectExtent l="0" t="0" r="11430" b="6985"/>
            <wp:docPr id="333810183" name="Wykres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66C19BED-92B7-4188-C449-4751569A75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3F2B0C" w:rsidRPr="00C806E9" w:rsidRDefault="003F2B0C" w:rsidP="003F2B0C">
      <w:pPr>
        <w:spacing w:line="276" w:lineRule="auto"/>
        <w:rPr>
          <w:iCs/>
          <w:color w:val="363735" w:themeColor="accent3"/>
          <w:sz w:val="20"/>
          <w:szCs w:val="18"/>
        </w:rPr>
      </w:pPr>
      <w:r w:rsidRPr="00D83147">
        <w:rPr>
          <w:iCs/>
          <w:color w:val="363735" w:themeColor="accent3"/>
          <w:sz w:val="20"/>
          <w:szCs w:val="18"/>
        </w:rPr>
        <w:t>Źródło: opracowanie własne na podstawie danych GUS BDL, dostęp 30.01.2025</w:t>
      </w:r>
    </w:p>
    <w:p w:rsidR="003F2B0C" w:rsidRDefault="003F2B0C" w:rsidP="003F2B0C">
      <w:r>
        <w:t xml:space="preserve">W przeliczeniu na jednego mieszkańca na obszarze Wrocławskiego Obszaru Funkcjonalnego odnotowano spadek masy odpadów komunalnych z 0,48 t w roku 2013 do 0,46 t w roku 2023. Największą masę odpadów przypadających na jednego mieszkańca odnotowano w Metropolii Poznań – 0,72 t w 2023 roku. </w:t>
      </w:r>
    </w:p>
    <w:p w:rsidR="003F2B0C" w:rsidRDefault="003F2B0C" w:rsidP="003F2B0C">
      <w:pPr>
        <w:pStyle w:val="Legenda"/>
      </w:pPr>
      <w:bookmarkStart w:id="120" w:name="_Toc196867078"/>
      <w:bookmarkStart w:id="121" w:name="_Toc196905091"/>
      <w:r>
        <w:t xml:space="preserve">Tabela </w:t>
      </w:r>
      <w:fldSimple w:instr=" SEQ Tabela \* ARABIC ">
        <w:r w:rsidR="0084338D">
          <w:rPr>
            <w:noProof/>
          </w:rPr>
          <w:t>27</w:t>
        </w:r>
      </w:fldSimple>
      <w:r>
        <w:t>. Odpady komunalne zebrane ogółem i przypadające na 1 mieszkańca w latach 2028-2023 (w tonach).</w:t>
      </w:r>
      <w:bookmarkEnd w:id="120"/>
      <w:bookmarkEnd w:id="121"/>
      <w:r>
        <w:t xml:space="preserve"> </w:t>
      </w:r>
    </w:p>
    <w:tbl>
      <w:tblPr>
        <w:tblW w:w="9041" w:type="dxa"/>
        <w:tblInd w:w="75" w:type="dxa"/>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CellMar>
          <w:left w:w="70" w:type="dxa"/>
          <w:right w:w="70" w:type="dxa"/>
        </w:tblCellMar>
        <w:tblLook w:val="04A0"/>
      </w:tblPr>
      <w:tblGrid>
        <w:gridCol w:w="1925"/>
        <w:gridCol w:w="1186"/>
        <w:gridCol w:w="1186"/>
        <w:gridCol w:w="1186"/>
        <w:gridCol w:w="1186"/>
        <w:gridCol w:w="1186"/>
        <w:gridCol w:w="1186"/>
      </w:tblGrid>
      <w:tr w:rsidR="003F2B0C" w:rsidRPr="002B7E93" w:rsidTr="0084338D">
        <w:trPr>
          <w:trHeight w:val="287"/>
        </w:trPr>
        <w:tc>
          <w:tcPr>
            <w:tcW w:w="1925" w:type="dxa"/>
            <w:shd w:val="clear" w:color="auto" w:fill="FFC000"/>
            <w:noWrap/>
            <w:vAlign w:val="bottom"/>
            <w:hideMark/>
          </w:tcPr>
          <w:p w:rsidR="003F2B0C" w:rsidRPr="003A44F4" w:rsidRDefault="003F2B0C" w:rsidP="0084338D">
            <w:pPr>
              <w:spacing w:after="0" w:line="240" w:lineRule="auto"/>
              <w:jc w:val="left"/>
              <w:rPr>
                <w:rFonts w:eastAsia="Times New Roman" w:cs="Calibri"/>
                <w:kern w:val="0"/>
                <w:sz w:val="20"/>
                <w:szCs w:val="20"/>
                <w:lang w:eastAsia="pl-PL"/>
              </w:rPr>
            </w:pPr>
            <w:r w:rsidRPr="003A44F4">
              <w:rPr>
                <w:rFonts w:eastAsia="Times New Roman" w:cs="Calibri"/>
                <w:kern w:val="0"/>
                <w:sz w:val="20"/>
                <w:szCs w:val="20"/>
                <w:lang w:eastAsia="pl-PL"/>
              </w:rPr>
              <w:t> </w:t>
            </w:r>
          </w:p>
        </w:tc>
        <w:tc>
          <w:tcPr>
            <w:tcW w:w="1186" w:type="dxa"/>
            <w:shd w:val="clear" w:color="auto" w:fill="FFC000"/>
            <w:vAlign w:val="center"/>
            <w:hideMark/>
          </w:tcPr>
          <w:p w:rsidR="003F2B0C" w:rsidRPr="003A44F4" w:rsidRDefault="003F2B0C" w:rsidP="0084338D">
            <w:pPr>
              <w:spacing w:after="0" w:line="240" w:lineRule="auto"/>
              <w:jc w:val="center"/>
              <w:rPr>
                <w:rFonts w:eastAsia="Times New Roman" w:cs="Calibri"/>
                <w:color w:val="000000"/>
                <w:kern w:val="0"/>
                <w:sz w:val="20"/>
                <w:szCs w:val="20"/>
                <w:lang w:eastAsia="pl-PL"/>
              </w:rPr>
            </w:pPr>
            <w:r w:rsidRPr="003A44F4">
              <w:rPr>
                <w:rFonts w:eastAsia="Times New Roman" w:cs="Calibri"/>
                <w:color w:val="000000"/>
                <w:kern w:val="0"/>
                <w:sz w:val="20"/>
                <w:szCs w:val="20"/>
                <w:lang w:eastAsia="pl-PL"/>
              </w:rPr>
              <w:t>2018</w:t>
            </w:r>
          </w:p>
        </w:tc>
        <w:tc>
          <w:tcPr>
            <w:tcW w:w="1186" w:type="dxa"/>
            <w:shd w:val="clear" w:color="auto" w:fill="FFC000"/>
            <w:vAlign w:val="center"/>
            <w:hideMark/>
          </w:tcPr>
          <w:p w:rsidR="003F2B0C" w:rsidRPr="003A44F4" w:rsidRDefault="003F2B0C" w:rsidP="0084338D">
            <w:pPr>
              <w:spacing w:after="0" w:line="240" w:lineRule="auto"/>
              <w:jc w:val="center"/>
              <w:rPr>
                <w:rFonts w:eastAsia="Times New Roman" w:cs="Calibri"/>
                <w:color w:val="000000"/>
                <w:kern w:val="0"/>
                <w:sz w:val="20"/>
                <w:szCs w:val="20"/>
                <w:lang w:eastAsia="pl-PL"/>
              </w:rPr>
            </w:pPr>
            <w:r w:rsidRPr="003A44F4">
              <w:rPr>
                <w:rFonts w:eastAsia="Times New Roman" w:cs="Calibri"/>
                <w:color w:val="000000"/>
                <w:kern w:val="0"/>
                <w:sz w:val="20"/>
                <w:szCs w:val="20"/>
                <w:lang w:eastAsia="pl-PL"/>
              </w:rPr>
              <w:t>2019</w:t>
            </w:r>
          </w:p>
        </w:tc>
        <w:tc>
          <w:tcPr>
            <w:tcW w:w="1186" w:type="dxa"/>
            <w:shd w:val="clear" w:color="auto" w:fill="FFC000"/>
            <w:vAlign w:val="center"/>
            <w:hideMark/>
          </w:tcPr>
          <w:p w:rsidR="003F2B0C" w:rsidRPr="003A44F4" w:rsidRDefault="003F2B0C" w:rsidP="0084338D">
            <w:pPr>
              <w:spacing w:after="0" w:line="240" w:lineRule="auto"/>
              <w:jc w:val="center"/>
              <w:rPr>
                <w:rFonts w:eastAsia="Times New Roman" w:cs="Calibri"/>
                <w:color w:val="000000"/>
                <w:kern w:val="0"/>
                <w:sz w:val="20"/>
                <w:szCs w:val="20"/>
                <w:lang w:eastAsia="pl-PL"/>
              </w:rPr>
            </w:pPr>
            <w:r w:rsidRPr="003A44F4">
              <w:rPr>
                <w:rFonts w:eastAsia="Times New Roman" w:cs="Calibri"/>
                <w:color w:val="000000"/>
                <w:kern w:val="0"/>
                <w:sz w:val="20"/>
                <w:szCs w:val="20"/>
                <w:lang w:eastAsia="pl-PL"/>
              </w:rPr>
              <w:t>2020</w:t>
            </w:r>
          </w:p>
        </w:tc>
        <w:tc>
          <w:tcPr>
            <w:tcW w:w="1186" w:type="dxa"/>
            <w:shd w:val="clear" w:color="auto" w:fill="FFC000"/>
            <w:vAlign w:val="center"/>
            <w:hideMark/>
          </w:tcPr>
          <w:p w:rsidR="003F2B0C" w:rsidRPr="003A44F4" w:rsidRDefault="003F2B0C" w:rsidP="0084338D">
            <w:pPr>
              <w:spacing w:after="0" w:line="240" w:lineRule="auto"/>
              <w:jc w:val="center"/>
              <w:rPr>
                <w:rFonts w:eastAsia="Times New Roman" w:cs="Calibri"/>
                <w:color w:val="000000"/>
                <w:kern w:val="0"/>
                <w:sz w:val="20"/>
                <w:szCs w:val="20"/>
                <w:lang w:eastAsia="pl-PL"/>
              </w:rPr>
            </w:pPr>
            <w:r w:rsidRPr="003A44F4">
              <w:rPr>
                <w:rFonts w:eastAsia="Times New Roman" w:cs="Calibri"/>
                <w:color w:val="000000"/>
                <w:kern w:val="0"/>
                <w:sz w:val="20"/>
                <w:szCs w:val="20"/>
                <w:lang w:eastAsia="pl-PL"/>
              </w:rPr>
              <w:t>2021</w:t>
            </w:r>
          </w:p>
        </w:tc>
        <w:tc>
          <w:tcPr>
            <w:tcW w:w="1186" w:type="dxa"/>
            <w:shd w:val="clear" w:color="auto" w:fill="FFC000"/>
            <w:vAlign w:val="center"/>
            <w:hideMark/>
          </w:tcPr>
          <w:p w:rsidR="003F2B0C" w:rsidRPr="003A44F4" w:rsidRDefault="003F2B0C" w:rsidP="0084338D">
            <w:pPr>
              <w:spacing w:after="0" w:line="240" w:lineRule="auto"/>
              <w:jc w:val="center"/>
              <w:rPr>
                <w:rFonts w:eastAsia="Times New Roman" w:cs="Calibri"/>
                <w:color w:val="000000"/>
                <w:kern w:val="0"/>
                <w:sz w:val="20"/>
                <w:szCs w:val="20"/>
                <w:lang w:eastAsia="pl-PL"/>
              </w:rPr>
            </w:pPr>
            <w:r w:rsidRPr="003A44F4">
              <w:rPr>
                <w:rFonts w:eastAsia="Times New Roman" w:cs="Calibri"/>
                <w:color w:val="000000"/>
                <w:kern w:val="0"/>
                <w:sz w:val="20"/>
                <w:szCs w:val="20"/>
                <w:lang w:eastAsia="pl-PL"/>
              </w:rPr>
              <w:t>2022</w:t>
            </w:r>
          </w:p>
        </w:tc>
        <w:tc>
          <w:tcPr>
            <w:tcW w:w="1186" w:type="dxa"/>
            <w:shd w:val="clear" w:color="auto" w:fill="FFC000"/>
            <w:vAlign w:val="center"/>
            <w:hideMark/>
          </w:tcPr>
          <w:p w:rsidR="003F2B0C" w:rsidRPr="003A44F4" w:rsidRDefault="003F2B0C" w:rsidP="0084338D">
            <w:pPr>
              <w:spacing w:after="0" w:line="240" w:lineRule="auto"/>
              <w:jc w:val="center"/>
              <w:rPr>
                <w:rFonts w:eastAsia="Times New Roman" w:cs="Calibri"/>
                <w:color w:val="000000"/>
                <w:kern w:val="0"/>
                <w:sz w:val="20"/>
                <w:szCs w:val="20"/>
                <w:lang w:eastAsia="pl-PL"/>
              </w:rPr>
            </w:pPr>
            <w:r w:rsidRPr="003A44F4">
              <w:rPr>
                <w:rFonts w:eastAsia="Times New Roman" w:cs="Calibri"/>
                <w:color w:val="000000"/>
                <w:kern w:val="0"/>
                <w:sz w:val="20"/>
                <w:szCs w:val="20"/>
                <w:lang w:eastAsia="pl-PL"/>
              </w:rPr>
              <w:t>2023</w:t>
            </w:r>
          </w:p>
        </w:tc>
      </w:tr>
      <w:tr w:rsidR="003F2B0C" w:rsidRPr="002B7E93" w:rsidTr="0084338D">
        <w:trPr>
          <w:trHeight w:val="575"/>
        </w:trPr>
        <w:tc>
          <w:tcPr>
            <w:tcW w:w="1925" w:type="dxa"/>
            <w:shd w:val="clear" w:color="auto" w:fill="auto"/>
            <w:vAlign w:val="center"/>
            <w:hideMark/>
          </w:tcPr>
          <w:p w:rsidR="003F2B0C" w:rsidRPr="003A44F4" w:rsidRDefault="003F2B0C" w:rsidP="0084338D">
            <w:pPr>
              <w:spacing w:after="0" w:line="240" w:lineRule="auto"/>
              <w:jc w:val="left"/>
              <w:rPr>
                <w:rFonts w:eastAsia="Times New Roman" w:cs="Calibri"/>
                <w:kern w:val="0"/>
                <w:sz w:val="20"/>
                <w:szCs w:val="20"/>
                <w:lang w:eastAsia="pl-PL"/>
              </w:rPr>
            </w:pPr>
            <w:r w:rsidRPr="003A44F4">
              <w:rPr>
                <w:rFonts w:eastAsia="Times New Roman" w:cs="Calibri"/>
                <w:kern w:val="0"/>
                <w:sz w:val="20"/>
                <w:szCs w:val="20"/>
                <w:lang w:eastAsia="pl-PL"/>
              </w:rPr>
              <w:t>Wrocławski Obszar Funkcjonalny</w:t>
            </w:r>
          </w:p>
        </w:tc>
        <w:tc>
          <w:tcPr>
            <w:tcW w:w="1186" w:type="dxa"/>
            <w:shd w:val="clear" w:color="auto" w:fill="auto"/>
            <w:vAlign w:val="center"/>
            <w:hideMark/>
          </w:tcPr>
          <w:p w:rsidR="003F2B0C" w:rsidRPr="003A44F4" w:rsidRDefault="003F2B0C" w:rsidP="0084338D">
            <w:pPr>
              <w:spacing w:after="0" w:line="240" w:lineRule="auto"/>
              <w:jc w:val="center"/>
              <w:rPr>
                <w:sz w:val="18"/>
                <w:szCs w:val="18"/>
              </w:rPr>
            </w:pPr>
            <w:r w:rsidRPr="003A44F4">
              <w:rPr>
                <w:sz w:val="18"/>
                <w:szCs w:val="18"/>
              </w:rPr>
              <w:t>469 735,39</w:t>
            </w:r>
          </w:p>
        </w:tc>
        <w:tc>
          <w:tcPr>
            <w:tcW w:w="1186" w:type="dxa"/>
            <w:shd w:val="clear" w:color="auto" w:fill="auto"/>
            <w:vAlign w:val="center"/>
            <w:hideMark/>
          </w:tcPr>
          <w:p w:rsidR="003F2B0C" w:rsidRPr="003A44F4" w:rsidRDefault="003F2B0C" w:rsidP="0084338D">
            <w:pPr>
              <w:spacing w:after="0" w:line="240" w:lineRule="auto"/>
              <w:jc w:val="center"/>
              <w:rPr>
                <w:sz w:val="18"/>
                <w:szCs w:val="18"/>
              </w:rPr>
            </w:pPr>
            <w:r w:rsidRPr="003A44F4">
              <w:rPr>
                <w:sz w:val="18"/>
                <w:szCs w:val="18"/>
              </w:rPr>
              <w:t>495 901,96</w:t>
            </w:r>
          </w:p>
        </w:tc>
        <w:tc>
          <w:tcPr>
            <w:tcW w:w="1186" w:type="dxa"/>
            <w:shd w:val="clear" w:color="auto" w:fill="auto"/>
            <w:vAlign w:val="center"/>
            <w:hideMark/>
          </w:tcPr>
          <w:p w:rsidR="003F2B0C" w:rsidRPr="003A44F4" w:rsidRDefault="003F2B0C" w:rsidP="0084338D">
            <w:pPr>
              <w:spacing w:after="0" w:line="240" w:lineRule="auto"/>
              <w:jc w:val="center"/>
              <w:rPr>
                <w:sz w:val="18"/>
                <w:szCs w:val="18"/>
              </w:rPr>
            </w:pPr>
            <w:r w:rsidRPr="003A44F4">
              <w:rPr>
                <w:sz w:val="18"/>
                <w:szCs w:val="18"/>
              </w:rPr>
              <w:t>468 917,97</w:t>
            </w:r>
          </w:p>
        </w:tc>
        <w:tc>
          <w:tcPr>
            <w:tcW w:w="1186" w:type="dxa"/>
            <w:shd w:val="clear" w:color="auto" w:fill="auto"/>
            <w:vAlign w:val="center"/>
            <w:hideMark/>
          </w:tcPr>
          <w:p w:rsidR="003F2B0C" w:rsidRPr="003A44F4" w:rsidRDefault="003F2B0C" w:rsidP="0084338D">
            <w:pPr>
              <w:spacing w:after="0" w:line="240" w:lineRule="auto"/>
              <w:jc w:val="center"/>
              <w:rPr>
                <w:sz w:val="18"/>
                <w:szCs w:val="18"/>
              </w:rPr>
            </w:pPr>
            <w:r w:rsidRPr="003A44F4">
              <w:rPr>
                <w:sz w:val="18"/>
                <w:szCs w:val="18"/>
              </w:rPr>
              <w:t>542 191,17</w:t>
            </w:r>
          </w:p>
        </w:tc>
        <w:tc>
          <w:tcPr>
            <w:tcW w:w="1186" w:type="dxa"/>
            <w:shd w:val="clear" w:color="auto" w:fill="auto"/>
            <w:vAlign w:val="center"/>
            <w:hideMark/>
          </w:tcPr>
          <w:p w:rsidR="003F2B0C" w:rsidRPr="003A44F4" w:rsidRDefault="003F2B0C" w:rsidP="0084338D">
            <w:pPr>
              <w:spacing w:after="0" w:line="240" w:lineRule="auto"/>
              <w:jc w:val="center"/>
              <w:rPr>
                <w:sz w:val="18"/>
                <w:szCs w:val="18"/>
              </w:rPr>
            </w:pPr>
            <w:r w:rsidRPr="003A44F4">
              <w:rPr>
                <w:sz w:val="18"/>
                <w:szCs w:val="18"/>
              </w:rPr>
              <w:t>518 939,42</w:t>
            </w:r>
          </w:p>
        </w:tc>
        <w:tc>
          <w:tcPr>
            <w:tcW w:w="1186" w:type="dxa"/>
            <w:shd w:val="clear" w:color="auto" w:fill="auto"/>
            <w:vAlign w:val="center"/>
            <w:hideMark/>
          </w:tcPr>
          <w:p w:rsidR="003F2B0C" w:rsidRPr="003A44F4" w:rsidRDefault="003F2B0C" w:rsidP="0084338D">
            <w:pPr>
              <w:spacing w:after="0" w:line="240" w:lineRule="auto"/>
              <w:jc w:val="center"/>
              <w:rPr>
                <w:sz w:val="18"/>
                <w:szCs w:val="18"/>
              </w:rPr>
            </w:pPr>
            <w:r w:rsidRPr="003A44F4">
              <w:rPr>
                <w:sz w:val="18"/>
                <w:szCs w:val="18"/>
              </w:rPr>
              <w:t>496 417,07</w:t>
            </w:r>
          </w:p>
        </w:tc>
      </w:tr>
      <w:tr w:rsidR="003F2B0C" w:rsidRPr="002B7E93" w:rsidTr="0084338D">
        <w:trPr>
          <w:trHeight w:val="287"/>
        </w:trPr>
        <w:tc>
          <w:tcPr>
            <w:tcW w:w="1925" w:type="dxa"/>
            <w:shd w:val="clear" w:color="auto" w:fill="auto"/>
            <w:vAlign w:val="center"/>
            <w:hideMark/>
          </w:tcPr>
          <w:p w:rsidR="003F2B0C" w:rsidRPr="003A44F4" w:rsidRDefault="003F2B0C" w:rsidP="0084338D">
            <w:pPr>
              <w:spacing w:after="0" w:line="240" w:lineRule="auto"/>
              <w:jc w:val="left"/>
              <w:rPr>
                <w:rFonts w:eastAsia="Times New Roman" w:cs="Calibri"/>
                <w:kern w:val="0"/>
                <w:sz w:val="20"/>
                <w:szCs w:val="20"/>
                <w:lang w:eastAsia="pl-PL"/>
              </w:rPr>
            </w:pPr>
            <w:r w:rsidRPr="003A44F4">
              <w:rPr>
                <w:rFonts w:eastAsia="Times New Roman" w:cs="Calibri"/>
                <w:kern w:val="0"/>
                <w:sz w:val="20"/>
                <w:szCs w:val="20"/>
                <w:lang w:eastAsia="pl-PL"/>
              </w:rPr>
              <w:t>Masa odpadów na 1 mieszkańca</w:t>
            </w:r>
          </w:p>
        </w:tc>
        <w:tc>
          <w:tcPr>
            <w:tcW w:w="1186" w:type="dxa"/>
            <w:shd w:val="clear" w:color="auto" w:fill="auto"/>
            <w:vAlign w:val="center"/>
            <w:hideMark/>
          </w:tcPr>
          <w:p w:rsidR="003F2B0C" w:rsidRPr="003A44F4" w:rsidRDefault="003F2B0C" w:rsidP="0084338D">
            <w:pPr>
              <w:spacing w:after="0" w:line="240" w:lineRule="auto"/>
              <w:jc w:val="center"/>
              <w:rPr>
                <w:sz w:val="18"/>
                <w:szCs w:val="18"/>
              </w:rPr>
            </w:pPr>
            <w:r w:rsidRPr="003A44F4">
              <w:rPr>
                <w:sz w:val="18"/>
                <w:szCs w:val="18"/>
              </w:rPr>
              <w:t>0,48</w:t>
            </w:r>
          </w:p>
        </w:tc>
        <w:tc>
          <w:tcPr>
            <w:tcW w:w="1186" w:type="dxa"/>
            <w:shd w:val="clear" w:color="auto" w:fill="auto"/>
            <w:vAlign w:val="center"/>
            <w:hideMark/>
          </w:tcPr>
          <w:p w:rsidR="003F2B0C" w:rsidRPr="003A44F4" w:rsidRDefault="003F2B0C" w:rsidP="0084338D">
            <w:pPr>
              <w:spacing w:after="0" w:line="240" w:lineRule="auto"/>
              <w:jc w:val="center"/>
              <w:rPr>
                <w:sz w:val="18"/>
                <w:szCs w:val="18"/>
              </w:rPr>
            </w:pPr>
            <w:r w:rsidRPr="003A44F4">
              <w:rPr>
                <w:sz w:val="18"/>
                <w:szCs w:val="18"/>
              </w:rPr>
              <w:t>0,50</w:t>
            </w:r>
          </w:p>
        </w:tc>
        <w:tc>
          <w:tcPr>
            <w:tcW w:w="1186" w:type="dxa"/>
            <w:shd w:val="clear" w:color="auto" w:fill="auto"/>
            <w:vAlign w:val="center"/>
            <w:hideMark/>
          </w:tcPr>
          <w:p w:rsidR="003F2B0C" w:rsidRPr="003A44F4" w:rsidRDefault="003F2B0C" w:rsidP="0084338D">
            <w:pPr>
              <w:spacing w:after="0" w:line="240" w:lineRule="auto"/>
              <w:jc w:val="center"/>
              <w:rPr>
                <w:sz w:val="18"/>
                <w:szCs w:val="18"/>
              </w:rPr>
            </w:pPr>
            <w:r w:rsidRPr="003A44F4">
              <w:rPr>
                <w:sz w:val="18"/>
                <w:szCs w:val="18"/>
              </w:rPr>
              <w:t>0,44</w:t>
            </w:r>
          </w:p>
        </w:tc>
        <w:tc>
          <w:tcPr>
            <w:tcW w:w="1186" w:type="dxa"/>
            <w:shd w:val="clear" w:color="auto" w:fill="auto"/>
            <w:vAlign w:val="center"/>
            <w:hideMark/>
          </w:tcPr>
          <w:p w:rsidR="003F2B0C" w:rsidRPr="003A44F4" w:rsidRDefault="003F2B0C" w:rsidP="0084338D">
            <w:pPr>
              <w:spacing w:after="0" w:line="240" w:lineRule="auto"/>
              <w:jc w:val="center"/>
              <w:rPr>
                <w:sz w:val="18"/>
                <w:szCs w:val="18"/>
              </w:rPr>
            </w:pPr>
            <w:r w:rsidRPr="003A44F4">
              <w:rPr>
                <w:sz w:val="18"/>
                <w:szCs w:val="18"/>
              </w:rPr>
              <w:t>0,51</w:t>
            </w:r>
          </w:p>
        </w:tc>
        <w:tc>
          <w:tcPr>
            <w:tcW w:w="1186" w:type="dxa"/>
            <w:shd w:val="clear" w:color="auto" w:fill="auto"/>
            <w:vAlign w:val="center"/>
            <w:hideMark/>
          </w:tcPr>
          <w:p w:rsidR="003F2B0C" w:rsidRPr="003A44F4" w:rsidRDefault="003F2B0C" w:rsidP="0084338D">
            <w:pPr>
              <w:spacing w:after="0" w:line="240" w:lineRule="auto"/>
              <w:jc w:val="center"/>
              <w:rPr>
                <w:sz w:val="18"/>
                <w:szCs w:val="18"/>
              </w:rPr>
            </w:pPr>
            <w:r w:rsidRPr="003A44F4">
              <w:rPr>
                <w:sz w:val="18"/>
                <w:szCs w:val="18"/>
              </w:rPr>
              <w:t>0,49</w:t>
            </w:r>
          </w:p>
        </w:tc>
        <w:tc>
          <w:tcPr>
            <w:tcW w:w="1186" w:type="dxa"/>
            <w:shd w:val="clear" w:color="auto" w:fill="auto"/>
            <w:vAlign w:val="center"/>
            <w:hideMark/>
          </w:tcPr>
          <w:p w:rsidR="003F2B0C" w:rsidRPr="003A44F4" w:rsidRDefault="003F2B0C" w:rsidP="0084338D">
            <w:pPr>
              <w:spacing w:after="0" w:line="240" w:lineRule="auto"/>
              <w:jc w:val="center"/>
              <w:rPr>
                <w:sz w:val="18"/>
                <w:szCs w:val="18"/>
              </w:rPr>
            </w:pPr>
            <w:r w:rsidRPr="003A44F4">
              <w:rPr>
                <w:sz w:val="18"/>
                <w:szCs w:val="18"/>
              </w:rPr>
              <w:t>0,46</w:t>
            </w:r>
          </w:p>
        </w:tc>
      </w:tr>
      <w:tr w:rsidR="003F2B0C" w:rsidRPr="002B7E93" w:rsidTr="0084338D">
        <w:trPr>
          <w:trHeight w:val="287"/>
        </w:trPr>
        <w:tc>
          <w:tcPr>
            <w:tcW w:w="1925" w:type="dxa"/>
            <w:shd w:val="clear" w:color="auto" w:fill="auto"/>
            <w:vAlign w:val="center"/>
            <w:hideMark/>
          </w:tcPr>
          <w:p w:rsidR="003F2B0C" w:rsidRPr="003A44F4" w:rsidRDefault="003F2B0C" w:rsidP="0084338D">
            <w:pPr>
              <w:spacing w:after="0" w:line="240" w:lineRule="auto"/>
              <w:jc w:val="left"/>
              <w:rPr>
                <w:rFonts w:eastAsia="Times New Roman" w:cs="Calibri"/>
                <w:kern w:val="0"/>
                <w:sz w:val="20"/>
                <w:szCs w:val="20"/>
                <w:lang w:eastAsia="pl-PL"/>
              </w:rPr>
            </w:pPr>
            <w:r w:rsidRPr="003A44F4">
              <w:rPr>
                <w:rFonts w:eastAsia="Times New Roman" w:cs="Calibri"/>
                <w:kern w:val="0"/>
                <w:sz w:val="20"/>
                <w:szCs w:val="20"/>
                <w:lang w:eastAsia="pl-PL"/>
              </w:rPr>
              <w:t>Metropolia Krakowska</w:t>
            </w:r>
          </w:p>
        </w:tc>
        <w:tc>
          <w:tcPr>
            <w:tcW w:w="1186" w:type="dxa"/>
            <w:shd w:val="clear" w:color="auto" w:fill="auto"/>
            <w:vAlign w:val="center"/>
            <w:hideMark/>
          </w:tcPr>
          <w:p w:rsidR="003F2B0C" w:rsidRPr="003A44F4" w:rsidRDefault="003F2B0C" w:rsidP="0084338D">
            <w:pPr>
              <w:spacing w:after="0" w:line="240" w:lineRule="auto"/>
              <w:jc w:val="center"/>
              <w:rPr>
                <w:sz w:val="18"/>
                <w:szCs w:val="18"/>
              </w:rPr>
            </w:pPr>
            <w:r w:rsidRPr="003A44F4">
              <w:rPr>
                <w:sz w:val="18"/>
                <w:szCs w:val="18"/>
              </w:rPr>
              <w:t>461 718,90</w:t>
            </w:r>
          </w:p>
        </w:tc>
        <w:tc>
          <w:tcPr>
            <w:tcW w:w="1186" w:type="dxa"/>
            <w:shd w:val="clear" w:color="auto" w:fill="auto"/>
            <w:vAlign w:val="center"/>
            <w:hideMark/>
          </w:tcPr>
          <w:p w:rsidR="003F2B0C" w:rsidRPr="003A44F4" w:rsidRDefault="003F2B0C" w:rsidP="0084338D">
            <w:pPr>
              <w:spacing w:after="0" w:line="240" w:lineRule="auto"/>
              <w:jc w:val="center"/>
              <w:rPr>
                <w:sz w:val="18"/>
                <w:szCs w:val="18"/>
              </w:rPr>
            </w:pPr>
            <w:r w:rsidRPr="003A44F4">
              <w:rPr>
                <w:sz w:val="18"/>
                <w:szCs w:val="18"/>
              </w:rPr>
              <w:t>438 082,47</w:t>
            </w:r>
          </w:p>
        </w:tc>
        <w:tc>
          <w:tcPr>
            <w:tcW w:w="1186" w:type="dxa"/>
            <w:shd w:val="clear" w:color="auto" w:fill="auto"/>
            <w:vAlign w:val="center"/>
            <w:hideMark/>
          </w:tcPr>
          <w:p w:rsidR="003F2B0C" w:rsidRPr="003A44F4" w:rsidRDefault="003F2B0C" w:rsidP="0084338D">
            <w:pPr>
              <w:spacing w:after="0" w:line="240" w:lineRule="auto"/>
              <w:jc w:val="center"/>
              <w:rPr>
                <w:sz w:val="18"/>
                <w:szCs w:val="18"/>
              </w:rPr>
            </w:pPr>
            <w:r w:rsidRPr="003A44F4">
              <w:rPr>
                <w:sz w:val="18"/>
                <w:szCs w:val="18"/>
              </w:rPr>
              <w:t>473 080,16</w:t>
            </w:r>
          </w:p>
        </w:tc>
        <w:tc>
          <w:tcPr>
            <w:tcW w:w="1186" w:type="dxa"/>
            <w:shd w:val="clear" w:color="auto" w:fill="auto"/>
            <w:vAlign w:val="center"/>
            <w:hideMark/>
          </w:tcPr>
          <w:p w:rsidR="003F2B0C" w:rsidRPr="003A44F4" w:rsidRDefault="003F2B0C" w:rsidP="0084338D">
            <w:pPr>
              <w:spacing w:after="0" w:line="240" w:lineRule="auto"/>
              <w:jc w:val="center"/>
              <w:rPr>
                <w:sz w:val="18"/>
                <w:szCs w:val="18"/>
              </w:rPr>
            </w:pPr>
            <w:r w:rsidRPr="003A44F4">
              <w:rPr>
                <w:sz w:val="18"/>
                <w:szCs w:val="18"/>
              </w:rPr>
              <w:t>493 792,87</w:t>
            </w:r>
          </w:p>
        </w:tc>
        <w:tc>
          <w:tcPr>
            <w:tcW w:w="1186" w:type="dxa"/>
            <w:shd w:val="clear" w:color="auto" w:fill="auto"/>
            <w:vAlign w:val="center"/>
            <w:hideMark/>
          </w:tcPr>
          <w:p w:rsidR="003F2B0C" w:rsidRPr="003A44F4" w:rsidRDefault="003F2B0C" w:rsidP="0084338D">
            <w:pPr>
              <w:spacing w:after="0" w:line="240" w:lineRule="auto"/>
              <w:jc w:val="center"/>
              <w:rPr>
                <w:sz w:val="18"/>
                <w:szCs w:val="18"/>
              </w:rPr>
            </w:pPr>
            <w:r w:rsidRPr="003A44F4">
              <w:rPr>
                <w:sz w:val="18"/>
                <w:szCs w:val="18"/>
              </w:rPr>
              <w:t>505 336,91</w:t>
            </w:r>
          </w:p>
        </w:tc>
        <w:tc>
          <w:tcPr>
            <w:tcW w:w="1186" w:type="dxa"/>
            <w:shd w:val="clear" w:color="auto" w:fill="auto"/>
            <w:vAlign w:val="center"/>
            <w:hideMark/>
          </w:tcPr>
          <w:p w:rsidR="003F2B0C" w:rsidRPr="003A44F4" w:rsidRDefault="003F2B0C" w:rsidP="0084338D">
            <w:pPr>
              <w:spacing w:after="0" w:line="240" w:lineRule="auto"/>
              <w:jc w:val="center"/>
              <w:rPr>
                <w:sz w:val="18"/>
                <w:szCs w:val="18"/>
              </w:rPr>
            </w:pPr>
            <w:r w:rsidRPr="003A44F4">
              <w:rPr>
                <w:sz w:val="18"/>
                <w:szCs w:val="18"/>
              </w:rPr>
              <w:t>526 326,41</w:t>
            </w:r>
          </w:p>
        </w:tc>
      </w:tr>
      <w:tr w:rsidR="003F2B0C" w:rsidRPr="002B7E93" w:rsidTr="0084338D">
        <w:trPr>
          <w:trHeight w:val="287"/>
        </w:trPr>
        <w:tc>
          <w:tcPr>
            <w:tcW w:w="1925" w:type="dxa"/>
            <w:shd w:val="clear" w:color="auto" w:fill="auto"/>
            <w:vAlign w:val="center"/>
            <w:hideMark/>
          </w:tcPr>
          <w:p w:rsidR="003F2B0C" w:rsidRPr="003A44F4" w:rsidRDefault="003F2B0C" w:rsidP="0084338D">
            <w:pPr>
              <w:spacing w:after="0" w:line="240" w:lineRule="auto"/>
              <w:jc w:val="left"/>
              <w:rPr>
                <w:rFonts w:eastAsia="Times New Roman" w:cs="Calibri"/>
                <w:kern w:val="0"/>
                <w:sz w:val="20"/>
                <w:szCs w:val="20"/>
                <w:lang w:eastAsia="pl-PL"/>
              </w:rPr>
            </w:pPr>
            <w:r w:rsidRPr="003A44F4">
              <w:rPr>
                <w:rFonts w:eastAsia="Times New Roman" w:cs="Calibri"/>
                <w:kern w:val="0"/>
                <w:sz w:val="20"/>
                <w:szCs w:val="20"/>
                <w:lang w:eastAsia="pl-PL"/>
              </w:rPr>
              <w:t>Masa odpadów na 1 mieszkańca</w:t>
            </w:r>
          </w:p>
        </w:tc>
        <w:tc>
          <w:tcPr>
            <w:tcW w:w="1186" w:type="dxa"/>
            <w:shd w:val="clear" w:color="auto" w:fill="auto"/>
            <w:vAlign w:val="center"/>
            <w:hideMark/>
          </w:tcPr>
          <w:p w:rsidR="003F2B0C" w:rsidRPr="003A44F4" w:rsidRDefault="003F2B0C" w:rsidP="0084338D">
            <w:pPr>
              <w:spacing w:after="0" w:line="240" w:lineRule="auto"/>
              <w:jc w:val="center"/>
              <w:rPr>
                <w:sz w:val="18"/>
                <w:szCs w:val="18"/>
              </w:rPr>
            </w:pPr>
            <w:r w:rsidRPr="003A44F4">
              <w:rPr>
                <w:sz w:val="18"/>
                <w:szCs w:val="18"/>
              </w:rPr>
              <w:t>0,43</w:t>
            </w:r>
          </w:p>
        </w:tc>
        <w:tc>
          <w:tcPr>
            <w:tcW w:w="1186" w:type="dxa"/>
            <w:shd w:val="clear" w:color="auto" w:fill="auto"/>
            <w:vAlign w:val="center"/>
            <w:hideMark/>
          </w:tcPr>
          <w:p w:rsidR="003F2B0C" w:rsidRPr="003A44F4" w:rsidRDefault="003F2B0C" w:rsidP="0084338D">
            <w:pPr>
              <w:spacing w:after="0" w:line="240" w:lineRule="auto"/>
              <w:jc w:val="center"/>
              <w:rPr>
                <w:sz w:val="18"/>
                <w:szCs w:val="18"/>
              </w:rPr>
            </w:pPr>
            <w:r w:rsidRPr="003A44F4">
              <w:rPr>
                <w:sz w:val="18"/>
                <w:szCs w:val="18"/>
              </w:rPr>
              <w:t>0,41</w:t>
            </w:r>
          </w:p>
        </w:tc>
        <w:tc>
          <w:tcPr>
            <w:tcW w:w="1186" w:type="dxa"/>
            <w:shd w:val="clear" w:color="auto" w:fill="auto"/>
            <w:vAlign w:val="center"/>
            <w:hideMark/>
          </w:tcPr>
          <w:p w:rsidR="003F2B0C" w:rsidRPr="003A44F4" w:rsidRDefault="003F2B0C" w:rsidP="0084338D">
            <w:pPr>
              <w:spacing w:after="0" w:line="240" w:lineRule="auto"/>
              <w:jc w:val="center"/>
              <w:rPr>
                <w:sz w:val="18"/>
                <w:szCs w:val="18"/>
              </w:rPr>
            </w:pPr>
            <w:r w:rsidRPr="003A44F4">
              <w:rPr>
                <w:sz w:val="18"/>
                <w:szCs w:val="18"/>
              </w:rPr>
              <w:t>0,42</w:t>
            </w:r>
          </w:p>
        </w:tc>
        <w:tc>
          <w:tcPr>
            <w:tcW w:w="1186" w:type="dxa"/>
            <w:shd w:val="clear" w:color="auto" w:fill="auto"/>
            <w:vAlign w:val="center"/>
            <w:hideMark/>
          </w:tcPr>
          <w:p w:rsidR="003F2B0C" w:rsidRPr="003A44F4" w:rsidRDefault="003F2B0C" w:rsidP="0084338D">
            <w:pPr>
              <w:spacing w:after="0" w:line="240" w:lineRule="auto"/>
              <w:jc w:val="center"/>
              <w:rPr>
                <w:sz w:val="18"/>
                <w:szCs w:val="18"/>
              </w:rPr>
            </w:pPr>
            <w:r w:rsidRPr="003A44F4">
              <w:rPr>
                <w:sz w:val="18"/>
                <w:szCs w:val="18"/>
              </w:rPr>
              <w:t>0,44</w:t>
            </w:r>
          </w:p>
        </w:tc>
        <w:tc>
          <w:tcPr>
            <w:tcW w:w="1186" w:type="dxa"/>
            <w:shd w:val="clear" w:color="auto" w:fill="auto"/>
            <w:vAlign w:val="center"/>
            <w:hideMark/>
          </w:tcPr>
          <w:p w:rsidR="003F2B0C" w:rsidRPr="003A44F4" w:rsidRDefault="003F2B0C" w:rsidP="0084338D">
            <w:pPr>
              <w:spacing w:after="0" w:line="240" w:lineRule="auto"/>
              <w:jc w:val="center"/>
              <w:rPr>
                <w:sz w:val="18"/>
                <w:szCs w:val="18"/>
              </w:rPr>
            </w:pPr>
            <w:r w:rsidRPr="003A44F4">
              <w:rPr>
                <w:sz w:val="18"/>
                <w:szCs w:val="18"/>
              </w:rPr>
              <w:t>0,45</w:t>
            </w:r>
          </w:p>
        </w:tc>
        <w:tc>
          <w:tcPr>
            <w:tcW w:w="1186" w:type="dxa"/>
            <w:shd w:val="clear" w:color="auto" w:fill="auto"/>
            <w:vAlign w:val="center"/>
            <w:hideMark/>
          </w:tcPr>
          <w:p w:rsidR="003F2B0C" w:rsidRPr="003A44F4" w:rsidRDefault="003F2B0C" w:rsidP="0084338D">
            <w:pPr>
              <w:spacing w:after="0" w:line="240" w:lineRule="auto"/>
              <w:jc w:val="center"/>
              <w:rPr>
                <w:sz w:val="18"/>
                <w:szCs w:val="18"/>
              </w:rPr>
            </w:pPr>
            <w:r w:rsidRPr="003A44F4">
              <w:rPr>
                <w:sz w:val="18"/>
                <w:szCs w:val="18"/>
              </w:rPr>
              <w:t>0,46</w:t>
            </w:r>
          </w:p>
        </w:tc>
      </w:tr>
      <w:tr w:rsidR="003F2B0C" w:rsidRPr="002B7E93" w:rsidTr="0084338D">
        <w:trPr>
          <w:trHeight w:val="287"/>
        </w:trPr>
        <w:tc>
          <w:tcPr>
            <w:tcW w:w="1925" w:type="dxa"/>
            <w:shd w:val="clear" w:color="auto" w:fill="auto"/>
            <w:vAlign w:val="center"/>
            <w:hideMark/>
          </w:tcPr>
          <w:p w:rsidR="003F2B0C" w:rsidRPr="003A44F4" w:rsidRDefault="003F2B0C" w:rsidP="0084338D">
            <w:pPr>
              <w:spacing w:after="0" w:line="240" w:lineRule="auto"/>
              <w:jc w:val="left"/>
              <w:rPr>
                <w:rFonts w:eastAsia="Times New Roman" w:cs="Calibri"/>
                <w:kern w:val="0"/>
                <w:sz w:val="20"/>
                <w:szCs w:val="20"/>
                <w:lang w:eastAsia="pl-PL"/>
              </w:rPr>
            </w:pPr>
            <w:r w:rsidRPr="003A44F4">
              <w:rPr>
                <w:rFonts w:eastAsia="Times New Roman" w:cs="Calibri"/>
                <w:kern w:val="0"/>
                <w:sz w:val="20"/>
                <w:szCs w:val="20"/>
                <w:lang w:eastAsia="pl-PL"/>
              </w:rPr>
              <w:t>Metropolia Poznań</w:t>
            </w:r>
          </w:p>
        </w:tc>
        <w:tc>
          <w:tcPr>
            <w:tcW w:w="1186" w:type="dxa"/>
            <w:shd w:val="clear" w:color="auto" w:fill="auto"/>
            <w:vAlign w:val="center"/>
            <w:hideMark/>
          </w:tcPr>
          <w:p w:rsidR="003F2B0C" w:rsidRPr="003A44F4" w:rsidRDefault="003F2B0C" w:rsidP="0084338D">
            <w:pPr>
              <w:spacing w:after="0" w:line="240" w:lineRule="auto"/>
              <w:jc w:val="center"/>
              <w:rPr>
                <w:sz w:val="18"/>
                <w:szCs w:val="18"/>
              </w:rPr>
            </w:pPr>
            <w:r w:rsidRPr="003A44F4">
              <w:rPr>
                <w:sz w:val="18"/>
                <w:szCs w:val="18"/>
              </w:rPr>
              <w:t>665 305,89</w:t>
            </w:r>
          </w:p>
        </w:tc>
        <w:tc>
          <w:tcPr>
            <w:tcW w:w="1186" w:type="dxa"/>
            <w:shd w:val="clear" w:color="auto" w:fill="auto"/>
            <w:vAlign w:val="center"/>
            <w:hideMark/>
          </w:tcPr>
          <w:p w:rsidR="003F2B0C" w:rsidRPr="003A44F4" w:rsidRDefault="003F2B0C" w:rsidP="0084338D">
            <w:pPr>
              <w:spacing w:after="0" w:line="240" w:lineRule="auto"/>
              <w:jc w:val="center"/>
              <w:rPr>
                <w:sz w:val="18"/>
                <w:szCs w:val="18"/>
              </w:rPr>
            </w:pPr>
            <w:r w:rsidRPr="003A44F4">
              <w:rPr>
                <w:sz w:val="18"/>
                <w:szCs w:val="18"/>
              </w:rPr>
              <w:t>683 623,84</w:t>
            </w:r>
          </w:p>
        </w:tc>
        <w:tc>
          <w:tcPr>
            <w:tcW w:w="1186" w:type="dxa"/>
            <w:shd w:val="clear" w:color="auto" w:fill="auto"/>
            <w:vAlign w:val="center"/>
            <w:hideMark/>
          </w:tcPr>
          <w:p w:rsidR="003F2B0C" w:rsidRPr="003A44F4" w:rsidRDefault="003F2B0C" w:rsidP="0084338D">
            <w:pPr>
              <w:spacing w:after="0" w:line="240" w:lineRule="auto"/>
              <w:jc w:val="center"/>
              <w:rPr>
                <w:sz w:val="18"/>
                <w:szCs w:val="18"/>
              </w:rPr>
            </w:pPr>
            <w:r w:rsidRPr="003A44F4">
              <w:rPr>
                <w:sz w:val="18"/>
                <w:szCs w:val="18"/>
              </w:rPr>
              <w:t>698 686,90</w:t>
            </w:r>
          </w:p>
        </w:tc>
        <w:tc>
          <w:tcPr>
            <w:tcW w:w="1186" w:type="dxa"/>
            <w:shd w:val="clear" w:color="auto" w:fill="auto"/>
            <w:vAlign w:val="center"/>
            <w:hideMark/>
          </w:tcPr>
          <w:p w:rsidR="003F2B0C" w:rsidRPr="003A44F4" w:rsidRDefault="003F2B0C" w:rsidP="0084338D">
            <w:pPr>
              <w:spacing w:after="0" w:line="240" w:lineRule="auto"/>
              <w:jc w:val="center"/>
              <w:rPr>
                <w:sz w:val="18"/>
                <w:szCs w:val="18"/>
              </w:rPr>
            </w:pPr>
            <w:r w:rsidRPr="003A44F4">
              <w:rPr>
                <w:sz w:val="18"/>
                <w:szCs w:val="18"/>
              </w:rPr>
              <w:t>745 590,48</w:t>
            </w:r>
          </w:p>
        </w:tc>
        <w:tc>
          <w:tcPr>
            <w:tcW w:w="1186" w:type="dxa"/>
            <w:shd w:val="clear" w:color="auto" w:fill="auto"/>
            <w:vAlign w:val="center"/>
            <w:hideMark/>
          </w:tcPr>
          <w:p w:rsidR="003F2B0C" w:rsidRPr="003A44F4" w:rsidRDefault="003F2B0C" w:rsidP="0084338D">
            <w:pPr>
              <w:spacing w:after="0" w:line="240" w:lineRule="auto"/>
              <w:jc w:val="center"/>
              <w:rPr>
                <w:sz w:val="18"/>
                <w:szCs w:val="18"/>
              </w:rPr>
            </w:pPr>
            <w:r w:rsidRPr="003A44F4">
              <w:rPr>
                <w:sz w:val="18"/>
                <w:szCs w:val="18"/>
              </w:rPr>
              <w:t>779 836,45</w:t>
            </w:r>
          </w:p>
        </w:tc>
        <w:tc>
          <w:tcPr>
            <w:tcW w:w="1186" w:type="dxa"/>
            <w:shd w:val="clear" w:color="auto" w:fill="auto"/>
            <w:vAlign w:val="center"/>
            <w:hideMark/>
          </w:tcPr>
          <w:p w:rsidR="003F2B0C" w:rsidRPr="003A44F4" w:rsidRDefault="003F2B0C" w:rsidP="0084338D">
            <w:pPr>
              <w:spacing w:after="0" w:line="240" w:lineRule="auto"/>
              <w:jc w:val="center"/>
              <w:rPr>
                <w:sz w:val="18"/>
                <w:szCs w:val="18"/>
              </w:rPr>
            </w:pPr>
            <w:r w:rsidRPr="003A44F4">
              <w:rPr>
                <w:sz w:val="18"/>
                <w:szCs w:val="18"/>
              </w:rPr>
              <w:t>793 412,43</w:t>
            </w:r>
          </w:p>
        </w:tc>
      </w:tr>
      <w:tr w:rsidR="003F2B0C" w:rsidRPr="002B7E93" w:rsidTr="0084338D">
        <w:trPr>
          <w:trHeight w:val="287"/>
        </w:trPr>
        <w:tc>
          <w:tcPr>
            <w:tcW w:w="1925" w:type="dxa"/>
            <w:shd w:val="clear" w:color="auto" w:fill="auto"/>
            <w:noWrap/>
            <w:vAlign w:val="center"/>
            <w:hideMark/>
          </w:tcPr>
          <w:p w:rsidR="003F2B0C" w:rsidRPr="003A44F4" w:rsidRDefault="003F2B0C" w:rsidP="0084338D">
            <w:pPr>
              <w:spacing w:after="0" w:line="240" w:lineRule="auto"/>
              <w:jc w:val="left"/>
              <w:rPr>
                <w:rFonts w:eastAsia="Times New Roman" w:cs="Calibri"/>
                <w:kern w:val="0"/>
                <w:sz w:val="20"/>
                <w:szCs w:val="20"/>
                <w:lang w:eastAsia="pl-PL"/>
              </w:rPr>
            </w:pPr>
            <w:r w:rsidRPr="003A44F4">
              <w:rPr>
                <w:rFonts w:eastAsia="Times New Roman" w:cs="Calibri"/>
                <w:kern w:val="0"/>
                <w:sz w:val="20"/>
                <w:szCs w:val="20"/>
                <w:lang w:eastAsia="pl-PL"/>
              </w:rPr>
              <w:t>Masa odpadów na 1 mieszkańca</w:t>
            </w:r>
          </w:p>
        </w:tc>
        <w:tc>
          <w:tcPr>
            <w:tcW w:w="1186" w:type="dxa"/>
            <w:shd w:val="clear" w:color="auto" w:fill="auto"/>
            <w:noWrap/>
            <w:vAlign w:val="center"/>
            <w:hideMark/>
          </w:tcPr>
          <w:p w:rsidR="003F2B0C" w:rsidRPr="003A44F4" w:rsidRDefault="003F2B0C" w:rsidP="0084338D">
            <w:pPr>
              <w:spacing w:after="0" w:line="240" w:lineRule="auto"/>
              <w:jc w:val="center"/>
              <w:rPr>
                <w:sz w:val="18"/>
                <w:szCs w:val="18"/>
              </w:rPr>
            </w:pPr>
            <w:r w:rsidRPr="003A44F4">
              <w:rPr>
                <w:sz w:val="18"/>
                <w:szCs w:val="18"/>
              </w:rPr>
              <w:t>0,64</w:t>
            </w:r>
          </w:p>
        </w:tc>
        <w:tc>
          <w:tcPr>
            <w:tcW w:w="1186" w:type="dxa"/>
            <w:shd w:val="clear" w:color="auto" w:fill="auto"/>
            <w:noWrap/>
            <w:vAlign w:val="center"/>
            <w:hideMark/>
          </w:tcPr>
          <w:p w:rsidR="003F2B0C" w:rsidRPr="003A44F4" w:rsidRDefault="003F2B0C" w:rsidP="0084338D">
            <w:pPr>
              <w:spacing w:after="0" w:line="240" w:lineRule="auto"/>
              <w:jc w:val="center"/>
              <w:rPr>
                <w:sz w:val="18"/>
                <w:szCs w:val="18"/>
              </w:rPr>
            </w:pPr>
            <w:r w:rsidRPr="003A44F4">
              <w:rPr>
                <w:sz w:val="18"/>
                <w:szCs w:val="18"/>
              </w:rPr>
              <w:t>0,65</w:t>
            </w:r>
          </w:p>
        </w:tc>
        <w:tc>
          <w:tcPr>
            <w:tcW w:w="1186" w:type="dxa"/>
            <w:shd w:val="clear" w:color="auto" w:fill="auto"/>
            <w:noWrap/>
            <w:vAlign w:val="center"/>
            <w:hideMark/>
          </w:tcPr>
          <w:p w:rsidR="003F2B0C" w:rsidRPr="003A44F4" w:rsidRDefault="003F2B0C" w:rsidP="0084338D">
            <w:pPr>
              <w:spacing w:after="0" w:line="240" w:lineRule="auto"/>
              <w:jc w:val="center"/>
              <w:rPr>
                <w:sz w:val="18"/>
                <w:szCs w:val="18"/>
              </w:rPr>
            </w:pPr>
            <w:r w:rsidRPr="003A44F4">
              <w:rPr>
                <w:sz w:val="18"/>
                <w:szCs w:val="18"/>
              </w:rPr>
              <w:t>0,64</w:t>
            </w:r>
          </w:p>
        </w:tc>
        <w:tc>
          <w:tcPr>
            <w:tcW w:w="1186" w:type="dxa"/>
            <w:shd w:val="clear" w:color="auto" w:fill="auto"/>
            <w:noWrap/>
            <w:vAlign w:val="center"/>
            <w:hideMark/>
          </w:tcPr>
          <w:p w:rsidR="003F2B0C" w:rsidRPr="003A44F4" w:rsidRDefault="003F2B0C" w:rsidP="0084338D">
            <w:pPr>
              <w:spacing w:after="0" w:line="240" w:lineRule="auto"/>
              <w:jc w:val="center"/>
              <w:rPr>
                <w:sz w:val="18"/>
                <w:szCs w:val="18"/>
              </w:rPr>
            </w:pPr>
            <w:r>
              <w:rPr>
                <w:sz w:val="18"/>
                <w:szCs w:val="18"/>
              </w:rPr>
              <w:t>0,68</w:t>
            </w:r>
          </w:p>
        </w:tc>
        <w:tc>
          <w:tcPr>
            <w:tcW w:w="1186" w:type="dxa"/>
            <w:shd w:val="clear" w:color="auto" w:fill="auto"/>
            <w:noWrap/>
            <w:vAlign w:val="center"/>
            <w:hideMark/>
          </w:tcPr>
          <w:p w:rsidR="003F2B0C" w:rsidRPr="003A44F4" w:rsidRDefault="003F2B0C" w:rsidP="0084338D">
            <w:pPr>
              <w:spacing w:after="0" w:line="240" w:lineRule="auto"/>
              <w:jc w:val="center"/>
              <w:rPr>
                <w:sz w:val="18"/>
                <w:szCs w:val="18"/>
              </w:rPr>
            </w:pPr>
            <w:r w:rsidRPr="003A44F4">
              <w:rPr>
                <w:sz w:val="18"/>
                <w:szCs w:val="18"/>
              </w:rPr>
              <w:t>0,71</w:t>
            </w:r>
          </w:p>
        </w:tc>
        <w:tc>
          <w:tcPr>
            <w:tcW w:w="1186" w:type="dxa"/>
            <w:shd w:val="clear" w:color="auto" w:fill="auto"/>
            <w:noWrap/>
            <w:vAlign w:val="center"/>
            <w:hideMark/>
          </w:tcPr>
          <w:p w:rsidR="003F2B0C" w:rsidRPr="003A44F4" w:rsidRDefault="003F2B0C" w:rsidP="0084338D">
            <w:pPr>
              <w:spacing w:after="0" w:line="240" w:lineRule="auto"/>
              <w:jc w:val="center"/>
              <w:rPr>
                <w:sz w:val="18"/>
                <w:szCs w:val="18"/>
              </w:rPr>
            </w:pPr>
            <w:r w:rsidRPr="003A44F4">
              <w:rPr>
                <w:sz w:val="18"/>
                <w:szCs w:val="18"/>
              </w:rPr>
              <w:t>0,72</w:t>
            </w:r>
          </w:p>
        </w:tc>
      </w:tr>
    </w:tbl>
    <w:p w:rsidR="003F2B0C" w:rsidRDefault="003F2B0C" w:rsidP="003F2B0C">
      <w:r w:rsidRPr="002737CB">
        <w:rPr>
          <w:iCs/>
          <w:color w:val="363735" w:themeColor="accent3"/>
          <w:sz w:val="20"/>
          <w:szCs w:val="18"/>
        </w:rPr>
        <w:t xml:space="preserve">Źródło: opracowanie własne na podstawie danych GUS BDL, dostęp </w:t>
      </w:r>
      <w:r>
        <w:rPr>
          <w:iCs/>
          <w:color w:val="363735" w:themeColor="accent3"/>
          <w:sz w:val="20"/>
          <w:szCs w:val="18"/>
        </w:rPr>
        <w:t>23</w:t>
      </w:r>
      <w:r w:rsidRPr="002737CB">
        <w:rPr>
          <w:iCs/>
          <w:color w:val="363735" w:themeColor="accent3"/>
          <w:sz w:val="20"/>
          <w:szCs w:val="18"/>
        </w:rPr>
        <w:t>.0</w:t>
      </w:r>
      <w:r>
        <w:rPr>
          <w:iCs/>
          <w:color w:val="363735" w:themeColor="accent3"/>
          <w:sz w:val="20"/>
          <w:szCs w:val="18"/>
        </w:rPr>
        <w:t>4</w:t>
      </w:r>
      <w:r w:rsidRPr="002737CB">
        <w:rPr>
          <w:iCs/>
          <w:color w:val="363735" w:themeColor="accent3"/>
          <w:sz w:val="20"/>
          <w:szCs w:val="18"/>
        </w:rPr>
        <w:t>.2025</w:t>
      </w:r>
    </w:p>
    <w:p w:rsidR="003F2B0C" w:rsidRDefault="003F2B0C" w:rsidP="003F2B0C">
      <w:r>
        <w:t xml:space="preserve">W zakresie zbiórki odpadów selektywnych wszystkie obszary na przestrzeni lat 2018-2023 odnotowały wzrost masy zebranych odpadów zarówno ogółem jak i z gospodarstw domowych. Z Wrocławskiego Obszaru Funkcjonalnego zebrano </w:t>
      </w:r>
      <w:r w:rsidRPr="00BA25C1">
        <w:t>192 059,09</w:t>
      </w:r>
      <w:r>
        <w:t xml:space="preserve"> ton ogółem i </w:t>
      </w:r>
      <w:r w:rsidRPr="00BA25C1">
        <w:t>184 093,30</w:t>
      </w:r>
      <w:r>
        <w:t xml:space="preserve"> z gospodarstw domowych. Najwięcej odpadów selektywnych zebrano w Metropolii Poznań. W przeliczeniu na jednego </w:t>
      </w:r>
      <w:r>
        <w:lastRenderedPageBreak/>
        <w:t xml:space="preserve">mieszkańca najwięcej odpadów zebranych selektywnie odnotowano w Metropolii Krakowskiej (0,22 t w 2023), a najsłabiej w tym wskaźniku wypadł Wrocławski Obszar Funkcjonalny (0,18 t w 2023 roku). </w:t>
      </w:r>
    </w:p>
    <w:p w:rsidR="003F2B0C" w:rsidRDefault="003F2B0C" w:rsidP="003F2B0C">
      <w:pPr>
        <w:pStyle w:val="Legenda"/>
        <w:rPr>
          <w:b/>
          <w:bCs/>
          <w:color w:val="FFC000"/>
        </w:rPr>
      </w:pPr>
      <w:bookmarkStart w:id="122" w:name="_Toc196867079"/>
      <w:bookmarkStart w:id="123" w:name="_Toc196905092"/>
      <w:r>
        <w:t xml:space="preserve">Tabela </w:t>
      </w:r>
      <w:fldSimple w:instr=" SEQ Tabela \* ARABIC ">
        <w:r w:rsidR="0084338D">
          <w:rPr>
            <w:noProof/>
          </w:rPr>
          <w:t>28</w:t>
        </w:r>
      </w:fldSimple>
      <w:r>
        <w:t>. Odpady zebrane selektywnie w ciągu roku w t w latach 2028-2023.</w:t>
      </w:r>
      <w:bookmarkEnd w:id="122"/>
      <w:bookmarkEnd w:id="123"/>
    </w:p>
    <w:tbl>
      <w:tblPr>
        <w:tblW w:w="9214" w:type="dxa"/>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CellMar>
          <w:left w:w="70" w:type="dxa"/>
          <w:right w:w="70" w:type="dxa"/>
        </w:tblCellMar>
        <w:tblLook w:val="04A0"/>
      </w:tblPr>
      <w:tblGrid>
        <w:gridCol w:w="1591"/>
        <w:gridCol w:w="1269"/>
        <w:gridCol w:w="1269"/>
        <w:gridCol w:w="1269"/>
        <w:gridCol w:w="1269"/>
        <w:gridCol w:w="1269"/>
        <w:gridCol w:w="1278"/>
      </w:tblGrid>
      <w:tr w:rsidR="003F2B0C" w:rsidRPr="00AD58E1" w:rsidTr="0084338D">
        <w:trPr>
          <w:trHeight w:val="18"/>
        </w:trPr>
        <w:tc>
          <w:tcPr>
            <w:tcW w:w="1591" w:type="dxa"/>
            <w:shd w:val="clear" w:color="auto" w:fill="FFC000"/>
            <w:noWrap/>
            <w:vAlign w:val="center"/>
            <w:hideMark/>
          </w:tcPr>
          <w:p w:rsidR="003F2B0C" w:rsidRPr="00AD58E1" w:rsidRDefault="003F2B0C" w:rsidP="0084338D">
            <w:pPr>
              <w:spacing w:after="0" w:line="240" w:lineRule="auto"/>
              <w:jc w:val="center"/>
              <w:rPr>
                <w:rFonts w:eastAsia="Times New Roman" w:cs="Times New Roman"/>
                <w:kern w:val="0"/>
                <w:sz w:val="20"/>
                <w:szCs w:val="20"/>
                <w:lang w:eastAsia="pl-PL"/>
              </w:rPr>
            </w:pPr>
          </w:p>
        </w:tc>
        <w:tc>
          <w:tcPr>
            <w:tcW w:w="1269" w:type="dxa"/>
            <w:shd w:val="clear" w:color="auto" w:fill="FFC000"/>
            <w:vAlign w:val="center"/>
            <w:hideMark/>
          </w:tcPr>
          <w:p w:rsidR="003F2B0C" w:rsidRPr="00AD58E1" w:rsidRDefault="003F2B0C" w:rsidP="0084338D">
            <w:pPr>
              <w:spacing w:after="0" w:line="240" w:lineRule="auto"/>
              <w:jc w:val="center"/>
              <w:rPr>
                <w:rFonts w:eastAsia="Times New Roman" w:cs="Calibri"/>
                <w:color w:val="000000"/>
                <w:kern w:val="0"/>
                <w:sz w:val="20"/>
                <w:szCs w:val="20"/>
                <w:lang w:eastAsia="pl-PL"/>
              </w:rPr>
            </w:pPr>
            <w:r w:rsidRPr="00AD58E1">
              <w:rPr>
                <w:rFonts w:eastAsia="Times New Roman" w:cs="Calibri"/>
                <w:color w:val="000000"/>
                <w:kern w:val="0"/>
                <w:sz w:val="20"/>
                <w:szCs w:val="20"/>
                <w:lang w:eastAsia="pl-PL"/>
              </w:rPr>
              <w:t>2018</w:t>
            </w:r>
          </w:p>
        </w:tc>
        <w:tc>
          <w:tcPr>
            <w:tcW w:w="1269" w:type="dxa"/>
            <w:shd w:val="clear" w:color="auto" w:fill="FFC000"/>
            <w:vAlign w:val="center"/>
            <w:hideMark/>
          </w:tcPr>
          <w:p w:rsidR="003F2B0C" w:rsidRPr="00AD58E1" w:rsidRDefault="003F2B0C" w:rsidP="0084338D">
            <w:pPr>
              <w:spacing w:after="0" w:line="240" w:lineRule="auto"/>
              <w:jc w:val="center"/>
              <w:rPr>
                <w:rFonts w:eastAsia="Times New Roman" w:cs="Calibri"/>
                <w:color w:val="000000"/>
                <w:kern w:val="0"/>
                <w:sz w:val="20"/>
                <w:szCs w:val="20"/>
                <w:lang w:eastAsia="pl-PL"/>
              </w:rPr>
            </w:pPr>
            <w:r w:rsidRPr="00AD58E1">
              <w:rPr>
                <w:rFonts w:eastAsia="Times New Roman" w:cs="Calibri"/>
                <w:color w:val="000000"/>
                <w:kern w:val="0"/>
                <w:sz w:val="20"/>
                <w:szCs w:val="20"/>
                <w:lang w:eastAsia="pl-PL"/>
              </w:rPr>
              <w:t>2019</w:t>
            </w:r>
          </w:p>
        </w:tc>
        <w:tc>
          <w:tcPr>
            <w:tcW w:w="1269" w:type="dxa"/>
            <w:shd w:val="clear" w:color="auto" w:fill="FFC000"/>
            <w:vAlign w:val="center"/>
            <w:hideMark/>
          </w:tcPr>
          <w:p w:rsidR="003F2B0C" w:rsidRPr="00AD58E1" w:rsidRDefault="003F2B0C" w:rsidP="0084338D">
            <w:pPr>
              <w:spacing w:after="0" w:line="240" w:lineRule="auto"/>
              <w:jc w:val="center"/>
              <w:rPr>
                <w:rFonts w:eastAsia="Times New Roman" w:cs="Calibri"/>
                <w:color w:val="000000"/>
                <w:kern w:val="0"/>
                <w:sz w:val="20"/>
                <w:szCs w:val="20"/>
                <w:lang w:eastAsia="pl-PL"/>
              </w:rPr>
            </w:pPr>
            <w:r w:rsidRPr="00AD58E1">
              <w:rPr>
                <w:rFonts w:eastAsia="Times New Roman" w:cs="Calibri"/>
                <w:color w:val="000000"/>
                <w:kern w:val="0"/>
                <w:sz w:val="20"/>
                <w:szCs w:val="20"/>
                <w:lang w:eastAsia="pl-PL"/>
              </w:rPr>
              <w:t>2020</w:t>
            </w:r>
          </w:p>
        </w:tc>
        <w:tc>
          <w:tcPr>
            <w:tcW w:w="1269" w:type="dxa"/>
            <w:shd w:val="clear" w:color="auto" w:fill="FFC000"/>
            <w:vAlign w:val="center"/>
            <w:hideMark/>
          </w:tcPr>
          <w:p w:rsidR="003F2B0C" w:rsidRPr="00AD58E1" w:rsidRDefault="003F2B0C" w:rsidP="0084338D">
            <w:pPr>
              <w:spacing w:after="0" w:line="240" w:lineRule="auto"/>
              <w:jc w:val="center"/>
              <w:rPr>
                <w:rFonts w:eastAsia="Times New Roman" w:cs="Calibri"/>
                <w:color w:val="000000"/>
                <w:kern w:val="0"/>
                <w:sz w:val="20"/>
                <w:szCs w:val="20"/>
                <w:lang w:eastAsia="pl-PL"/>
              </w:rPr>
            </w:pPr>
            <w:r w:rsidRPr="00AD58E1">
              <w:rPr>
                <w:rFonts w:eastAsia="Times New Roman" w:cs="Calibri"/>
                <w:color w:val="000000"/>
                <w:kern w:val="0"/>
                <w:sz w:val="20"/>
                <w:szCs w:val="20"/>
                <w:lang w:eastAsia="pl-PL"/>
              </w:rPr>
              <w:t>2021</w:t>
            </w:r>
          </w:p>
        </w:tc>
        <w:tc>
          <w:tcPr>
            <w:tcW w:w="1269" w:type="dxa"/>
            <w:shd w:val="clear" w:color="auto" w:fill="FFC000"/>
            <w:vAlign w:val="center"/>
            <w:hideMark/>
          </w:tcPr>
          <w:p w:rsidR="003F2B0C" w:rsidRPr="00AD58E1" w:rsidRDefault="003F2B0C" w:rsidP="0084338D">
            <w:pPr>
              <w:spacing w:after="0" w:line="240" w:lineRule="auto"/>
              <w:jc w:val="center"/>
              <w:rPr>
                <w:rFonts w:eastAsia="Times New Roman" w:cs="Calibri"/>
                <w:color w:val="000000"/>
                <w:kern w:val="0"/>
                <w:sz w:val="20"/>
                <w:szCs w:val="20"/>
                <w:lang w:eastAsia="pl-PL"/>
              </w:rPr>
            </w:pPr>
            <w:r w:rsidRPr="00AD58E1">
              <w:rPr>
                <w:rFonts w:eastAsia="Times New Roman" w:cs="Calibri"/>
                <w:color w:val="000000"/>
                <w:kern w:val="0"/>
                <w:sz w:val="20"/>
                <w:szCs w:val="20"/>
                <w:lang w:eastAsia="pl-PL"/>
              </w:rPr>
              <w:t>2022</w:t>
            </w:r>
          </w:p>
        </w:tc>
        <w:tc>
          <w:tcPr>
            <w:tcW w:w="1278" w:type="dxa"/>
            <w:shd w:val="clear" w:color="auto" w:fill="FFC000"/>
            <w:vAlign w:val="center"/>
            <w:hideMark/>
          </w:tcPr>
          <w:p w:rsidR="003F2B0C" w:rsidRPr="00AD58E1" w:rsidRDefault="003F2B0C" w:rsidP="0084338D">
            <w:pPr>
              <w:spacing w:after="0" w:line="240" w:lineRule="auto"/>
              <w:jc w:val="center"/>
              <w:rPr>
                <w:rFonts w:eastAsia="Times New Roman" w:cs="Calibri"/>
                <w:color w:val="000000"/>
                <w:kern w:val="0"/>
                <w:sz w:val="20"/>
                <w:szCs w:val="20"/>
                <w:lang w:eastAsia="pl-PL"/>
              </w:rPr>
            </w:pPr>
            <w:r w:rsidRPr="00AD58E1">
              <w:rPr>
                <w:rFonts w:eastAsia="Times New Roman" w:cs="Calibri"/>
                <w:color w:val="000000"/>
                <w:kern w:val="0"/>
                <w:sz w:val="20"/>
                <w:szCs w:val="20"/>
                <w:lang w:eastAsia="pl-PL"/>
              </w:rPr>
              <w:t>2023</w:t>
            </w:r>
          </w:p>
        </w:tc>
      </w:tr>
      <w:tr w:rsidR="003F2B0C" w:rsidRPr="00AD58E1" w:rsidTr="0084338D">
        <w:trPr>
          <w:trHeight w:val="18"/>
        </w:trPr>
        <w:tc>
          <w:tcPr>
            <w:tcW w:w="9214" w:type="dxa"/>
            <w:gridSpan w:val="7"/>
            <w:shd w:val="clear" w:color="auto" w:fill="FFC000"/>
            <w:noWrap/>
            <w:vAlign w:val="center"/>
            <w:hideMark/>
          </w:tcPr>
          <w:p w:rsidR="003F2B0C" w:rsidRPr="00AD58E1" w:rsidRDefault="003F2B0C" w:rsidP="0084338D">
            <w:pPr>
              <w:spacing w:after="0" w:line="240" w:lineRule="auto"/>
              <w:jc w:val="center"/>
              <w:rPr>
                <w:rFonts w:eastAsia="Times New Roman" w:cs="Calibri"/>
                <w:color w:val="000000"/>
                <w:kern w:val="0"/>
                <w:sz w:val="20"/>
                <w:szCs w:val="20"/>
                <w:lang w:eastAsia="pl-PL"/>
              </w:rPr>
            </w:pPr>
            <w:r w:rsidRPr="00AD58E1">
              <w:rPr>
                <w:rFonts w:eastAsia="Times New Roman" w:cs="Calibri"/>
                <w:color w:val="000000"/>
                <w:kern w:val="0"/>
                <w:sz w:val="20"/>
                <w:szCs w:val="20"/>
                <w:lang w:eastAsia="pl-PL"/>
              </w:rPr>
              <w:t>ogółem</w:t>
            </w:r>
          </w:p>
        </w:tc>
      </w:tr>
      <w:tr w:rsidR="003F2B0C" w:rsidRPr="00AD58E1" w:rsidTr="0084338D">
        <w:trPr>
          <w:trHeight w:val="18"/>
        </w:trPr>
        <w:tc>
          <w:tcPr>
            <w:tcW w:w="1591" w:type="dxa"/>
            <w:shd w:val="clear" w:color="auto" w:fill="auto"/>
            <w:vAlign w:val="center"/>
            <w:hideMark/>
          </w:tcPr>
          <w:p w:rsidR="003F2B0C" w:rsidRPr="00AD58E1" w:rsidRDefault="003F2B0C" w:rsidP="0084338D">
            <w:pPr>
              <w:spacing w:after="0" w:line="240" w:lineRule="auto"/>
              <w:jc w:val="left"/>
              <w:rPr>
                <w:rFonts w:eastAsia="Times New Roman" w:cs="Calibri"/>
                <w:kern w:val="0"/>
                <w:sz w:val="20"/>
                <w:szCs w:val="20"/>
                <w:lang w:eastAsia="pl-PL"/>
              </w:rPr>
            </w:pPr>
            <w:r w:rsidRPr="00AD58E1">
              <w:rPr>
                <w:rFonts w:eastAsia="Times New Roman" w:cs="Calibri"/>
                <w:kern w:val="0"/>
                <w:sz w:val="20"/>
                <w:szCs w:val="20"/>
                <w:lang w:eastAsia="pl-PL"/>
              </w:rPr>
              <w:t>Wrocławski obszar funkcjonalny</w:t>
            </w:r>
          </w:p>
        </w:tc>
        <w:tc>
          <w:tcPr>
            <w:tcW w:w="1269" w:type="dxa"/>
            <w:shd w:val="clear" w:color="auto" w:fill="auto"/>
            <w:noWrap/>
            <w:vAlign w:val="center"/>
            <w:hideMark/>
          </w:tcPr>
          <w:p w:rsidR="003F2B0C" w:rsidRPr="00AD58E1" w:rsidRDefault="003F2B0C" w:rsidP="0084338D">
            <w:pPr>
              <w:spacing w:after="0" w:line="240" w:lineRule="auto"/>
              <w:jc w:val="center"/>
              <w:rPr>
                <w:rFonts w:eastAsia="Times New Roman" w:cs="Calibri"/>
                <w:kern w:val="0"/>
                <w:sz w:val="20"/>
                <w:szCs w:val="20"/>
                <w:lang w:eastAsia="pl-PL"/>
              </w:rPr>
            </w:pPr>
            <w:r w:rsidRPr="00AD58E1">
              <w:rPr>
                <w:rFonts w:eastAsia="Times New Roman" w:cs="Calibri"/>
                <w:kern w:val="0"/>
                <w:sz w:val="20"/>
                <w:szCs w:val="20"/>
                <w:lang w:eastAsia="pl-PL"/>
              </w:rPr>
              <w:t>140 223,26</w:t>
            </w:r>
          </w:p>
        </w:tc>
        <w:tc>
          <w:tcPr>
            <w:tcW w:w="1269" w:type="dxa"/>
            <w:shd w:val="clear" w:color="auto" w:fill="auto"/>
            <w:noWrap/>
            <w:vAlign w:val="center"/>
            <w:hideMark/>
          </w:tcPr>
          <w:p w:rsidR="003F2B0C" w:rsidRPr="00AD58E1" w:rsidRDefault="003F2B0C" w:rsidP="0084338D">
            <w:pPr>
              <w:spacing w:after="0" w:line="240" w:lineRule="auto"/>
              <w:jc w:val="center"/>
              <w:rPr>
                <w:rFonts w:eastAsia="Times New Roman" w:cs="Calibri"/>
                <w:kern w:val="0"/>
                <w:sz w:val="20"/>
                <w:szCs w:val="20"/>
                <w:lang w:eastAsia="pl-PL"/>
              </w:rPr>
            </w:pPr>
            <w:r w:rsidRPr="00AD58E1">
              <w:rPr>
                <w:rFonts w:eastAsia="Times New Roman" w:cs="Calibri"/>
                <w:kern w:val="0"/>
                <w:sz w:val="20"/>
                <w:szCs w:val="20"/>
                <w:lang w:eastAsia="pl-PL"/>
              </w:rPr>
              <w:t>160 042,98</w:t>
            </w:r>
          </w:p>
        </w:tc>
        <w:tc>
          <w:tcPr>
            <w:tcW w:w="1269" w:type="dxa"/>
            <w:shd w:val="clear" w:color="auto" w:fill="auto"/>
            <w:noWrap/>
            <w:vAlign w:val="center"/>
            <w:hideMark/>
          </w:tcPr>
          <w:p w:rsidR="003F2B0C" w:rsidRPr="00AD58E1" w:rsidRDefault="003F2B0C" w:rsidP="0084338D">
            <w:pPr>
              <w:spacing w:after="0" w:line="240" w:lineRule="auto"/>
              <w:jc w:val="center"/>
              <w:rPr>
                <w:rFonts w:eastAsia="Times New Roman" w:cs="Calibri"/>
                <w:kern w:val="0"/>
                <w:sz w:val="20"/>
                <w:szCs w:val="20"/>
                <w:lang w:eastAsia="pl-PL"/>
              </w:rPr>
            </w:pPr>
            <w:r w:rsidRPr="00AD58E1">
              <w:rPr>
                <w:rFonts w:eastAsia="Times New Roman" w:cs="Calibri"/>
                <w:kern w:val="0"/>
                <w:sz w:val="20"/>
                <w:szCs w:val="20"/>
                <w:lang w:eastAsia="pl-PL"/>
              </w:rPr>
              <w:t>177 381,48</w:t>
            </w:r>
          </w:p>
        </w:tc>
        <w:tc>
          <w:tcPr>
            <w:tcW w:w="1269" w:type="dxa"/>
            <w:shd w:val="clear" w:color="auto" w:fill="auto"/>
            <w:noWrap/>
            <w:vAlign w:val="center"/>
            <w:hideMark/>
          </w:tcPr>
          <w:p w:rsidR="003F2B0C" w:rsidRPr="00AD58E1" w:rsidRDefault="003F2B0C" w:rsidP="0084338D">
            <w:pPr>
              <w:spacing w:after="0" w:line="240" w:lineRule="auto"/>
              <w:jc w:val="center"/>
              <w:rPr>
                <w:rFonts w:eastAsia="Times New Roman" w:cs="Calibri"/>
                <w:kern w:val="0"/>
                <w:sz w:val="20"/>
                <w:szCs w:val="20"/>
                <w:lang w:eastAsia="pl-PL"/>
              </w:rPr>
            </w:pPr>
            <w:r w:rsidRPr="00AD58E1">
              <w:rPr>
                <w:rFonts w:eastAsia="Times New Roman" w:cs="Calibri"/>
                <w:kern w:val="0"/>
                <w:sz w:val="20"/>
                <w:szCs w:val="20"/>
                <w:lang w:eastAsia="pl-PL"/>
              </w:rPr>
              <w:t>203 129,83</w:t>
            </w:r>
          </w:p>
        </w:tc>
        <w:tc>
          <w:tcPr>
            <w:tcW w:w="1269" w:type="dxa"/>
            <w:shd w:val="clear" w:color="auto" w:fill="auto"/>
            <w:noWrap/>
            <w:vAlign w:val="center"/>
            <w:hideMark/>
          </w:tcPr>
          <w:p w:rsidR="003F2B0C" w:rsidRPr="00AD58E1" w:rsidRDefault="003F2B0C" w:rsidP="0084338D">
            <w:pPr>
              <w:spacing w:after="0" w:line="240" w:lineRule="auto"/>
              <w:jc w:val="center"/>
              <w:rPr>
                <w:rFonts w:eastAsia="Times New Roman" w:cs="Calibri"/>
                <w:kern w:val="0"/>
                <w:sz w:val="20"/>
                <w:szCs w:val="20"/>
                <w:lang w:eastAsia="pl-PL"/>
              </w:rPr>
            </w:pPr>
            <w:r w:rsidRPr="00AD58E1">
              <w:rPr>
                <w:rFonts w:eastAsia="Times New Roman" w:cs="Calibri"/>
                <w:kern w:val="0"/>
                <w:sz w:val="20"/>
                <w:szCs w:val="20"/>
                <w:lang w:eastAsia="pl-PL"/>
              </w:rPr>
              <w:t>207 101,63</w:t>
            </w:r>
          </w:p>
        </w:tc>
        <w:tc>
          <w:tcPr>
            <w:tcW w:w="1278" w:type="dxa"/>
            <w:shd w:val="clear" w:color="auto" w:fill="auto"/>
            <w:noWrap/>
            <w:vAlign w:val="center"/>
            <w:hideMark/>
          </w:tcPr>
          <w:p w:rsidR="003F2B0C" w:rsidRPr="00AD58E1" w:rsidRDefault="003F2B0C" w:rsidP="0084338D">
            <w:pPr>
              <w:spacing w:after="0" w:line="240" w:lineRule="auto"/>
              <w:jc w:val="center"/>
              <w:rPr>
                <w:rFonts w:eastAsia="Times New Roman" w:cs="Calibri"/>
                <w:kern w:val="0"/>
                <w:sz w:val="20"/>
                <w:szCs w:val="20"/>
                <w:lang w:eastAsia="pl-PL"/>
              </w:rPr>
            </w:pPr>
            <w:r w:rsidRPr="00AD58E1">
              <w:rPr>
                <w:rFonts w:eastAsia="Times New Roman" w:cs="Calibri"/>
                <w:kern w:val="0"/>
                <w:sz w:val="20"/>
                <w:szCs w:val="20"/>
                <w:lang w:eastAsia="pl-PL"/>
              </w:rPr>
              <w:t>192 059,09</w:t>
            </w:r>
          </w:p>
        </w:tc>
      </w:tr>
      <w:tr w:rsidR="003F2B0C" w:rsidRPr="00AD58E1" w:rsidTr="0084338D">
        <w:trPr>
          <w:trHeight w:val="18"/>
        </w:trPr>
        <w:tc>
          <w:tcPr>
            <w:tcW w:w="1591" w:type="dxa"/>
            <w:shd w:val="clear" w:color="auto" w:fill="auto"/>
            <w:vAlign w:val="center"/>
          </w:tcPr>
          <w:p w:rsidR="003F2B0C" w:rsidRPr="00AD58E1" w:rsidRDefault="003F2B0C" w:rsidP="0084338D">
            <w:pPr>
              <w:spacing w:after="0" w:line="240" w:lineRule="auto"/>
              <w:jc w:val="left"/>
              <w:rPr>
                <w:rFonts w:eastAsia="Times New Roman" w:cs="Calibri"/>
                <w:kern w:val="0"/>
                <w:sz w:val="20"/>
                <w:szCs w:val="20"/>
                <w:lang w:eastAsia="pl-PL"/>
              </w:rPr>
            </w:pPr>
            <w:r w:rsidRPr="003A44F4">
              <w:rPr>
                <w:rFonts w:eastAsia="Times New Roman" w:cs="Calibri"/>
                <w:kern w:val="0"/>
                <w:sz w:val="20"/>
                <w:szCs w:val="20"/>
                <w:lang w:eastAsia="pl-PL"/>
              </w:rPr>
              <w:t>Masa odpadów na 1 mieszkańca</w:t>
            </w:r>
          </w:p>
        </w:tc>
        <w:tc>
          <w:tcPr>
            <w:tcW w:w="1269" w:type="dxa"/>
            <w:shd w:val="clear" w:color="auto" w:fill="auto"/>
            <w:noWrap/>
            <w:vAlign w:val="center"/>
          </w:tcPr>
          <w:p w:rsidR="003F2B0C" w:rsidRPr="00AD58E1" w:rsidRDefault="003F2B0C" w:rsidP="0084338D">
            <w:pPr>
              <w:spacing w:after="0" w:line="240" w:lineRule="auto"/>
              <w:jc w:val="center"/>
              <w:rPr>
                <w:rFonts w:eastAsia="Times New Roman" w:cs="Calibri"/>
                <w:kern w:val="0"/>
                <w:sz w:val="20"/>
                <w:szCs w:val="20"/>
                <w:lang w:eastAsia="pl-PL"/>
              </w:rPr>
            </w:pPr>
            <w:r w:rsidRPr="00A546CD">
              <w:rPr>
                <w:rFonts w:eastAsia="Times New Roman" w:cs="Calibri"/>
                <w:kern w:val="0"/>
                <w:sz w:val="20"/>
                <w:szCs w:val="20"/>
                <w:lang w:eastAsia="pl-PL"/>
              </w:rPr>
              <w:t>0,14</w:t>
            </w:r>
          </w:p>
        </w:tc>
        <w:tc>
          <w:tcPr>
            <w:tcW w:w="1269" w:type="dxa"/>
            <w:shd w:val="clear" w:color="auto" w:fill="auto"/>
            <w:noWrap/>
            <w:vAlign w:val="center"/>
          </w:tcPr>
          <w:p w:rsidR="003F2B0C" w:rsidRPr="00AD58E1" w:rsidRDefault="003F2B0C" w:rsidP="0084338D">
            <w:pPr>
              <w:spacing w:after="0" w:line="240" w:lineRule="auto"/>
              <w:jc w:val="center"/>
              <w:rPr>
                <w:rFonts w:eastAsia="Times New Roman" w:cs="Calibri"/>
                <w:kern w:val="0"/>
                <w:sz w:val="20"/>
                <w:szCs w:val="20"/>
                <w:lang w:eastAsia="pl-PL"/>
              </w:rPr>
            </w:pPr>
            <w:r w:rsidRPr="00A546CD">
              <w:rPr>
                <w:rFonts w:eastAsia="Times New Roman" w:cs="Calibri"/>
                <w:kern w:val="0"/>
                <w:sz w:val="20"/>
                <w:szCs w:val="20"/>
                <w:lang w:eastAsia="pl-PL"/>
              </w:rPr>
              <w:t>0,16</w:t>
            </w:r>
          </w:p>
        </w:tc>
        <w:tc>
          <w:tcPr>
            <w:tcW w:w="1269" w:type="dxa"/>
            <w:shd w:val="clear" w:color="auto" w:fill="auto"/>
            <w:noWrap/>
            <w:vAlign w:val="center"/>
          </w:tcPr>
          <w:p w:rsidR="003F2B0C" w:rsidRPr="00AD58E1" w:rsidRDefault="003F2B0C" w:rsidP="0084338D">
            <w:pPr>
              <w:spacing w:after="0" w:line="240" w:lineRule="auto"/>
              <w:jc w:val="center"/>
              <w:rPr>
                <w:rFonts w:eastAsia="Times New Roman" w:cs="Calibri"/>
                <w:kern w:val="0"/>
                <w:sz w:val="20"/>
                <w:szCs w:val="20"/>
                <w:lang w:eastAsia="pl-PL"/>
              </w:rPr>
            </w:pPr>
            <w:r w:rsidRPr="00A546CD">
              <w:rPr>
                <w:rFonts w:eastAsia="Times New Roman" w:cs="Calibri"/>
                <w:kern w:val="0"/>
                <w:sz w:val="20"/>
                <w:szCs w:val="20"/>
                <w:lang w:eastAsia="pl-PL"/>
              </w:rPr>
              <w:t>0,17</w:t>
            </w:r>
          </w:p>
        </w:tc>
        <w:tc>
          <w:tcPr>
            <w:tcW w:w="1269" w:type="dxa"/>
            <w:shd w:val="clear" w:color="auto" w:fill="auto"/>
            <w:noWrap/>
            <w:vAlign w:val="center"/>
          </w:tcPr>
          <w:p w:rsidR="003F2B0C" w:rsidRPr="00AD58E1" w:rsidRDefault="003F2B0C" w:rsidP="0084338D">
            <w:pPr>
              <w:spacing w:after="0" w:line="240" w:lineRule="auto"/>
              <w:jc w:val="center"/>
              <w:rPr>
                <w:rFonts w:eastAsia="Times New Roman" w:cs="Calibri"/>
                <w:kern w:val="0"/>
                <w:sz w:val="20"/>
                <w:szCs w:val="20"/>
                <w:lang w:eastAsia="pl-PL"/>
              </w:rPr>
            </w:pPr>
            <w:r w:rsidRPr="00A546CD">
              <w:rPr>
                <w:rFonts w:eastAsia="Times New Roman" w:cs="Calibri"/>
                <w:kern w:val="0"/>
                <w:sz w:val="20"/>
                <w:szCs w:val="20"/>
                <w:lang w:eastAsia="pl-PL"/>
              </w:rPr>
              <w:t>0,19</w:t>
            </w:r>
          </w:p>
        </w:tc>
        <w:tc>
          <w:tcPr>
            <w:tcW w:w="1269" w:type="dxa"/>
            <w:shd w:val="clear" w:color="auto" w:fill="auto"/>
            <w:noWrap/>
            <w:vAlign w:val="center"/>
          </w:tcPr>
          <w:p w:rsidR="003F2B0C" w:rsidRPr="00AD58E1" w:rsidRDefault="003F2B0C" w:rsidP="0084338D">
            <w:pPr>
              <w:spacing w:after="0" w:line="240" w:lineRule="auto"/>
              <w:jc w:val="center"/>
              <w:rPr>
                <w:rFonts w:eastAsia="Times New Roman" w:cs="Calibri"/>
                <w:kern w:val="0"/>
                <w:sz w:val="20"/>
                <w:szCs w:val="20"/>
                <w:lang w:eastAsia="pl-PL"/>
              </w:rPr>
            </w:pPr>
            <w:r w:rsidRPr="00A546CD">
              <w:rPr>
                <w:rFonts w:eastAsia="Times New Roman" w:cs="Calibri"/>
                <w:kern w:val="0"/>
                <w:sz w:val="20"/>
                <w:szCs w:val="20"/>
                <w:lang w:eastAsia="pl-PL"/>
              </w:rPr>
              <w:t>0,19</w:t>
            </w:r>
          </w:p>
        </w:tc>
        <w:tc>
          <w:tcPr>
            <w:tcW w:w="1278" w:type="dxa"/>
            <w:shd w:val="clear" w:color="auto" w:fill="auto"/>
            <w:noWrap/>
            <w:vAlign w:val="center"/>
          </w:tcPr>
          <w:p w:rsidR="003F2B0C" w:rsidRPr="00AD58E1" w:rsidRDefault="003F2B0C" w:rsidP="0084338D">
            <w:pPr>
              <w:spacing w:after="0" w:line="240" w:lineRule="auto"/>
              <w:jc w:val="center"/>
              <w:rPr>
                <w:rFonts w:eastAsia="Times New Roman" w:cs="Calibri"/>
                <w:kern w:val="0"/>
                <w:sz w:val="20"/>
                <w:szCs w:val="20"/>
                <w:lang w:eastAsia="pl-PL"/>
              </w:rPr>
            </w:pPr>
            <w:r w:rsidRPr="00A546CD">
              <w:rPr>
                <w:rFonts w:eastAsia="Times New Roman" w:cs="Calibri"/>
                <w:kern w:val="0"/>
                <w:sz w:val="20"/>
                <w:szCs w:val="20"/>
                <w:lang w:eastAsia="pl-PL"/>
              </w:rPr>
              <w:t>0,18</w:t>
            </w:r>
          </w:p>
        </w:tc>
      </w:tr>
      <w:tr w:rsidR="003F2B0C" w:rsidRPr="00AD58E1" w:rsidTr="0084338D">
        <w:trPr>
          <w:trHeight w:val="18"/>
        </w:trPr>
        <w:tc>
          <w:tcPr>
            <w:tcW w:w="1591" w:type="dxa"/>
            <w:shd w:val="clear" w:color="auto" w:fill="auto"/>
            <w:vAlign w:val="center"/>
            <w:hideMark/>
          </w:tcPr>
          <w:p w:rsidR="003F2B0C" w:rsidRPr="00AD58E1" w:rsidRDefault="003F2B0C" w:rsidP="0084338D">
            <w:pPr>
              <w:spacing w:after="0" w:line="240" w:lineRule="auto"/>
              <w:jc w:val="left"/>
              <w:rPr>
                <w:rFonts w:eastAsia="Times New Roman" w:cs="Calibri"/>
                <w:kern w:val="0"/>
                <w:sz w:val="20"/>
                <w:szCs w:val="20"/>
                <w:lang w:eastAsia="pl-PL"/>
              </w:rPr>
            </w:pPr>
            <w:r w:rsidRPr="00AD58E1">
              <w:rPr>
                <w:rFonts w:eastAsia="Times New Roman" w:cs="Calibri"/>
                <w:kern w:val="0"/>
                <w:sz w:val="20"/>
                <w:szCs w:val="20"/>
                <w:lang w:eastAsia="pl-PL"/>
              </w:rPr>
              <w:t>Metropolia Krakowska</w:t>
            </w:r>
          </w:p>
        </w:tc>
        <w:tc>
          <w:tcPr>
            <w:tcW w:w="1269" w:type="dxa"/>
            <w:shd w:val="clear" w:color="auto" w:fill="auto"/>
            <w:noWrap/>
            <w:vAlign w:val="center"/>
            <w:hideMark/>
          </w:tcPr>
          <w:p w:rsidR="003F2B0C" w:rsidRPr="00AD58E1" w:rsidRDefault="003F2B0C" w:rsidP="0084338D">
            <w:pPr>
              <w:spacing w:after="0" w:line="240" w:lineRule="auto"/>
              <w:jc w:val="center"/>
              <w:rPr>
                <w:rFonts w:eastAsia="Times New Roman" w:cs="Calibri"/>
                <w:kern w:val="0"/>
                <w:sz w:val="20"/>
                <w:szCs w:val="20"/>
                <w:lang w:eastAsia="pl-PL"/>
              </w:rPr>
            </w:pPr>
            <w:r w:rsidRPr="00AD58E1">
              <w:rPr>
                <w:rFonts w:eastAsia="Times New Roman" w:cs="Calibri"/>
                <w:kern w:val="0"/>
                <w:sz w:val="20"/>
                <w:szCs w:val="20"/>
                <w:lang w:eastAsia="pl-PL"/>
              </w:rPr>
              <w:t>166 645,61</w:t>
            </w:r>
          </w:p>
        </w:tc>
        <w:tc>
          <w:tcPr>
            <w:tcW w:w="1269" w:type="dxa"/>
            <w:shd w:val="clear" w:color="auto" w:fill="auto"/>
            <w:noWrap/>
            <w:vAlign w:val="center"/>
            <w:hideMark/>
          </w:tcPr>
          <w:p w:rsidR="003F2B0C" w:rsidRPr="00AD58E1" w:rsidRDefault="003F2B0C" w:rsidP="0084338D">
            <w:pPr>
              <w:spacing w:after="0" w:line="240" w:lineRule="auto"/>
              <w:jc w:val="center"/>
              <w:rPr>
                <w:rFonts w:eastAsia="Times New Roman" w:cs="Calibri"/>
                <w:kern w:val="0"/>
                <w:sz w:val="20"/>
                <w:szCs w:val="20"/>
                <w:lang w:eastAsia="pl-PL"/>
              </w:rPr>
            </w:pPr>
            <w:r w:rsidRPr="00AD58E1">
              <w:rPr>
                <w:rFonts w:eastAsia="Times New Roman" w:cs="Calibri"/>
                <w:kern w:val="0"/>
                <w:sz w:val="20"/>
                <w:szCs w:val="20"/>
                <w:lang w:eastAsia="pl-PL"/>
              </w:rPr>
              <w:t>149 966,93</w:t>
            </w:r>
          </w:p>
        </w:tc>
        <w:tc>
          <w:tcPr>
            <w:tcW w:w="1269" w:type="dxa"/>
            <w:shd w:val="clear" w:color="auto" w:fill="auto"/>
            <w:noWrap/>
            <w:vAlign w:val="center"/>
            <w:hideMark/>
          </w:tcPr>
          <w:p w:rsidR="003F2B0C" w:rsidRPr="00AD58E1" w:rsidRDefault="003F2B0C" w:rsidP="0084338D">
            <w:pPr>
              <w:spacing w:after="0" w:line="240" w:lineRule="auto"/>
              <w:jc w:val="center"/>
              <w:rPr>
                <w:rFonts w:eastAsia="Times New Roman" w:cs="Calibri"/>
                <w:kern w:val="0"/>
                <w:sz w:val="20"/>
                <w:szCs w:val="20"/>
                <w:lang w:eastAsia="pl-PL"/>
              </w:rPr>
            </w:pPr>
            <w:r w:rsidRPr="00AD58E1">
              <w:rPr>
                <w:rFonts w:eastAsia="Times New Roman" w:cs="Calibri"/>
                <w:kern w:val="0"/>
                <w:sz w:val="20"/>
                <w:szCs w:val="20"/>
                <w:lang w:eastAsia="pl-PL"/>
              </w:rPr>
              <w:t>207 393,95</w:t>
            </w:r>
          </w:p>
        </w:tc>
        <w:tc>
          <w:tcPr>
            <w:tcW w:w="1269" w:type="dxa"/>
            <w:shd w:val="clear" w:color="auto" w:fill="auto"/>
            <w:noWrap/>
            <w:vAlign w:val="center"/>
            <w:hideMark/>
          </w:tcPr>
          <w:p w:rsidR="003F2B0C" w:rsidRPr="00AD58E1" w:rsidRDefault="003F2B0C" w:rsidP="0084338D">
            <w:pPr>
              <w:spacing w:after="0" w:line="240" w:lineRule="auto"/>
              <w:jc w:val="center"/>
              <w:rPr>
                <w:rFonts w:eastAsia="Times New Roman" w:cs="Calibri"/>
                <w:kern w:val="0"/>
                <w:sz w:val="20"/>
                <w:szCs w:val="20"/>
                <w:lang w:eastAsia="pl-PL"/>
              </w:rPr>
            </w:pPr>
            <w:r w:rsidRPr="00AD58E1">
              <w:rPr>
                <w:rFonts w:eastAsia="Times New Roman" w:cs="Calibri"/>
                <w:kern w:val="0"/>
                <w:sz w:val="20"/>
                <w:szCs w:val="20"/>
                <w:lang w:eastAsia="pl-PL"/>
              </w:rPr>
              <w:t>224 999,50</w:t>
            </w:r>
          </w:p>
        </w:tc>
        <w:tc>
          <w:tcPr>
            <w:tcW w:w="1269" w:type="dxa"/>
            <w:shd w:val="clear" w:color="auto" w:fill="auto"/>
            <w:noWrap/>
            <w:vAlign w:val="center"/>
            <w:hideMark/>
          </w:tcPr>
          <w:p w:rsidR="003F2B0C" w:rsidRPr="00AD58E1" w:rsidRDefault="003F2B0C" w:rsidP="0084338D">
            <w:pPr>
              <w:spacing w:after="0" w:line="240" w:lineRule="auto"/>
              <w:jc w:val="center"/>
              <w:rPr>
                <w:rFonts w:eastAsia="Times New Roman" w:cs="Calibri"/>
                <w:kern w:val="0"/>
                <w:sz w:val="20"/>
                <w:szCs w:val="20"/>
                <w:lang w:eastAsia="pl-PL"/>
              </w:rPr>
            </w:pPr>
            <w:r w:rsidRPr="00AD58E1">
              <w:rPr>
                <w:rFonts w:eastAsia="Times New Roman" w:cs="Calibri"/>
                <w:kern w:val="0"/>
                <w:sz w:val="20"/>
                <w:szCs w:val="20"/>
                <w:lang w:eastAsia="pl-PL"/>
              </w:rPr>
              <w:t>235 424,69</w:t>
            </w:r>
          </w:p>
        </w:tc>
        <w:tc>
          <w:tcPr>
            <w:tcW w:w="1278" w:type="dxa"/>
            <w:shd w:val="clear" w:color="auto" w:fill="auto"/>
            <w:noWrap/>
            <w:vAlign w:val="center"/>
            <w:hideMark/>
          </w:tcPr>
          <w:p w:rsidR="003F2B0C" w:rsidRPr="00AD58E1" w:rsidRDefault="003F2B0C" w:rsidP="0084338D">
            <w:pPr>
              <w:spacing w:after="0" w:line="240" w:lineRule="auto"/>
              <w:jc w:val="center"/>
              <w:rPr>
                <w:rFonts w:eastAsia="Times New Roman" w:cs="Calibri"/>
                <w:kern w:val="0"/>
                <w:sz w:val="20"/>
                <w:szCs w:val="20"/>
                <w:lang w:eastAsia="pl-PL"/>
              </w:rPr>
            </w:pPr>
            <w:r w:rsidRPr="00AD58E1">
              <w:rPr>
                <w:rFonts w:eastAsia="Times New Roman" w:cs="Calibri"/>
                <w:kern w:val="0"/>
                <w:sz w:val="20"/>
                <w:szCs w:val="20"/>
                <w:lang w:eastAsia="pl-PL"/>
              </w:rPr>
              <w:t>248 591,75</w:t>
            </w:r>
          </w:p>
        </w:tc>
      </w:tr>
      <w:tr w:rsidR="003F2B0C" w:rsidRPr="00AD58E1" w:rsidTr="0084338D">
        <w:trPr>
          <w:trHeight w:val="18"/>
        </w:trPr>
        <w:tc>
          <w:tcPr>
            <w:tcW w:w="1591" w:type="dxa"/>
            <w:shd w:val="clear" w:color="auto" w:fill="auto"/>
            <w:vAlign w:val="center"/>
          </w:tcPr>
          <w:p w:rsidR="003F2B0C" w:rsidRPr="00AD58E1" w:rsidRDefault="003F2B0C" w:rsidP="0084338D">
            <w:pPr>
              <w:spacing w:after="0" w:line="240" w:lineRule="auto"/>
              <w:jc w:val="left"/>
              <w:rPr>
                <w:rFonts w:eastAsia="Times New Roman" w:cs="Calibri"/>
                <w:kern w:val="0"/>
                <w:sz w:val="20"/>
                <w:szCs w:val="20"/>
                <w:lang w:eastAsia="pl-PL"/>
              </w:rPr>
            </w:pPr>
            <w:r w:rsidRPr="003A44F4">
              <w:rPr>
                <w:rFonts w:eastAsia="Times New Roman" w:cs="Calibri"/>
                <w:kern w:val="0"/>
                <w:sz w:val="20"/>
                <w:szCs w:val="20"/>
                <w:lang w:eastAsia="pl-PL"/>
              </w:rPr>
              <w:t>Masa odpadów na 1 mieszkańca</w:t>
            </w:r>
          </w:p>
        </w:tc>
        <w:tc>
          <w:tcPr>
            <w:tcW w:w="1269" w:type="dxa"/>
            <w:shd w:val="clear" w:color="auto" w:fill="auto"/>
            <w:noWrap/>
            <w:vAlign w:val="center"/>
          </w:tcPr>
          <w:p w:rsidR="003F2B0C" w:rsidRPr="00AD58E1" w:rsidRDefault="003F2B0C" w:rsidP="0084338D">
            <w:pPr>
              <w:spacing w:after="0" w:line="240" w:lineRule="auto"/>
              <w:jc w:val="center"/>
              <w:rPr>
                <w:rFonts w:eastAsia="Times New Roman" w:cs="Calibri"/>
                <w:kern w:val="0"/>
                <w:sz w:val="20"/>
                <w:szCs w:val="20"/>
                <w:lang w:eastAsia="pl-PL"/>
              </w:rPr>
            </w:pPr>
            <w:r w:rsidRPr="00A546CD">
              <w:rPr>
                <w:rFonts w:eastAsia="Times New Roman" w:cs="Calibri"/>
                <w:kern w:val="0"/>
                <w:sz w:val="20"/>
                <w:szCs w:val="20"/>
                <w:lang w:eastAsia="pl-PL"/>
              </w:rPr>
              <w:t>0,16</w:t>
            </w:r>
          </w:p>
        </w:tc>
        <w:tc>
          <w:tcPr>
            <w:tcW w:w="1269" w:type="dxa"/>
            <w:shd w:val="clear" w:color="auto" w:fill="auto"/>
            <w:noWrap/>
            <w:vAlign w:val="center"/>
          </w:tcPr>
          <w:p w:rsidR="003F2B0C" w:rsidRPr="00AD58E1" w:rsidRDefault="003F2B0C" w:rsidP="0084338D">
            <w:pPr>
              <w:spacing w:after="0" w:line="240" w:lineRule="auto"/>
              <w:jc w:val="center"/>
              <w:rPr>
                <w:rFonts w:eastAsia="Times New Roman" w:cs="Calibri"/>
                <w:kern w:val="0"/>
                <w:sz w:val="20"/>
                <w:szCs w:val="20"/>
                <w:lang w:eastAsia="pl-PL"/>
              </w:rPr>
            </w:pPr>
            <w:r w:rsidRPr="00A546CD">
              <w:rPr>
                <w:rFonts w:eastAsia="Times New Roman" w:cs="Calibri"/>
                <w:kern w:val="0"/>
                <w:sz w:val="20"/>
                <w:szCs w:val="20"/>
                <w:lang w:eastAsia="pl-PL"/>
              </w:rPr>
              <w:t>0,14</w:t>
            </w:r>
          </w:p>
        </w:tc>
        <w:tc>
          <w:tcPr>
            <w:tcW w:w="1269" w:type="dxa"/>
            <w:shd w:val="clear" w:color="auto" w:fill="auto"/>
            <w:noWrap/>
            <w:vAlign w:val="center"/>
          </w:tcPr>
          <w:p w:rsidR="003F2B0C" w:rsidRPr="00AD58E1" w:rsidRDefault="003F2B0C" w:rsidP="0084338D">
            <w:pPr>
              <w:spacing w:after="0" w:line="240" w:lineRule="auto"/>
              <w:jc w:val="center"/>
              <w:rPr>
                <w:rFonts w:eastAsia="Times New Roman" w:cs="Calibri"/>
                <w:kern w:val="0"/>
                <w:sz w:val="20"/>
                <w:szCs w:val="20"/>
                <w:lang w:eastAsia="pl-PL"/>
              </w:rPr>
            </w:pPr>
            <w:r w:rsidRPr="00A546CD">
              <w:rPr>
                <w:rFonts w:eastAsia="Times New Roman" w:cs="Calibri"/>
                <w:kern w:val="0"/>
                <w:sz w:val="20"/>
                <w:szCs w:val="20"/>
                <w:lang w:eastAsia="pl-PL"/>
              </w:rPr>
              <w:t>0,18</w:t>
            </w:r>
          </w:p>
        </w:tc>
        <w:tc>
          <w:tcPr>
            <w:tcW w:w="1269" w:type="dxa"/>
            <w:shd w:val="clear" w:color="auto" w:fill="auto"/>
            <w:noWrap/>
            <w:vAlign w:val="center"/>
          </w:tcPr>
          <w:p w:rsidR="003F2B0C" w:rsidRPr="00AD58E1" w:rsidRDefault="003F2B0C" w:rsidP="0084338D">
            <w:pPr>
              <w:spacing w:after="0" w:line="240" w:lineRule="auto"/>
              <w:jc w:val="center"/>
              <w:rPr>
                <w:rFonts w:eastAsia="Times New Roman" w:cs="Calibri"/>
                <w:kern w:val="0"/>
                <w:sz w:val="20"/>
                <w:szCs w:val="20"/>
                <w:lang w:eastAsia="pl-PL"/>
              </w:rPr>
            </w:pPr>
            <w:r w:rsidRPr="00A546CD">
              <w:rPr>
                <w:rFonts w:eastAsia="Times New Roman" w:cs="Calibri"/>
                <w:kern w:val="0"/>
                <w:sz w:val="20"/>
                <w:szCs w:val="20"/>
                <w:lang w:eastAsia="pl-PL"/>
              </w:rPr>
              <w:t>0,20</w:t>
            </w:r>
          </w:p>
        </w:tc>
        <w:tc>
          <w:tcPr>
            <w:tcW w:w="1269" w:type="dxa"/>
            <w:shd w:val="clear" w:color="auto" w:fill="auto"/>
            <w:noWrap/>
            <w:vAlign w:val="center"/>
          </w:tcPr>
          <w:p w:rsidR="003F2B0C" w:rsidRPr="00AD58E1" w:rsidRDefault="003F2B0C" w:rsidP="0084338D">
            <w:pPr>
              <w:spacing w:after="0" w:line="240" w:lineRule="auto"/>
              <w:jc w:val="center"/>
              <w:rPr>
                <w:rFonts w:eastAsia="Times New Roman" w:cs="Calibri"/>
                <w:kern w:val="0"/>
                <w:sz w:val="20"/>
                <w:szCs w:val="20"/>
                <w:lang w:eastAsia="pl-PL"/>
              </w:rPr>
            </w:pPr>
            <w:r w:rsidRPr="00A546CD">
              <w:rPr>
                <w:rFonts w:eastAsia="Times New Roman" w:cs="Calibri"/>
                <w:kern w:val="0"/>
                <w:sz w:val="20"/>
                <w:szCs w:val="20"/>
                <w:lang w:eastAsia="pl-PL"/>
              </w:rPr>
              <w:t>0,21</w:t>
            </w:r>
          </w:p>
        </w:tc>
        <w:tc>
          <w:tcPr>
            <w:tcW w:w="1278" w:type="dxa"/>
            <w:shd w:val="clear" w:color="auto" w:fill="auto"/>
            <w:noWrap/>
            <w:vAlign w:val="center"/>
          </w:tcPr>
          <w:p w:rsidR="003F2B0C" w:rsidRPr="00AD58E1" w:rsidRDefault="003F2B0C" w:rsidP="0084338D">
            <w:pPr>
              <w:spacing w:after="0" w:line="240" w:lineRule="auto"/>
              <w:jc w:val="center"/>
              <w:rPr>
                <w:rFonts w:eastAsia="Times New Roman" w:cs="Calibri"/>
                <w:kern w:val="0"/>
                <w:sz w:val="20"/>
                <w:szCs w:val="20"/>
                <w:lang w:eastAsia="pl-PL"/>
              </w:rPr>
            </w:pPr>
            <w:r w:rsidRPr="00A546CD">
              <w:rPr>
                <w:rFonts w:eastAsia="Times New Roman" w:cs="Calibri"/>
                <w:kern w:val="0"/>
                <w:sz w:val="20"/>
                <w:szCs w:val="20"/>
                <w:lang w:eastAsia="pl-PL"/>
              </w:rPr>
              <w:t>0,22</w:t>
            </w:r>
          </w:p>
        </w:tc>
      </w:tr>
      <w:tr w:rsidR="003F2B0C" w:rsidRPr="00AD58E1" w:rsidTr="0084338D">
        <w:trPr>
          <w:trHeight w:val="18"/>
        </w:trPr>
        <w:tc>
          <w:tcPr>
            <w:tcW w:w="1591" w:type="dxa"/>
            <w:shd w:val="clear" w:color="auto" w:fill="auto"/>
            <w:vAlign w:val="center"/>
            <w:hideMark/>
          </w:tcPr>
          <w:p w:rsidR="003F2B0C" w:rsidRPr="00AD58E1" w:rsidRDefault="003F2B0C" w:rsidP="0084338D">
            <w:pPr>
              <w:spacing w:after="0" w:line="240" w:lineRule="auto"/>
              <w:jc w:val="left"/>
              <w:rPr>
                <w:rFonts w:eastAsia="Times New Roman" w:cs="Calibri"/>
                <w:kern w:val="0"/>
                <w:sz w:val="20"/>
                <w:szCs w:val="20"/>
                <w:lang w:eastAsia="pl-PL"/>
              </w:rPr>
            </w:pPr>
            <w:r w:rsidRPr="00AD58E1">
              <w:rPr>
                <w:rFonts w:eastAsia="Times New Roman" w:cs="Calibri"/>
                <w:kern w:val="0"/>
                <w:sz w:val="20"/>
                <w:szCs w:val="20"/>
                <w:lang w:eastAsia="pl-PL"/>
              </w:rPr>
              <w:t>Metropolia Poznań</w:t>
            </w:r>
          </w:p>
        </w:tc>
        <w:tc>
          <w:tcPr>
            <w:tcW w:w="1269" w:type="dxa"/>
            <w:shd w:val="clear" w:color="auto" w:fill="auto"/>
            <w:noWrap/>
            <w:vAlign w:val="center"/>
            <w:hideMark/>
          </w:tcPr>
          <w:p w:rsidR="003F2B0C" w:rsidRPr="00AD58E1" w:rsidRDefault="003F2B0C" w:rsidP="0084338D">
            <w:pPr>
              <w:spacing w:after="0" w:line="240" w:lineRule="auto"/>
              <w:jc w:val="center"/>
              <w:rPr>
                <w:rFonts w:eastAsia="Times New Roman" w:cs="Calibri"/>
                <w:kern w:val="0"/>
                <w:sz w:val="20"/>
                <w:szCs w:val="20"/>
                <w:lang w:eastAsia="pl-PL"/>
              </w:rPr>
            </w:pPr>
            <w:r w:rsidRPr="00AD58E1">
              <w:rPr>
                <w:rFonts w:eastAsia="Times New Roman" w:cs="Calibri"/>
                <w:kern w:val="0"/>
                <w:sz w:val="20"/>
                <w:szCs w:val="20"/>
                <w:lang w:eastAsia="pl-PL"/>
              </w:rPr>
              <w:t>126 983,66</w:t>
            </w:r>
          </w:p>
        </w:tc>
        <w:tc>
          <w:tcPr>
            <w:tcW w:w="1269" w:type="dxa"/>
            <w:shd w:val="clear" w:color="auto" w:fill="auto"/>
            <w:noWrap/>
            <w:vAlign w:val="center"/>
            <w:hideMark/>
          </w:tcPr>
          <w:p w:rsidR="003F2B0C" w:rsidRPr="00AD58E1" w:rsidRDefault="003F2B0C" w:rsidP="0084338D">
            <w:pPr>
              <w:spacing w:after="0" w:line="240" w:lineRule="auto"/>
              <w:jc w:val="center"/>
              <w:rPr>
                <w:rFonts w:eastAsia="Times New Roman" w:cs="Calibri"/>
                <w:kern w:val="0"/>
                <w:sz w:val="20"/>
                <w:szCs w:val="20"/>
                <w:lang w:eastAsia="pl-PL"/>
              </w:rPr>
            </w:pPr>
            <w:r w:rsidRPr="00AD58E1">
              <w:rPr>
                <w:rFonts w:eastAsia="Times New Roman" w:cs="Calibri"/>
                <w:kern w:val="0"/>
                <w:sz w:val="20"/>
                <w:szCs w:val="20"/>
                <w:lang w:eastAsia="pl-PL"/>
              </w:rPr>
              <w:t>138 275,14</w:t>
            </w:r>
          </w:p>
        </w:tc>
        <w:tc>
          <w:tcPr>
            <w:tcW w:w="1269" w:type="dxa"/>
            <w:shd w:val="clear" w:color="auto" w:fill="auto"/>
            <w:noWrap/>
            <w:vAlign w:val="center"/>
            <w:hideMark/>
          </w:tcPr>
          <w:p w:rsidR="003F2B0C" w:rsidRPr="00AD58E1" w:rsidRDefault="003F2B0C" w:rsidP="0084338D">
            <w:pPr>
              <w:spacing w:after="0" w:line="240" w:lineRule="auto"/>
              <w:jc w:val="center"/>
              <w:rPr>
                <w:rFonts w:eastAsia="Times New Roman" w:cs="Calibri"/>
                <w:kern w:val="0"/>
                <w:sz w:val="20"/>
                <w:szCs w:val="20"/>
                <w:lang w:eastAsia="pl-PL"/>
              </w:rPr>
            </w:pPr>
            <w:r w:rsidRPr="00AD58E1">
              <w:rPr>
                <w:rFonts w:eastAsia="Times New Roman" w:cs="Calibri"/>
                <w:kern w:val="0"/>
                <w:sz w:val="20"/>
                <w:szCs w:val="20"/>
                <w:lang w:eastAsia="pl-PL"/>
              </w:rPr>
              <w:t>162 476,76</w:t>
            </w:r>
          </w:p>
        </w:tc>
        <w:tc>
          <w:tcPr>
            <w:tcW w:w="1269" w:type="dxa"/>
            <w:shd w:val="clear" w:color="auto" w:fill="auto"/>
            <w:noWrap/>
            <w:vAlign w:val="center"/>
            <w:hideMark/>
          </w:tcPr>
          <w:p w:rsidR="003F2B0C" w:rsidRPr="00AD58E1" w:rsidRDefault="003F2B0C" w:rsidP="0084338D">
            <w:pPr>
              <w:spacing w:after="0" w:line="240" w:lineRule="auto"/>
              <w:jc w:val="center"/>
              <w:rPr>
                <w:rFonts w:eastAsia="Times New Roman" w:cs="Calibri"/>
                <w:kern w:val="0"/>
                <w:sz w:val="20"/>
                <w:szCs w:val="20"/>
                <w:lang w:eastAsia="pl-PL"/>
              </w:rPr>
            </w:pPr>
            <w:r w:rsidRPr="00AD58E1">
              <w:rPr>
                <w:rFonts w:eastAsia="Times New Roman" w:cs="Calibri"/>
                <w:kern w:val="0"/>
                <w:sz w:val="20"/>
                <w:szCs w:val="20"/>
                <w:lang w:eastAsia="pl-PL"/>
              </w:rPr>
              <w:t>195 725,23</w:t>
            </w:r>
          </w:p>
        </w:tc>
        <w:tc>
          <w:tcPr>
            <w:tcW w:w="1269" w:type="dxa"/>
            <w:shd w:val="clear" w:color="auto" w:fill="auto"/>
            <w:noWrap/>
            <w:vAlign w:val="center"/>
            <w:hideMark/>
          </w:tcPr>
          <w:p w:rsidR="003F2B0C" w:rsidRPr="00AD58E1" w:rsidRDefault="003F2B0C" w:rsidP="0084338D">
            <w:pPr>
              <w:spacing w:after="0" w:line="240" w:lineRule="auto"/>
              <w:jc w:val="center"/>
              <w:rPr>
                <w:rFonts w:eastAsia="Times New Roman" w:cs="Calibri"/>
                <w:kern w:val="0"/>
                <w:sz w:val="20"/>
                <w:szCs w:val="20"/>
                <w:lang w:eastAsia="pl-PL"/>
              </w:rPr>
            </w:pPr>
            <w:r w:rsidRPr="00AD58E1">
              <w:rPr>
                <w:rFonts w:eastAsia="Times New Roman" w:cs="Calibri"/>
                <w:kern w:val="0"/>
                <w:sz w:val="20"/>
                <w:szCs w:val="20"/>
                <w:lang w:eastAsia="pl-PL"/>
              </w:rPr>
              <w:t>207 348,13</w:t>
            </w:r>
          </w:p>
        </w:tc>
        <w:tc>
          <w:tcPr>
            <w:tcW w:w="1278" w:type="dxa"/>
            <w:shd w:val="clear" w:color="auto" w:fill="auto"/>
            <w:noWrap/>
            <w:vAlign w:val="center"/>
            <w:hideMark/>
          </w:tcPr>
          <w:p w:rsidR="003F2B0C" w:rsidRPr="00AD58E1" w:rsidRDefault="003F2B0C" w:rsidP="0084338D">
            <w:pPr>
              <w:spacing w:after="0" w:line="240" w:lineRule="auto"/>
              <w:jc w:val="center"/>
              <w:rPr>
                <w:rFonts w:eastAsia="Times New Roman" w:cs="Calibri"/>
                <w:kern w:val="0"/>
                <w:sz w:val="20"/>
                <w:szCs w:val="20"/>
                <w:lang w:eastAsia="pl-PL"/>
              </w:rPr>
            </w:pPr>
            <w:r w:rsidRPr="00AD58E1">
              <w:rPr>
                <w:rFonts w:eastAsia="Times New Roman" w:cs="Calibri"/>
                <w:kern w:val="0"/>
                <w:sz w:val="20"/>
                <w:szCs w:val="20"/>
                <w:lang w:eastAsia="pl-PL"/>
              </w:rPr>
              <w:t>222 254,95</w:t>
            </w:r>
          </w:p>
        </w:tc>
      </w:tr>
      <w:tr w:rsidR="003F2B0C" w:rsidRPr="00AD58E1" w:rsidTr="0084338D">
        <w:trPr>
          <w:trHeight w:val="18"/>
        </w:trPr>
        <w:tc>
          <w:tcPr>
            <w:tcW w:w="1591" w:type="dxa"/>
            <w:shd w:val="clear" w:color="auto" w:fill="auto"/>
            <w:vAlign w:val="center"/>
          </w:tcPr>
          <w:p w:rsidR="003F2B0C" w:rsidRPr="00AD58E1" w:rsidRDefault="003F2B0C" w:rsidP="0084338D">
            <w:pPr>
              <w:spacing w:after="0" w:line="240" w:lineRule="auto"/>
              <w:jc w:val="left"/>
              <w:rPr>
                <w:rFonts w:eastAsia="Times New Roman" w:cs="Calibri"/>
                <w:kern w:val="0"/>
                <w:sz w:val="20"/>
                <w:szCs w:val="20"/>
                <w:lang w:eastAsia="pl-PL"/>
              </w:rPr>
            </w:pPr>
            <w:r w:rsidRPr="003A44F4">
              <w:rPr>
                <w:rFonts w:eastAsia="Times New Roman" w:cs="Calibri"/>
                <w:kern w:val="0"/>
                <w:sz w:val="20"/>
                <w:szCs w:val="20"/>
                <w:lang w:eastAsia="pl-PL"/>
              </w:rPr>
              <w:t>Masa odpadów na 1 mieszkańca</w:t>
            </w:r>
          </w:p>
        </w:tc>
        <w:tc>
          <w:tcPr>
            <w:tcW w:w="1269" w:type="dxa"/>
            <w:shd w:val="clear" w:color="auto" w:fill="auto"/>
            <w:noWrap/>
            <w:vAlign w:val="center"/>
          </w:tcPr>
          <w:p w:rsidR="003F2B0C" w:rsidRPr="00AD58E1" w:rsidRDefault="003F2B0C" w:rsidP="0084338D">
            <w:pPr>
              <w:spacing w:after="0" w:line="240" w:lineRule="auto"/>
              <w:jc w:val="center"/>
              <w:rPr>
                <w:rFonts w:eastAsia="Times New Roman" w:cs="Calibri"/>
                <w:kern w:val="0"/>
                <w:sz w:val="20"/>
                <w:szCs w:val="20"/>
                <w:lang w:eastAsia="pl-PL"/>
              </w:rPr>
            </w:pPr>
            <w:r w:rsidRPr="00A546CD">
              <w:rPr>
                <w:rFonts w:eastAsia="Times New Roman" w:cs="Calibri"/>
                <w:kern w:val="0"/>
                <w:sz w:val="20"/>
                <w:szCs w:val="20"/>
                <w:lang w:eastAsia="pl-PL"/>
              </w:rPr>
              <w:t>0,12</w:t>
            </w:r>
          </w:p>
        </w:tc>
        <w:tc>
          <w:tcPr>
            <w:tcW w:w="1269" w:type="dxa"/>
            <w:shd w:val="clear" w:color="auto" w:fill="auto"/>
            <w:noWrap/>
            <w:vAlign w:val="center"/>
          </w:tcPr>
          <w:p w:rsidR="003F2B0C" w:rsidRPr="00AD58E1" w:rsidRDefault="003F2B0C" w:rsidP="0084338D">
            <w:pPr>
              <w:spacing w:after="0" w:line="240" w:lineRule="auto"/>
              <w:jc w:val="center"/>
              <w:rPr>
                <w:rFonts w:eastAsia="Times New Roman" w:cs="Calibri"/>
                <w:kern w:val="0"/>
                <w:sz w:val="20"/>
                <w:szCs w:val="20"/>
                <w:lang w:eastAsia="pl-PL"/>
              </w:rPr>
            </w:pPr>
            <w:r w:rsidRPr="00A546CD">
              <w:rPr>
                <w:rFonts w:eastAsia="Times New Roman" w:cs="Calibri"/>
                <w:kern w:val="0"/>
                <w:sz w:val="20"/>
                <w:szCs w:val="20"/>
                <w:lang w:eastAsia="pl-PL"/>
              </w:rPr>
              <w:t>0,13</w:t>
            </w:r>
          </w:p>
        </w:tc>
        <w:tc>
          <w:tcPr>
            <w:tcW w:w="1269" w:type="dxa"/>
            <w:shd w:val="clear" w:color="auto" w:fill="auto"/>
            <w:noWrap/>
            <w:vAlign w:val="center"/>
          </w:tcPr>
          <w:p w:rsidR="003F2B0C" w:rsidRPr="00AD58E1" w:rsidRDefault="003F2B0C" w:rsidP="0084338D">
            <w:pPr>
              <w:spacing w:after="0" w:line="240" w:lineRule="auto"/>
              <w:jc w:val="center"/>
              <w:rPr>
                <w:rFonts w:eastAsia="Times New Roman" w:cs="Calibri"/>
                <w:kern w:val="0"/>
                <w:sz w:val="20"/>
                <w:szCs w:val="20"/>
                <w:lang w:eastAsia="pl-PL"/>
              </w:rPr>
            </w:pPr>
            <w:r w:rsidRPr="00A546CD">
              <w:rPr>
                <w:rFonts w:eastAsia="Times New Roman" w:cs="Calibri"/>
                <w:kern w:val="0"/>
                <w:sz w:val="20"/>
                <w:szCs w:val="20"/>
                <w:lang w:eastAsia="pl-PL"/>
              </w:rPr>
              <w:t>0,15</w:t>
            </w:r>
          </w:p>
        </w:tc>
        <w:tc>
          <w:tcPr>
            <w:tcW w:w="1269" w:type="dxa"/>
            <w:shd w:val="clear" w:color="auto" w:fill="auto"/>
            <w:noWrap/>
            <w:vAlign w:val="center"/>
          </w:tcPr>
          <w:p w:rsidR="003F2B0C" w:rsidRPr="00AD58E1" w:rsidRDefault="003F2B0C" w:rsidP="0084338D">
            <w:pPr>
              <w:spacing w:after="0" w:line="240" w:lineRule="auto"/>
              <w:jc w:val="center"/>
              <w:rPr>
                <w:rFonts w:eastAsia="Times New Roman" w:cs="Calibri"/>
                <w:kern w:val="0"/>
                <w:sz w:val="20"/>
                <w:szCs w:val="20"/>
                <w:lang w:eastAsia="pl-PL"/>
              </w:rPr>
            </w:pPr>
            <w:r w:rsidRPr="00A546CD">
              <w:rPr>
                <w:rFonts w:eastAsia="Times New Roman" w:cs="Calibri"/>
                <w:kern w:val="0"/>
                <w:sz w:val="20"/>
                <w:szCs w:val="20"/>
                <w:lang w:eastAsia="pl-PL"/>
              </w:rPr>
              <w:t>0,18</w:t>
            </w:r>
          </w:p>
        </w:tc>
        <w:tc>
          <w:tcPr>
            <w:tcW w:w="1269" w:type="dxa"/>
            <w:shd w:val="clear" w:color="auto" w:fill="auto"/>
            <w:noWrap/>
            <w:vAlign w:val="center"/>
          </w:tcPr>
          <w:p w:rsidR="003F2B0C" w:rsidRPr="00AD58E1" w:rsidRDefault="003F2B0C" w:rsidP="0084338D">
            <w:pPr>
              <w:spacing w:after="0" w:line="240" w:lineRule="auto"/>
              <w:jc w:val="center"/>
              <w:rPr>
                <w:rFonts w:eastAsia="Times New Roman" w:cs="Calibri"/>
                <w:kern w:val="0"/>
                <w:sz w:val="20"/>
                <w:szCs w:val="20"/>
                <w:lang w:eastAsia="pl-PL"/>
              </w:rPr>
            </w:pPr>
            <w:r w:rsidRPr="00A546CD">
              <w:rPr>
                <w:rFonts w:eastAsia="Times New Roman" w:cs="Calibri"/>
                <w:kern w:val="0"/>
                <w:sz w:val="20"/>
                <w:szCs w:val="20"/>
                <w:lang w:eastAsia="pl-PL"/>
              </w:rPr>
              <w:t>0,19</w:t>
            </w:r>
          </w:p>
        </w:tc>
        <w:tc>
          <w:tcPr>
            <w:tcW w:w="1278" w:type="dxa"/>
            <w:shd w:val="clear" w:color="auto" w:fill="auto"/>
            <w:noWrap/>
            <w:vAlign w:val="center"/>
          </w:tcPr>
          <w:p w:rsidR="003F2B0C" w:rsidRPr="00AD58E1" w:rsidRDefault="003F2B0C" w:rsidP="0084338D">
            <w:pPr>
              <w:spacing w:after="0" w:line="240" w:lineRule="auto"/>
              <w:jc w:val="center"/>
              <w:rPr>
                <w:rFonts w:eastAsia="Times New Roman" w:cs="Calibri"/>
                <w:kern w:val="0"/>
                <w:sz w:val="20"/>
                <w:szCs w:val="20"/>
                <w:lang w:eastAsia="pl-PL"/>
              </w:rPr>
            </w:pPr>
            <w:r w:rsidRPr="00A546CD">
              <w:rPr>
                <w:rFonts w:eastAsia="Times New Roman" w:cs="Calibri"/>
                <w:kern w:val="0"/>
                <w:sz w:val="20"/>
                <w:szCs w:val="20"/>
                <w:lang w:eastAsia="pl-PL"/>
              </w:rPr>
              <w:t>0,20</w:t>
            </w:r>
          </w:p>
        </w:tc>
      </w:tr>
      <w:tr w:rsidR="003F2B0C" w:rsidRPr="00AD58E1" w:rsidTr="0084338D">
        <w:trPr>
          <w:trHeight w:val="18"/>
        </w:trPr>
        <w:tc>
          <w:tcPr>
            <w:tcW w:w="9214" w:type="dxa"/>
            <w:gridSpan w:val="7"/>
            <w:shd w:val="clear" w:color="auto" w:fill="FFC000"/>
            <w:noWrap/>
            <w:vAlign w:val="center"/>
            <w:hideMark/>
          </w:tcPr>
          <w:p w:rsidR="003F2B0C" w:rsidRPr="00AD58E1" w:rsidRDefault="003F2B0C" w:rsidP="0084338D">
            <w:pPr>
              <w:spacing w:after="0" w:line="240" w:lineRule="auto"/>
              <w:jc w:val="center"/>
              <w:rPr>
                <w:rFonts w:eastAsia="Times New Roman" w:cs="Calibri"/>
                <w:color w:val="000000"/>
                <w:kern w:val="0"/>
                <w:sz w:val="20"/>
                <w:szCs w:val="20"/>
                <w:lang w:eastAsia="pl-PL"/>
              </w:rPr>
            </w:pPr>
            <w:r w:rsidRPr="00AD58E1">
              <w:rPr>
                <w:rFonts w:eastAsia="Times New Roman" w:cs="Calibri"/>
                <w:color w:val="000000"/>
                <w:kern w:val="0"/>
                <w:sz w:val="20"/>
                <w:szCs w:val="20"/>
                <w:lang w:eastAsia="pl-PL"/>
              </w:rPr>
              <w:t>z gospodarstw domowych</w:t>
            </w:r>
          </w:p>
        </w:tc>
      </w:tr>
      <w:tr w:rsidR="003F2B0C" w:rsidRPr="00AD58E1" w:rsidTr="0084338D">
        <w:trPr>
          <w:trHeight w:val="18"/>
        </w:trPr>
        <w:tc>
          <w:tcPr>
            <w:tcW w:w="1591" w:type="dxa"/>
            <w:shd w:val="clear" w:color="auto" w:fill="auto"/>
            <w:vAlign w:val="center"/>
            <w:hideMark/>
          </w:tcPr>
          <w:p w:rsidR="003F2B0C" w:rsidRPr="00AD58E1" w:rsidRDefault="003F2B0C" w:rsidP="0084338D">
            <w:pPr>
              <w:spacing w:after="0" w:line="240" w:lineRule="auto"/>
              <w:jc w:val="left"/>
              <w:rPr>
                <w:rFonts w:eastAsia="Times New Roman" w:cs="Calibri"/>
                <w:kern w:val="0"/>
                <w:sz w:val="20"/>
                <w:szCs w:val="20"/>
                <w:lang w:eastAsia="pl-PL"/>
              </w:rPr>
            </w:pPr>
            <w:r w:rsidRPr="00AD58E1">
              <w:rPr>
                <w:rFonts w:eastAsia="Times New Roman" w:cs="Calibri"/>
                <w:kern w:val="0"/>
                <w:sz w:val="20"/>
                <w:szCs w:val="20"/>
                <w:lang w:eastAsia="pl-PL"/>
              </w:rPr>
              <w:t>Wrocławski obszar funkcjonalny</w:t>
            </w:r>
          </w:p>
        </w:tc>
        <w:tc>
          <w:tcPr>
            <w:tcW w:w="1269" w:type="dxa"/>
            <w:shd w:val="clear" w:color="auto" w:fill="auto"/>
            <w:noWrap/>
            <w:vAlign w:val="center"/>
            <w:hideMark/>
          </w:tcPr>
          <w:p w:rsidR="003F2B0C" w:rsidRPr="00AD58E1" w:rsidRDefault="003F2B0C" w:rsidP="0084338D">
            <w:pPr>
              <w:spacing w:after="0" w:line="240" w:lineRule="auto"/>
              <w:jc w:val="center"/>
              <w:rPr>
                <w:rFonts w:eastAsia="Times New Roman" w:cs="Calibri"/>
                <w:kern w:val="0"/>
                <w:sz w:val="20"/>
                <w:szCs w:val="20"/>
                <w:lang w:eastAsia="pl-PL"/>
              </w:rPr>
            </w:pPr>
            <w:r w:rsidRPr="00AD58E1">
              <w:rPr>
                <w:rFonts w:eastAsia="Times New Roman" w:cs="Calibri"/>
                <w:kern w:val="0"/>
                <w:sz w:val="20"/>
                <w:szCs w:val="20"/>
                <w:lang w:eastAsia="pl-PL"/>
              </w:rPr>
              <w:t>135 663,72</w:t>
            </w:r>
          </w:p>
        </w:tc>
        <w:tc>
          <w:tcPr>
            <w:tcW w:w="1269" w:type="dxa"/>
            <w:shd w:val="clear" w:color="auto" w:fill="auto"/>
            <w:noWrap/>
            <w:vAlign w:val="center"/>
            <w:hideMark/>
          </w:tcPr>
          <w:p w:rsidR="003F2B0C" w:rsidRPr="00AD58E1" w:rsidRDefault="003F2B0C" w:rsidP="0084338D">
            <w:pPr>
              <w:spacing w:after="0" w:line="240" w:lineRule="auto"/>
              <w:jc w:val="center"/>
              <w:rPr>
                <w:rFonts w:eastAsia="Times New Roman" w:cs="Calibri"/>
                <w:kern w:val="0"/>
                <w:sz w:val="20"/>
                <w:szCs w:val="20"/>
                <w:lang w:eastAsia="pl-PL"/>
              </w:rPr>
            </w:pPr>
            <w:r w:rsidRPr="00AD58E1">
              <w:rPr>
                <w:rFonts w:eastAsia="Times New Roman" w:cs="Calibri"/>
                <w:kern w:val="0"/>
                <w:sz w:val="20"/>
                <w:szCs w:val="20"/>
                <w:lang w:eastAsia="pl-PL"/>
              </w:rPr>
              <w:t>155 893,04</w:t>
            </w:r>
          </w:p>
        </w:tc>
        <w:tc>
          <w:tcPr>
            <w:tcW w:w="1269" w:type="dxa"/>
            <w:shd w:val="clear" w:color="auto" w:fill="auto"/>
            <w:noWrap/>
            <w:vAlign w:val="center"/>
            <w:hideMark/>
          </w:tcPr>
          <w:p w:rsidR="003F2B0C" w:rsidRPr="00AD58E1" w:rsidRDefault="003F2B0C" w:rsidP="0084338D">
            <w:pPr>
              <w:spacing w:after="0" w:line="240" w:lineRule="auto"/>
              <w:jc w:val="center"/>
              <w:rPr>
                <w:rFonts w:eastAsia="Times New Roman" w:cs="Calibri"/>
                <w:kern w:val="0"/>
                <w:sz w:val="20"/>
                <w:szCs w:val="20"/>
                <w:lang w:eastAsia="pl-PL"/>
              </w:rPr>
            </w:pPr>
            <w:r w:rsidRPr="00AD58E1">
              <w:rPr>
                <w:rFonts w:eastAsia="Times New Roman" w:cs="Calibri"/>
                <w:kern w:val="0"/>
                <w:sz w:val="20"/>
                <w:szCs w:val="20"/>
                <w:lang w:eastAsia="pl-PL"/>
              </w:rPr>
              <w:t>173 933,38</w:t>
            </w:r>
          </w:p>
        </w:tc>
        <w:tc>
          <w:tcPr>
            <w:tcW w:w="1269" w:type="dxa"/>
            <w:shd w:val="clear" w:color="auto" w:fill="auto"/>
            <w:noWrap/>
            <w:vAlign w:val="center"/>
            <w:hideMark/>
          </w:tcPr>
          <w:p w:rsidR="003F2B0C" w:rsidRPr="00AD58E1" w:rsidRDefault="003F2B0C" w:rsidP="0084338D">
            <w:pPr>
              <w:spacing w:after="0" w:line="240" w:lineRule="auto"/>
              <w:jc w:val="center"/>
              <w:rPr>
                <w:rFonts w:eastAsia="Times New Roman" w:cs="Calibri"/>
                <w:kern w:val="0"/>
                <w:sz w:val="20"/>
                <w:szCs w:val="20"/>
                <w:lang w:eastAsia="pl-PL"/>
              </w:rPr>
            </w:pPr>
            <w:r w:rsidRPr="00AD58E1">
              <w:rPr>
                <w:rFonts w:eastAsia="Times New Roman" w:cs="Calibri"/>
                <w:kern w:val="0"/>
                <w:sz w:val="20"/>
                <w:szCs w:val="20"/>
                <w:lang w:eastAsia="pl-PL"/>
              </w:rPr>
              <w:t>198 529,86</w:t>
            </w:r>
          </w:p>
        </w:tc>
        <w:tc>
          <w:tcPr>
            <w:tcW w:w="1269" w:type="dxa"/>
            <w:shd w:val="clear" w:color="auto" w:fill="auto"/>
            <w:noWrap/>
            <w:vAlign w:val="center"/>
            <w:hideMark/>
          </w:tcPr>
          <w:p w:rsidR="003F2B0C" w:rsidRPr="00AD58E1" w:rsidRDefault="003F2B0C" w:rsidP="0084338D">
            <w:pPr>
              <w:spacing w:after="0" w:line="240" w:lineRule="auto"/>
              <w:jc w:val="center"/>
              <w:rPr>
                <w:rFonts w:eastAsia="Times New Roman" w:cs="Calibri"/>
                <w:kern w:val="0"/>
                <w:sz w:val="20"/>
                <w:szCs w:val="20"/>
                <w:lang w:eastAsia="pl-PL"/>
              </w:rPr>
            </w:pPr>
            <w:r w:rsidRPr="00AD58E1">
              <w:rPr>
                <w:rFonts w:eastAsia="Times New Roman" w:cs="Calibri"/>
                <w:kern w:val="0"/>
                <w:sz w:val="20"/>
                <w:szCs w:val="20"/>
                <w:lang w:eastAsia="pl-PL"/>
              </w:rPr>
              <w:t>200 479,32</w:t>
            </w:r>
          </w:p>
        </w:tc>
        <w:tc>
          <w:tcPr>
            <w:tcW w:w="1278" w:type="dxa"/>
            <w:shd w:val="clear" w:color="auto" w:fill="auto"/>
            <w:noWrap/>
            <w:vAlign w:val="center"/>
            <w:hideMark/>
          </w:tcPr>
          <w:p w:rsidR="003F2B0C" w:rsidRPr="00AD58E1" w:rsidRDefault="003F2B0C" w:rsidP="0084338D">
            <w:pPr>
              <w:spacing w:after="0" w:line="240" w:lineRule="auto"/>
              <w:jc w:val="center"/>
              <w:rPr>
                <w:rFonts w:eastAsia="Times New Roman" w:cs="Calibri"/>
                <w:kern w:val="0"/>
                <w:sz w:val="20"/>
                <w:szCs w:val="20"/>
                <w:lang w:eastAsia="pl-PL"/>
              </w:rPr>
            </w:pPr>
            <w:r w:rsidRPr="00AD58E1">
              <w:rPr>
                <w:rFonts w:eastAsia="Times New Roman" w:cs="Calibri"/>
                <w:kern w:val="0"/>
                <w:sz w:val="20"/>
                <w:szCs w:val="20"/>
                <w:lang w:eastAsia="pl-PL"/>
              </w:rPr>
              <w:t>184 093,30</w:t>
            </w:r>
          </w:p>
        </w:tc>
      </w:tr>
      <w:tr w:rsidR="003F2B0C" w:rsidRPr="00AD58E1" w:rsidTr="0084338D">
        <w:trPr>
          <w:trHeight w:val="18"/>
        </w:trPr>
        <w:tc>
          <w:tcPr>
            <w:tcW w:w="1591" w:type="dxa"/>
            <w:shd w:val="clear" w:color="auto" w:fill="auto"/>
            <w:vAlign w:val="center"/>
            <w:hideMark/>
          </w:tcPr>
          <w:p w:rsidR="003F2B0C" w:rsidRPr="00AD58E1" w:rsidRDefault="003F2B0C" w:rsidP="0084338D">
            <w:pPr>
              <w:spacing w:after="0" w:line="240" w:lineRule="auto"/>
              <w:jc w:val="left"/>
              <w:rPr>
                <w:rFonts w:eastAsia="Times New Roman" w:cs="Calibri"/>
                <w:kern w:val="0"/>
                <w:sz w:val="20"/>
                <w:szCs w:val="20"/>
                <w:lang w:eastAsia="pl-PL"/>
              </w:rPr>
            </w:pPr>
            <w:r w:rsidRPr="00AD58E1">
              <w:rPr>
                <w:rFonts w:eastAsia="Times New Roman" w:cs="Calibri"/>
                <w:kern w:val="0"/>
                <w:sz w:val="20"/>
                <w:szCs w:val="20"/>
                <w:lang w:eastAsia="pl-PL"/>
              </w:rPr>
              <w:t>Metropolia Krakowska</w:t>
            </w:r>
          </w:p>
        </w:tc>
        <w:tc>
          <w:tcPr>
            <w:tcW w:w="1269" w:type="dxa"/>
            <w:shd w:val="clear" w:color="auto" w:fill="auto"/>
            <w:noWrap/>
            <w:vAlign w:val="center"/>
            <w:hideMark/>
          </w:tcPr>
          <w:p w:rsidR="003F2B0C" w:rsidRPr="00AD58E1" w:rsidRDefault="003F2B0C" w:rsidP="0084338D">
            <w:pPr>
              <w:spacing w:after="0" w:line="240" w:lineRule="auto"/>
              <w:jc w:val="center"/>
              <w:rPr>
                <w:rFonts w:eastAsia="Times New Roman" w:cs="Calibri"/>
                <w:kern w:val="0"/>
                <w:sz w:val="20"/>
                <w:szCs w:val="20"/>
                <w:lang w:eastAsia="pl-PL"/>
              </w:rPr>
            </w:pPr>
            <w:r w:rsidRPr="00AD58E1">
              <w:rPr>
                <w:rFonts w:eastAsia="Times New Roman" w:cs="Calibri"/>
                <w:kern w:val="0"/>
                <w:sz w:val="20"/>
                <w:szCs w:val="20"/>
                <w:lang w:eastAsia="pl-PL"/>
              </w:rPr>
              <w:t>159 224,26</w:t>
            </w:r>
          </w:p>
        </w:tc>
        <w:tc>
          <w:tcPr>
            <w:tcW w:w="1269" w:type="dxa"/>
            <w:shd w:val="clear" w:color="auto" w:fill="auto"/>
            <w:noWrap/>
            <w:vAlign w:val="center"/>
            <w:hideMark/>
          </w:tcPr>
          <w:p w:rsidR="003F2B0C" w:rsidRPr="00AD58E1" w:rsidRDefault="003F2B0C" w:rsidP="0084338D">
            <w:pPr>
              <w:spacing w:after="0" w:line="240" w:lineRule="auto"/>
              <w:jc w:val="center"/>
              <w:rPr>
                <w:rFonts w:eastAsia="Times New Roman" w:cs="Calibri"/>
                <w:kern w:val="0"/>
                <w:sz w:val="20"/>
                <w:szCs w:val="20"/>
                <w:lang w:eastAsia="pl-PL"/>
              </w:rPr>
            </w:pPr>
            <w:r w:rsidRPr="00AD58E1">
              <w:rPr>
                <w:rFonts w:eastAsia="Times New Roman" w:cs="Calibri"/>
                <w:kern w:val="0"/>
                <w:sz w:val="20"/>
                <w:szCs w:val="20"/>
                <w:lang w:eastAsia="pl-PL"/>
              </w:rPr>
              <w:t>142 546,12</w:t>
            </w:r>
          </w:p>
        </w:tc>
        <w:tc>
          <w:tcPr>
            <w:tcW w:w="1269" w:type="dxa"/>
            <w:shd w:val="clear" w:color="auto" w:fill="auto"/>
            <w:noWrap/>
            <w:vAlign w:val="center"/>
            <w:hideMark/>
          </w:tcPr>
          <w:p w:rsidR="003F2B0C" w:rsidRPr="00AD58E1" w:rsidRDefault="003F2B0C" w:rsidP="0084338D">
            <w:pPr>
              <w:spacing w:after="0" w:line="240" w:lineRule="auto"/>
              <w:jc w:val="center"/>
              <w:rPr>
                <w:rFonts w:eastAsia="Times New Roman" w:cs="Calibri"/>
                <w:kern w:val="0"/>
                <w:sz w:val="20"/>
                <w:szCs w:val="20"/>
                <w:lang w:eastAsia="pl-PL"/>
              </w:rPr>
            </w:pPr>
            <w:r w:rsidRPr="00AD58E1">
              <w:rPr>
                <w:rFonts w:eastAsia="Times New Roman" w:cs="Calibri"/>
                <w:kern w:val="0"/>
                <w:sz w:val="20"/>
                <w:szCs w:val="20"/>
                <w:lang w:eastAsia="pl-PL"/>
              </w:rPr>
              <w:t>198 614,35</w:t>
            </w:r>
          </w:p>
        </w:tc>
        <w:tc>
          <w:tcPr>
            <w:tcW w:w="1269" w:type="dxa"/>
            <w:shd w:val="clear" w:color="auto" w:fill="auto"/>
            <w:noWrap/>
            <w:vAlign w:val="center"/>
            <w:hideMark/>
          </w:tcPr>
          <w:p w:rsidR="003F2B0C" w:rsidRPr="00AD58E1" w:rsidRDefault="003F2B0C" w:rsidP="0084338D">
            <w:pPr>
              <w:spacing w:after="0" w:line="240" w:lineRule="auto"/>
              <w:jc w:val="center"/>
              <w:rPr>
                <w:rFonts w:eastAsia="Times New Roman" w:cs="Calibri"/>
                <w:kern w:val="0"/>
                <w:sz w:val="20"/>
                <w:szCs w:val="20"/>
                <w:lang w:eastAsia="pl-PL"/>
              </w:rPr>
            </w:pPr>
            <w:r w:rsidRPr="00AD58E1">
              <w:rPr>
                <w:rFonts w:eastAsia="Times New Roman" w:cs="Calibri"/>
                <w:kern w:val="0"/>
                <w:sz w:val="20"/>
                <w:szCs w:val="20"/>
                <w:lang w:eastAsia="pl-PL"/>
              </w:rPr>
              <w:t>214 021,83</w:t>
            </w:r>
          </w:p>
        </w:tc>
        <w:tc>
          <w:tcPr>
            <w:tcW w:w="1269" w:type="dxa"/>
            <w:shd w:val="clear" w:color="auto" w:fill="auto"/>
            <w:noWrap/>
            <w:vAlign w:val="center"/>
            <w:hideMark/>
          </w:tcPr>
          <w:p w:rsidR="003F2B0C" w:rsidRPr="00AD58E1" w:rsidRDefault="003F2B0C" w:rsidP="0084338D">
            <w:pPr>
              <w:spacing w:after="0" w:line="240" w:lineRule="auto"/>
              <w:jc w:val="center"/>
              <w:rPr>
                <w:rFonts w:eastAsia="Times New Roman" w:cs="Calibri"/>
                <w:kern w:val="0"/>
                <w:sz w:val="20"/>
                <w:szCs w:val="20"/>
                <w:lang w:eastAsia="pl-PL"/>
              </w:rPr>
            </w:pPr>
            <w:r w:rsidRPr="00AD58E1">
              <w:rPr>
                <w:rFonts w:eastAsia="Times New Roman" w:cs="Calibri"/>
                <w:kern w:val="0"/>
                <w:sz w:val="20"/>
                <w:szCs w:val="20"/>
                <w:lang w:eastAsia="pl-PL"/>
              </w:rPr>
              <w:t>231 492,22</w:t>
            </w:r>
          </w:p>
        </w:tc>
        <w:tc>
          <w:tcPr>
            <w:tcW w:w="1278" w:type="dxa"/>
            <w:shd w:val="clear" w:color="auto" w:fill="auto"/>
            <w:noWrap/>
            <w:vAlign w:val="center"/>
            <w:hideMark/>
          </w:tcPr>
          <w:p w:rsidR="003F2B0C" w:rsidRPr="00AD58E1" w:rsidRDefault="003F2B0C" w:rsidP="0084338D">
            <w:pPr>
              <w:spacing w:after="0" w:line="240" w:lineRule="auto"/>
              <w:jc w:val="center"/>
              <w:rPr>
                <w:rFonts w:eastAsia="Times New Roman" w:cs="Calibri"/>
                <w:kern w:val="0"/>
                <w:sz w:val="20"/>
                <w:szCs w:val="20"/>
                <w:lang w:eastAsia="pl-PL"/>
              </w:rPr>
            </w:pPr>
            <w:r w:rsidRPr="00AD58E1">
              <w:rPr>
                <w:rFonts w:eastAsia="Times New Roman" w:cs="Calibri"/>
                <w:kern w:val="0"/>
                <w:sz w:val="20"/>
                <w:szCs w:val="20"/>
                <w:lang w:eastAsia="pl-PL"/>
              </w:rPr>
              <w:t>244 011,70</w:t>
            </w:r>
          </w:p>
        </w:tc>
      </w:tr>
      <w:tr w:rsidR="003F2B0C" w:rsidRPr="00D83147" w:rsidTr="0084338D">
        <w:trPr>
          <w:trHeight w:val="18"/>
        </w:trPr>
        <w:tc>
          <w:tcPr>
            <w:tcW w:w="1591" w:type="dxa"/>
            <w:shd w:val="clear" w:color="auto" w:fill="auto"/>
            <w:vAlign w:val="center"/>
            <w:hideMark/>
          </w:tcPr>
          <w:p w:rsidR="003F2B0C" w:rsidRPr="00D83147" w:rsidRDefault="003F2B0C" w:rsidP="0084338D">
            <w:pPr>
              <w:spacing w:line="276" w:lineRule="auto"/>
              <w:rPr>
                <w:iCs/>
                <w:color w:val="363735" w:themeColor="accent3"/>
                <w:sz w:val="20"/>
                <w:szCs w:val="18"/>
              </w:rPr>
            </w:pPr>
            <w:r w:rsidRPr="00D83147">
              <w:rPr>
                <w:iCs/>
                <w:color w:val="363735" w:themeColor="accent3"/>
                <w:sz w:val="20"/>
                <w:szCs w:val="18"/>
              </w:rPr>
              <w:t>Metropolia Poznań</w:t>
            </w:r>
          </w:p>
        </w:tc>
        <w:tc>
          <w:tcPr>
            <w:tcW w:w="1269" w:type="dxa"/>
            <w:shd w:val="clear" w:color="auto" w:fill="auto"/>
            <w:noWrap/>
            <w:vAlign w:val="center"/>
            <w:hideMark/>
          </w:tcPr>
          <w:p w:rsidR="003F2B0C" w:rsidRPr="00D83147" w:rsidRDefault="003F2B0C" w:rsidP="0084338D">
            <w:pPr>
              <w:spacing w:line="276" w:lineRule="auto"/>
              <w:rPr>
                <w:iCs/>
                <w:color w:val="363735" w:themeColor="accent3"/>
                <w:sz w:val="20"/>
                <w:szCs w:val="18"/>
              </w:rPr>
            </w:pPr>
            <w:r w:rsidRPr="00D83147">
              <w:rPr>
                <w:iCs/>
                <w:color w:val="363735" w:themeColor="accent3"/>
                <w:sz w:val="20"/>
                <w:szCs w:val="18"/>
              </w:rPr>
              <w:t>112 088,05</w:t>
            </w:r>
          </w:p>
        </w:tc>
        <w:tc>
          <w:tcPr>
            <w:tcW w:w="1269" w:type="dxa"/>
            <w:shd w:val="clear" w:color="auto" w:fill="auto"/>
            <w:noWrap/>
            <w:vAlign w:val="center"/>
            <w:hideMark/>
          </w:tcPr>
          <w:p w:rsidR="003F2B0C" w:rsidRPr="00D83147" w:rsidRDefault="003F2B0C" w:rsidP="0084338D">
            <w:pPr>
              <w:spacing w:line="276" w:lineRule="auto"/>
              <w:rPr>
                <w:iCs/>
                <w:color w:val="363735" w:themeColor="accent3"/>
                <w:sz w:val="20"/>
                <w:szCs w:val="18"/>
              </w:rPr>
            </w:pPr>
            <w:r w:rsidRPr="00D83147">
              <w:rPr>
                <w:iCs/>
                <w:color w:val="363735" w:themeColor="accent3"/>
                <w:sz w:val="20"/>
                <w:szCs w:val="18"/>
              </w:rPr>
              <w:t>122 759,89</w:t>
            </w:r>
          </w:p>
        </w:tc>
        <w:tc>
          <w:tcPr>
            <w:tcW w:w="1269" w:type="dxa"/>
            <w:shd w:val="clear" w:color="auto" w:fill="auto"/>
            <w:noWrap/>
            <w:vAlign w:val="center"/>
            <w:hideMark/>
          </w:tcPr>
          <w:p w:rsidR="003F2B0C" w:rsidRPr="00D83147" w:rsidRDefault="003F2B0C" w:rsidP="0084338D">
            <w:pPr>
              <w:spacing w:line="276" w:lineRule="auto"/>
              <w:rPr>
                <w:iCs/>
                <w:color w:val="363735" w:themeColor="accent3"/>
                <w:sz w:val="20"/>
                <w:szCs w:val="18"/>
              </w:rPr>
            </w:pPr>
            <w:r w:rsidRPr="00D83147">
              <w:rPr>
                <w:iCs/>
                <w:color w:val="363735" w:themeColor="accent3"/>
                <w:sz w:val="20"/>
                <w:szCs w:val="18"/>
              </w:rPr>
              <w:t>144 446,53</w:t>
            </w:r>
          </w:p>
        </w:tc>
        <w:tc>
          <w:tcPr>
            <w:tcW w:w="1269" w:type="dxa"/>
            <w:shd w:val="clear" w:color="auto" w:fill="auto"/>
            <w:noWrap/>
            <w:vAlign w:val="center"/>
            <w:hideMark/>
          </w:tcPr>
          <w:p w:rsidR="003F2B0C" w:rsidRPr="00D83147" w:rsidRDefault="003F2B0C" w:rsidP="0084338D">
            <w:pPr>
              <w:spacing w:line="276" w:lineRule="auto"/>
              <w:rPr>
                <w:iCs/>
                <w:color w:val="363735" w:themeColor="accent3"/>
                <w:sz w:val="20"/>
                <w:szCs w:val="18"/>
              </w:rPr>
            </w:pPr>
            <w:r w:rsidRPr="00D83147">
              <w:rPr>
                <w:iCs/>
                <w:color w:val="363735" w:themeColor="accent3"/>
                <w:sz w:val="20"/>
                <w:szCs w:val="18"/>
              </w:rPr>
              <w:t>175 297,79</w:t>
            </w:r>
          </w:p>
        </w:tc>
        <w:tc>
          <w:tcPr>
            <w:tcW w:w="1269" w:type="dxa"/>
            <w:shd w:val="clear" w:color="auto" w:fill="auto"/>
            <w:noWrap/>
            <w:vAlign w:val="center"/>
            <w:hideMark/>
          </w:tcPr>
          <w:p w:rsidR="003F2B0C" w:rsidRPr="00D83147" w:rsidRDefault="003F2B0C" w:rsidP="0084338D">
            <w:pPr>
              <w:spacing w:line="276" w:lineRule="auto"/>
              <w:rPr>
                <w:iCs/>
                <w:color w:val="363735" w:themeColor="accent3"/>
                <w:sz w:val="20"/>
                <w:szCs w:val="18"/>
              </w:rPr>
            </w:pPr>
            <w:r w:rsidRPr="00D83147">
              <w:rPr>
                <w:iCs/>
                <w:color w:val="363735" w:themeColor="accent3"/>
                <w:sz w:val="20"/>
                <w:szCs w:val="18"/>
              </w:rPr>
              <w:t>187 037,01</w:t>
            </w:r>
          </w:p>
        </w:tc>
        <w:tc>
          <w:tcPr>
            <w:tcW w:w="1278" w:type="dxa"/>
            <w:shd w:val="clear" w:color="auto" w:fill="auto"/>
            <w:noWrap/>
            <w:vAlign w:val="center"/>
            <w:hideMark/>
          </w:tcPr>
          <w:p w:rsidR="003F2B0C" w:rsidRPr="00D83147" w:rsidRDefault="003F2B0C" w:rsidP="0084338D">
            <w:pPr>
              <w:spacing w:line="276" w:lineRule="auto"/>
              <w:rPr>
                <w:iCs/>
                <w:color w:val="363735" w:themeColor="accent3"/>
                <w:sz w:val="20"/>
                <w:szCs w:val="18"/>
              </w:rPr>
            </w:pPr>
            <w:r w:rsidRPr="00D83147">
              <w:rPr>
                <w:iCs/>
                <w:color w:val="363735" w:themeColor="accent3"/>
                <w:sz w:val="20"/>
                <w:szCs w:val="18"/>
              </w:rPr>
              <w:t>201 814,83</w:t>
            </w:r>
          </w:p>
        </w:tc>
      </w:tr>
    </w:tbl>
    <w:p w:rsidR="003F2B0C" w:rsidRPr="00D83147" w:rsidRDefault="003F2B0C" w:rsidP="003F2B0C">
      <w:pPr>
        <w:spacing w:line="276" w:lineRule="auto"/>
        <w:rPr>
          <w:iCs/>
          <w:color w:val="363735" w:themeColor="accent3"/>
          <w:sz w:val="20"/>
          <w:szCs w:val="18"/>
        </w:rPr>
      </w:pPr>
      <w:r w:rsidRPr="00D83147">
        <w:rPr>
          <w:iCs/>
          <w:color w:val="363735" w:themeColor="accent3"/>
          <w:sz w:val="20"/>
          <w:szCs w:val="18"/>
        </w:rPr>
        <w:t xml:space="preserve">Źródło: opracowanie własne na podstawie danych GUS BDL, </w:t>
      </w:r>
      <w:r>
        <w:rPr>
          <w:iCs/>
          <w:color w:val="363735" w:themeColor="accent3"/>
          <w:sz w:val="20"/>
          <w:szCs w:val="18"/>
        </w:rPr>
        <w:t xml:space="preserve">dostęp </w:t>
      </w:r>
      <w:r w:rsidRPr="00D83147">
        <w:rPr>
          <w:iCs/>
          <w:color w:val="363735" w:themeColor="accent3"/>
          <w:sz w:val="20"/>
          <w:szCs w:val="18"/>
        </w:rPr>
        <w:t>30.01.2025</w:t>
      </w:r>
    </w:p>
    <w:p w:rsidR="003F2B0C" w:rsidRDefault="003F2B0C" w:rsidP="003F2B0C">
      <w:r w:rsidRPr="00C303FD">
        <w:t xml:space="preserve">Ze względu na dostępność danych udostępnianych przez Urząd Statystyczny Wolnego Kraju Saksonii, możliwe jest podanie jedynie danych dla obszaru miasta Drezna i według dostępnych danych statystycznych w 2023 roku z samego Drezna zebrano </w:t>
      </w:r>
      <w:r>
        <w:rPr>
          <w:rFonts w:ascii="Arial" w:hAnsi="Arial" w:cs="Arial"/>
          <w:color w:val="000000"/>
          <w:shd w:val="clear" w:color="auto" w:fill="FFFFFF"/>
        </w:rPr>
        <w:t>76 847</w:t>
      </w:r>
      <w:r w:rsidRPr="00C303FD">
        <w:t xml:space="preserve"> ton odpadó</w:t>
      </w:r>
      <w:r>
        <w:t>w</w:t>
      </w:r>
      <w:r w:rsidRPr="00C303FD">
        <w:t xml:space="preserve"> zbieranych selektywnie z gospodarstw domowych</w:t>
      </w:r>
      <w:r>
        <w:rPr>
          <w:rStyle w:val="Odwoanieprzypisudolnego"/>
        </w:rPr>
        <w:footnoteReference w:id="24"/>
      </w:r>
      <w:r w:rsidRPr="00C303FD">
        <w:t xml:space="preserve">. </w:t>
      </w:r>
      <w:r>
        <w:t xml:space="preserve">W przeliczeniu na 1 mieszkańca tych odpadów w 2023 roku zebrano 0,10 t. Zdecydowanie mniej niż w przypadku polskich obszarów funkcjonalnych. </w:t>
      </w:r>
    </w:p>
    <w:p w:rsidR="003F2B0C" w:rsidRDefault="003F2B0C" w:rsidP="003F2B0C">
      <w:r>
        <w:t>W przypadku Brneńskiego Obszaru Metropolitalnego, w dostępnych danych prezentowany jest  podział na:</w:t>
      </w:r>
    </w:p>
    <w:p w:rsidR="003F2B0C" w:rsidRDefault="003F2B0C" w:rsidP="003F2B0C">
      <w:pPr>
        <w:pStyle w:val="Akapitzlist"/>
        <w:numPr>
          <w:ilvl w:val="0"/>
          <w:numId w:val="42"/>
        </w:numPr>
      </w:pPr>
      <w:r>
        <w:t>odpady budowlane i rozbiórkowe - 210 918,29 ton (na 1 mieszkańca przypada 0,29 t)</w:t>
      </w:r>
    </w:p>
    <w:p w:rsidR="003F2B0C" w:rsidRDefault="003F2B0C" w:rsidP="003F2B0C">
      <w:pPr>
        <w:pStyle w:val="Akapitzlist"/>
        <w:numPr>
          <w:ilvl w:val="0"/>
          <w:numId w:val="42"/>
        </w:numPr>
      </w:pPr>
      <w:r>
        <w:t>odpady z zakładów utylizacji odpadów, oczyszczalni ścieków oraz produkcji wody dla ludzi i przemysłu - 154 306,60 ton (na 1 mieszkańca przypada 0,21 t)</w:t>
      </w:r>
    </w:p>
    <w:p w:rsidR="003F2B0C" w:rsidRDefault="003F2B0C" w:rsidP="003F2B0C">
      <w:pPr>
        <w:pStyle w:val="Akapitzlist"/>
        <w:numPr>
          <w:ilvl w:val="0"/>
          <w:numId w:val="42"/>
        </w:numPr>
      </w:pPr>
      <w:r>
        <w:lastRenderedPageBreak/>
        <w:t>odpady z procesów termicznych - 74 837,32 ton (na 1 mieszkańca przypada 0,10 t)</w:t>
      </w:r>
    </w:p>
    <w:p w:rsidR="003F2B0C" w:rsidRDefault="003F2B0C" w:rsidP="003F2B0C">
      <w:pPr>
        <w:pStyle w:val="Akapitzlist"/>
        <w:numPr>
          <w:ilvl w:val="0"/>
          <w:numId w:val="42"/>
        </w:numPr>
      </w:pPr>
      <w:r>
        <w:t>odpady z mechanicznej obróbki metali i tworzyw sztucznych - 36 758,70 ton (na 1 mieszkańca przypada 0,05 t)</w:t>
      </w:r>
    </w:p>
    <w:p w:rsidR="003F2B0C" w:rsidRPr="00C303FD" w:rsidRDefault="003F2B0C" w:rsidP="003F2B0C"/>
    <w:p w:rsidR="003F2B0C" w:rsidRDefault="003F2B0C" w:rsidP="003F2B0C">
      <w:pPr>
        <w:rPr>
          <w:b/>
          <w:bCs/>
        </w:rPr>
      </w:pPr>
      <w:r w:rsidRPr="00776BD6">
        <w:rPr>
          <w:b/>
          <w:bCs/>
        </w:rPr>
        <w:t>8.Wypoczynek i rekreacja (turystyka, czas wolny)</w:t>
      </w:r>
    </w:p>
    <w:p w:rsidR="003F2B0C" w:rsidRDefault="003F2B0C" w:rsidP="003F2B0C">
      <w:r>
        <w:t>Ze względu na różną dostępność danych w polskich i europejskich obszarach funkcjonalnych polskie obszary funkcjonalne zestawiono ze sobą analizując powszechnie dostępne dane statystyczne, a następnie scharakteryzowano zasoby wszystkich obszarów w części opisowej.</w:t>
      </w:r>
    </w:p>
    <w:p w:rsidR="003F2B0C" w:rsidRPr="00D83147" w:rsidRDefault="003F2B0C" w:rsidP="003F2B0C">
      <w:r w:rsidRPr="000922EF">
        <w:t>W zestawieniu obiektów turystycznych i miejsc noclegowych według dostępnych danych na koniec roku 2023 najwi</w:t>
      </w:r>
      <w:r>
        <w:t>ę</w:t>
      </w:r>
      <w:r w:rsidRPr="000922EF">
        <w:t xml:space="preserve">cej </w:t>
      </w:r>
      <w:r>
        <w:t xml:space="preserve">obiektów i miejsc </w:t>
      </w:r>
      <w:r w:rsidRPr="000922EF">
        <w:t xml:space="preserve">noclegowych odnotowano w Metropolii </w:t>
      </w:r>
      <w:r>
        <w:t xml:space="preserve">Kraków (odpowiednio 293 i 35 023), przy czym zaznaczyć trzeba, że dane dla Metropolii Krakowskiej były dostępne tylko dla gmin Kraków, Kocmyrzów-Luborzyca, Liszki, Michałowice, Skawina, Wielka Wieś, Zabierzów, Zielonki, Biskupice, Niepołomice, Wieliczka). We Wrocławskim Obszarze Funkcjonalnym obiektów noclegowych odnotowano 136, natomiast miejsc noclegowych 17 607. </w:t>
      </w:r>
    </w:p>
    <w:p w:rsidR="003F2B0C" w:rsidRDefault="003F2B0C" w:rsidP="003F2B0C">
      <w:pPr>
        <w:pStyle w:val="Legenda"/>
        <w:rPr>
          <w:b/>
          <w:bCs/>
          <w:color w:val="FFC000"/>
        </w:rPr>
      </w:pPr>
      <w:bookmarkStart w:id="124" w:name="_Toc196867080"/>
      <w:bookmarkStart w:id="125" w:name="_Toc196905093"/>
      <w:r>
        <w:t xml:space="preserve">Tabela </w:t>
      </w:r>
      <w:fldSimple w:instr=" SEQ Tabela \* ARABIC ">
        <w:r w:rsidR="0084338D">
          <w:rPr>
            <w:noProof/>
          </w:rPr>
          <w:t>29</w:t>
        </w:r>
      </w:fldSimple>
      <w:r>
        <w:t xml:space="preserve">. </w:t>
      </w:r>
      <w:r w:rsidRPr="000922EF">
        <w:t>Turystyczne obiekty noclegowe</w:t>
      </w:r>
      <w:r>
        <w:t xml:space="preserve"> i miejsca noclegowe w latach 2018-2023</w:t>
      </w:r>
      <w:bookmarkEnd w:id="124"/>
      <w:bookmarkEnd w:id="125"/>
    </w:p>
    <w:tbl>
      <w:tblPr>
        <w:tblW w:w="9044" w:type="dxa"/>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CellMar>
          <w:left w:w="70" w:type="dxa"/>
          <w:right w:w="70" w:type="dxa"/>
        </w:tblCellMar>
        <w:tblLook w:val="04A0"/>
      </w:tblPr>
      <w:tblGrid>
        <w:gridCol w:w="2296"/>
        <w:gridCol w:w="1124"/>
        <w:gridCol w:w="1124"/>
        <w:gridCol w:w="1124"/>
        <w:gridCol w:w="1124"/>
        <w:gridCol w:w="1124"/>
        <w:gridCol w:w="1128"/>
      </w:tblGrid>
      <w:tr w:rsidR="003F2B0C" w:rsidRPr="000922EF" w:rsidTr="0084338D">
        <w:trPr>
          <w:trHeight w:val="298"/>
        </w:trPr>
        <w:tc>
          <w:tcPr>
            <w:tcW w:w="2296" w:type="dxa"/>
            <w:shd w:val="clear" w:color="auto" w:fill="FFC000"/>
            <w:noWrap/>
            <w:vAlign w:val="bottom"/>
            <w:hideMark/>
          </w:tcPr>
          <w:p w:rsidR="003F2B0C" w:rsidRPr="000922EF" w:rsidRDefault="003F2B0C" w:rsidP="0084338D">
            <w:pPr>
              <w:spacing w:after="0" w:line="240" w:lineRule="auto"/>
              <w:jc w:val="left"/>
              <w:rPr>
                <w:rFonts w:eastAsia="Times New Roman" w:cs="Times New Roman"/>
                <w:kern w:val="0"/>
                <w:sz w:val="20"/>
                <w:szCs w:val="20"/>
                <w:lang w:eastAsia="pl-PL"/>
              </w:rPr>
            </w:pPr>
          </w:p>
        </w:tc>
        <w:tc>
          <w:tcPr>
            <w:tcW w:w="1124" w:type="dxa"/>
            <w:shd w:val="clear" w:color="auto" w:fill="FFC000"/>
            <w:vAlign w:val="center"/>
            <w:hideMark/>
          </w:tcPr>
          <w:p w:rsidR="003F2B0C" w:rsidRPr="000922EF" w:rsidRDefault="003F2B0C" w:rsidP="0084338D">
            <w:pPr>
              <w:spacing w:after="0" w:line="240" w:lineRule="auto"/>
              <w:jc w:val="center"/>
              <w:rPr>
                <w:rFonts w:eastAsia="Times New Roman" w:cs="Calibri"/>
                <w:color w:val="000000"/>
                <w:kern w:val="0"/>
                <w:sz w:val="20"/>
                <w:szCs w:val="20"/>
                <w:lang w:eastAsia="pl-PL"/>
              </w:rPr>
            </w:pPr>
            <w:r w:rsidRPr="000922EF">
              <w:rPr>
                <w:rFonts w:eastAsia="Times New Roman" w:cs="Calibri"/>
                <w:color w:val="000000"/>
                <w:kern w:val="0"/>
                <w:sz w:val="20"/>
                <w:szCs w:val="20"/>
                <w:lang w:eastAsia="pl-PL"/>
              </w:rPr>
              <w:t>2018</w:t>
            </w:r>
          </w:p>
        </w:tc>
        <w:tc>
          <w:tcPr>
            <w:tcW w:w="1124" w:type="dxa"/>
            <w:shd w:val="clear" w:color="auto" w:fill="FFC000"/>
            <w:vAlign w:val="center"/>
            <w:hideMark/>
          </w:tcPr>
          <w:p w:rsidR="003F2B0C" w:rsidRPr="000922EF" w:rsidRDefault="003F2B0C" w:rsidP="0084338D">
            <w:pPr>
              <w:spacing w:after="0" w:line="240" w:lineRule="auto"/>
              <w:jc w:val="center"/>
              <w:rPr>
                <w:rFonts w:eastAsia="Times New Roman" w:cs="Calibri"/>
                <w:color w:val="000000"/>
                <w:kern w:val="0"/>
                <w:sz w:val="20"/>
                <w:szCs w:val="20"/>
                <w:lang w:eastAsia="pl-PL"/>
              </w:rPr>
            </w:pPr>
            <w:r w:rsidRPr="000922EF">
              <w:rPr>
                <w:rFonts w:eastAsia="Times New Roman" w:cs="Calibri"/>
                <w:color w:val="000000"/>
                <w:kern w:val="0"/>
                <w:sz w:val="20"/>
                <w:szCs w:val="20"/>
                <w:lang w:eastAsia="pl-PL"/>
              </w:rPr>
              <w:t>2019</w:t>
            </w:r>
          </w:p>
        </w:tc>
        <w:tc>
          <w:tcPr>
            <w:tcW w:w="1124" w:type="dxa"/>
            <w:shd w:val="clear" w:color="auto" w:fill="FFC000"/>
            <w:vAlign w:val="center"/>
            <w:hideMark/>
          </w:tcPr>
          <w:p w:rsidR="003F2B0C" w:rsidRPr="000922EF" w:rsidRDefault="003F2B0C" w:rsidP="0084338D">
            <w:pPr>
              <w:spacing w:after="0" w:line="240" w:lineRule="auto"/>
              <w:jc w:val="center"/>
              <w:rPr>
                <w:rFonts w:eastAsia="Times New Roman" w:cs="Calibri"/>
                <w:color w:val="000000"/>
                <w:kern w:val="0"/>
                <w:sz w:val="20"/>
                <w:szCs w:val="20"/>
                <w:lang w:eastAsia="pl-PL"/>
              </w:rPr>
            </w:pPr>
            <w:r w:rsidRPr="000922EF">
              <w:rPr>
                <w:rFonts w:eastAsia="Times New Roman" w:cs="Calibri"/>
                <w:color w:val="000000"/>
                <w:kern w:val="0"/>
                <w:sz w:val="20"/>
                <w:szCs w:val="20"/>
                <w:lang w:eastAsia="pl-PL"/>
              </w:rPr>
              <w:t>2020</w:t>
            </w:r>
          </w:p>
        </w:tc>
        <w:tc>
          <w:tcPr>
            <w:tcW w:w="1124" w:type="dxa"/>
            <w:shd w:val="clear" w:color="auto" w:fill="FFC000"/>
            <w:vAlign w:val="center"/>
            <w:hideMark/>
          </w:tcPr>
          <w:p w:rsidR="003F2B0C" w:rsidRPr="000922EF" w:rsidRDefault="003F2B0C" w:rsidP="0084338D">
            <w:pPr>
              <w:spacing w:after="0" w:line="240" w:lineRule="auto"/>
              <w:jc w:val="center"/>
              <w:rPr>
                <w:rFonts w:eastAsia="Times New Roman" w:cs="Calibri"/>
                <w:color w:val="000000"/>
                <w:kern w:val="0"/>
                <w:sz w:val="20"/>
                <w:szCs w:val="20"/>
                <w:lang w:eastAsia="pl-PL"/>
              </w:rPr>
            </w:pPr>
            <w:r w:rsidRPr="000922EF">
              <w:rPr>
                <w:rFonts w:eastAsia="Times New Roman" w:cs="Calibri"/>
                <w:color w:val="000000"/>
                <w:kern w:val="0"/>
                <w:sz w:val="20"/>
                <w:szCs w:val="20"/>
                <w:lang w:eastAsia="pl-PL"/>
              </w:rPr>
              <w:t>2021</w:t>
            </w:r>
          </w:p>
        </w:tc>
        <w:tc>
          <w:tcPr>
            <w:tcW w:w="1124" w:type="dxa"/>
            <w:shd w:val="clear" w:color="auto" w:fill="FFC000"/>
            <w:vAlign w:val="center"/>
            <w:hideMark/>
          </w:tcPr>
          <w:p w:rsidR="003F2B0C" w:rsidRPr="000922EF" w:rsidRDefault="003F2B0C" w:rsidP="0084338D">
            <w:pPr>
              <w:spacing w:after="0" w:line="240" w:lineRule="auto"/>
              <w:jc w:val="center"/>
              <w:rPr>
                <w:rFonts w:eastAsia="Times New Roman" w:cs="Calibri"/>
                <w:color w:val="000000"/>
                <w:kern w:val="0"/>
                <w:sz w:val="20"/>
                <w:szCs w:val="20"/>
                <w:lang w:eastAsia="pl-PL"/>
              </w:rPr>
            </w:pPr>
            <w:r w:rsidRPr="000922EF">
              <w:rPr>
                <w:rFonts w:eastAsia="Times New Roman" w:cs="Calibri"/>
                <w:color w:val="000000"/>
                <w:kern w:val="0"/>
                <w:sz w:val="20"/>
                <w:szCs w:val="20"/>
                <w:lang w:eastAsia="pl-PL"/>
              </w:rPr>
              <w:t>2022</w:t>
            </w:r>
          </w:p>
        </w:tc>
        <w:tc>
          <w:tcPr>
            <w:tcW w:w="1128" w:type="dxa"/>
            <w:shd w:val="clear" w:color="auto" w:fill="FFC000"/>
            <w:vAlign w:val="center"/>
            <w:hideMark/>
          </w:tcPr>
          <w:p w:rsidR="003F2B0C" w:rsidRPr="000922EF" w:rsidRDefault="003F2B0C" w:rsidP="0084338D">
            <w:pPr>
              <w:spacing w:after="0" w:line="240" w:lineRule="auto"/>
              <w:jc w:val="center"/>
              <w:rPr>
                <w:rFonts w:eastAsia="Times New Roman" w:cs="Calibri"/>
                <w:color w:val="000000"/>
                <w:kern w:val="0"/>
                <w:sz w:val="20"/>
                <w:szCs w:val="20"/>
                <w:lang w:eastAsia="pl-PL"/>
              </w:rPr>
            </w:pPr>
            <w:r w:rsidRPr="000922EF">
              <w:rPr>
                <w:rFonts w:eastAsia="Times New Roman" w:cs="Calibri"/>
                <w:color w:val="000000"/>
                <w:kern w:val="0"/>
                <w:sz w:val="20"/>
                <w:szCs w:val="20"/>
                <w:lang w:eastAsia="pl-PL"/>
              </w:rPr>
              <w:t>2023</w:t>
            </w:r>
          </w:p>
        </w:tc>
      </w:tr>
      <w:tr w:rsidR="003F2B0C" w:rsidRPr="000922EF" w:rsidTr="0084338D">
        <w:trPr>
          <w:trHeight w:val="298"/>
        </w:trPr>
        <w:tc>
          <w:tcPr>
            <w:tcW w:w="9044" w:type="dxa"/>
            <w:gridSpan w:val="7"/>
            <w:shd w:val="clear" w:color="auto" w:fill="FFC000"/>
            <w:noWrap/>
            <w:vAlign w:val="bottom"/>
            <w:hideMark/>
          </w:tcPr>
          <w:p w:rsidR="003F2B0C" w:rsidRPr="000922EF" w:rsidRDefault="003F2B0C" w:rsidP="0084338D">
            <w:pPr>
              <w:spacing w:after="0" w:line="240" w:lineRule="auto"/>
              <w:jc w:val="center"/>
              <w:rPr>
                <w:rFonts w:eastAsia="Times New Roman" w:cs="Calibri"/>
                <w:color w:val="000000"/>
                <w:kern w:val="0"/>
                <w:sz w:val="20"/>
                <w:szCs w:val="20"/>
                <w:lang w:eastAsia="pl-PL"/>
              </w:rPr>
            </w:pPr>
            <w:r w:rsidRPr="000922EF">
              <w:rPr>
                <w:rFonts w:eastAsia="Times New Roman" w:cs="Calibri"/>
                <w:color w:val="000000"/>
                <w:kern w:val="0"/>
                <w:sz w:val="20"/>
                <w:szCs w:val="20"/>
                <w:lang w:eastAsia="pl-PL"/>
              </w:rPr>
              <w:t>obiekty ogółem</w:t>
            </w:r>
          </w:p>
        </w:tc>
      </w:tr>
      <w:tr w:rsidR="003F2B0C" w:rsidRPr="000922EF" w:rsidTr="0084338D">
        <w:trPr>
          <w:trHeight w:val="298"/>
        </w:trPr>
        <w:tc>
          <w:tcPr>
            <w:tcW w:w="2296" w:type="dxa"/>
            <w:shd w:val="clear" w:color="auto" w:fill="auto"/>
            <w:vAlign w:val="bottom"/>
            <w:hideMark/>
          </w:tcPr>
          <w:p w:rsidR="003F2B0C" w:rsidRPr="000922EF" w:rsidRDefault="003F2B0C" w:rsidP="0084338D">
            <w:pPr>
              <w:spacing w:after="0" w:line="240" w:lineRule="auto"/>
              <w:jc w:val="left"/>
              <w:rPr>
                <w:rFonts w:eastAsia="Times New Roman" w:cs="Calibri"/>
                <w:kern w:val="0"/>
                <w:sz w:val="20"/>
                <w:szCs w:val="20"/>
                <w:lang w:eastAsia="pl-PL"/>
              </w:rPr>
            </w:pPr>
            <w:r w:rsidRPr="000922EF">
              <w:rPr>
                <w:rFonts w:eastAsia="Times New Roman" w:cs="Calibri"/>
                <w:kern w:val="0"/>
                <w:sz w:val="20"/>
                <w:szCs w:val="20"/>
                <w:lang w:eastAsia="pl-PL"/>
              </w:rPr>
              <w:t>Wrocławski Obszar Funkcjonalny</w:t>
            </w:r>
          </w:p>
        </w:tc>
        <w:tc>
          <w:tcPr>
            <w:tcW w:w="1124" w:type="dxa"/>
            <w:shd w:val="clear" w:color="auto" w:fill="auto"/>
            <w:noWrap/>
            <w:vAlign w:val="center"/>
            <w:hideMark/>
          </w:tcPr>
          <w:p w:rsidR="003F2B0C" w:rsidRPr="000922EF" w:rsidRDefault="003F2B0C" w:rsidP="0084338D">
            <w:pPr>
              <w:spacing w:after="0" w:line="240" w:lineRule="auto"/>
              <w:jc w:val="center"/>
              <w:rPr>
                <w:rFonts w:eastAsia="Times New Roman" w:cs="Calibri"/>
                <w:kern w:val="0"/>
                <w:sz w:val="20"/>
                <w:szCs w:val="20"/>
                <w:lang w:eastAsia="pl-PL"/>
              </w:rPr>
            </w:pPr>
            <w:r w:rsidRPr="000922EF">
              <w:rPr>
                <w:rFonts w:eastAsia="Times New Roman" w:cs="Calibri"/>
                <w:kern w:val="0"/>
                <w:sz w:val="20"/>
                <w:szCs w:val="20"/>
                <w:lang w:eastAsia="pl-PL"/>
              </w:rPr>
              <w:t>143</w:t>
            </w:r>
          </w:p>
        </w:tc>
        <w:tc>
          <w:tcPr>
            <w:tcW w:w="1124" w:type="dxa"/>
            <w:shd w:val="clear" w:color="auto" w:fill="auto"/>
            <w:noWrap/>
            <w:vAlign w:val="center"/>
            <w:hideMark/>
          </w:tcPr>
          <w:p w:rsidR="003F2B0C" w:rsidRPr="000922EF" w:rsidRDefault="003F2B0C" w:rsidP="0084338D">
            <w:pPr>
              <w:spacing w:after="0" w:line="240" w:lineRule="auto"/>
              <w:jc w:val="center"/>
              <w:rPr>
                <w:rFonts w:eastAsia="Times New Roman" w:cs="Calibri"/>
                <w:kern w:val="0"/>
                <w:sz w:val="20"/>
                <w:szCs w:val="20"/>
                <w:lang w:eastAsia="pl-PL"/>
              </w:rPr>
            </w:pPr>
            <w:r w:rsidRPr="000922EF">
              <w:rPr>
                <w:rFonts w:eastAsia="Times New Roman" w:cs="Calibri"/>
                <w:kern w:val="0"/>
                <w:sz w:val="20"/>
                <w:szCs w:val="20"/>
                <w:lang w:eastAsia="pl-PL"/>
              </w:rPr>
              <w:t>153</w:t>
            </w:r>
          </w:p>
        </w:tc>
        <w:tc>
          <w:tcPr>
            <w:tcW w:w="1124" w:type="dxa"/>
            <w:shd w:val="clear" w:color="auto" w:fill="auto"/>
            <w:noWrap/>
            <w:vAlign w:val="center"/>
            <w:hideMark/>
          </w:tcPr>
          <w:p w:rsidR="003F2B0C" w:rsidRPr="000922EF" w:rsidRDefault="003F2B0C" w:rsidP="0084338D">
            <w:pPr>
              <w:spacing w:after="0" w:line="240" w:lineRule="auto"/>
              <w:jc w:val="center"/>
              <w:rPr>
                <w:rFonts w:eastAsia="Times New Roman" w:cs="Calibri"/>
                <w:kern w:val="0"/>
                <w:sz w:val="20"/>
                <w:szCs w:val="20"/>
                <w:lang w:eastAsia="pl-PL"/>
              </w:rPr>
            </w:pPr>
            <w:r w:rsidRPr="000922EF">
              <w:rPr>
                <w:rFonts w:eastAsia="Times New Roman" w:cs="Calibri"/>
                <w:kern w:val="0"/>
                <w:sz w:val="20"/>
                <w:szCs w:val="20"/>
                <w:lang w:eastAsia="pl-PL"/>
              </w:rPr>
              <w:t>147</w:t>
            </w:r>
          </w:p>
        </w:tc>
        <w:tc>
          <w:tcPr>
            <w:tcW w:w="1124" w:type="dxa"/>
            <w:shd w:val="clear" w:color="auto" w:fill="auto"/>
            <w:noWrap/>
            <w:vAlign w:val="center"/>
            <w:hideMark/>
          </w:tcPr>
          <w:p w:rsidR="003F2B0C" w:rsidRPr="000922EF" w:rsidRDefault="003F2B0C" w:rsidP="0084338D">
            <w:pPr>
              <w:spacing w:after="0" w:line="240" w:lineRule="auto"/>
              <w:jc w:val="center"/>
              <w:rPr>
                <w:rFonts w:eastAsia="Times New Roman" w:cs="Calibri"/>
                <w:kern w:val="0"/>
                <w:sz w:val="20"/>
                <w:szCs w:val="20"/>
                <w:lang w:eastAsia="pl-PL"/>
              </w:rPr>
            </w:pPr>
            <w:r w:rsidRPr="000922EF">
              <w:rPr>
                <w:rFonts w:eastAsia="Times New Roman" w:cs="Calibri"/>
                <w:kern w:val="0"/>
                <w:sz w:val="20"/>
                <w:szCs w:val="20"/>
                <w:lang w:eastAsia="pl-PL"/>
              </w:rPr>
              <w:t>145</w:t>
            </w:r>
          </w:p>
        </w:tc>
        <w:tc>
          <w:tcPr>
            <w:tcW w:w="1124" w:type="dxa"/>
            <w:shd w:val="clear" w:color="auto" w:fill="auto"/>
            <w:noWrap/>
            <w:vAlign w:val="center"/>
            <w:hideMark/>
          </w:tcPr>
          <w:p w:rsidR="003F2B0C" w:rsidRPr="000922EF" w:rsidRDefault="003F2B0C" w:rsidP="0084338D">
            <w:pPr>
              <w:spacing w:after="0" w:line="240" w:lineRule="auto"/>
              <w:jc w:val="center"/>
              <w:rPr>
                <w:rFonts w:eastAsia="Times New Roman" w:cs="Calibri"/>
                <w:kern w:val="0"/>
                <w:sz w:val="20"/>
                <w:szCs w:val="20"/>
                <w:lang w:eastAsia="pl-PL"/>
              </w:rPr>
            </w:pPr>
            <w:r w:rsidRPr="000922EF">
              <w:rPr>
                <w:rFonts w:eastAsia="Times New Roman" w:cs="Calibri"/>
                <w:kern w:val="0"/>
                <w:sz w:val="20"/>
                <w:szCs w:val="20"/>
                <w:lang w:eastAsia="pl-PL"/>
              </w:rPr>
              <w:t>139</w:t>
            </w:r>
          </w:p>
        </w:tc>
        <w:tc>
          <w:tcPr>
            <w:tcW w:w="1128" w:type="dxa"/>
            <w:shd w:val="clear" w:color="auto" w:fill="auto"/>
            <w:noWrap/>
            <w:vAlign w:val="center"/>
            <w:hideMark/>
          </w:tcPr>
          <w:p w:rsidR="003F2B0C" w:rsidRPr="000922EF" w:rsidRDefault="003F2B0C" w:rsidP="0084338D">
            <w:pPr>
              <w:spacing w:after="0" w:line="240" w:lineRule="auto"/>
              <w:jc w:val="center"/>
              <w:rPr>
                <w:rFonts w:eastAsia="Times New Roman" w:cs="Calibri"/>
                <w:kern w:val="0"/>
                <w:sz w:val="20"/>
                <w:szCs w:val="20"/>
                <w:lang w:eastAsia="pl-PL"/>
              </w:rPr>
            </w:pPr>
            <w:r w:rsidRPr="000922EF">
              <w:rPr>
                <w:rFonts w:eastAsia="Times New Roman" w:cs="Calibri"/>
                <w:kern w:val="0"/>
                <w:sz w:val="20"/>
                <w:szCs w:val="20"/>
                <w:lang w:eastAsia="pl-PL"/>
              </w:rPr>
              <w:t>136</w:t>
            </w:r>
          </w:p>
        </w:tc>
      </w:tr>
      <w:tr w:rsidR="003F2B0C" w:rsidRPr="000922EF" w:rsidTr="0084338D">
        <w:trPr>
          <w:trHeight w:val="298"/>
        </w:trPr>
        <w:tc>
          <w:tcPr>
            <w:tcW w:w="2296" w:type="dxa"/>
            <w:shd w:val="clear" w:color="auto" w:fill="auto"/>
            <w:vAlign w:val="bottom"/>
            <w:hideMark/>
          </w:tcPr>
          <w:p w:rsidR="003F2B0C" w:rsidRPr="000922EF" w:rsidRDefault="003F2B0C" w:rsidP="0084338D">
            <w:pPr>
              <w:spacing w:after="0" w:line="240" w:lineRule="auto"/>
              <w:jc w:val="left"/>
              <w:rPr>
                <w:rFonts w:eastAsia="Times New Roman" w:cs="Calibri"/>
                <w:kern w:val="0"/>
                <w:sz w:val="20"/>
                <w:szCs w:val="20"/>
                <w:lang w:eastAsia="pl-PL"/>
              </w:rPr>
            </w:pPr>
            <w:r w:rsidRPr="000922EF">
              <w:rPr>
                <w:rFonts w:eastAsia="Times New Roman" w:cs="Calibri"/>
                <w:kern w:val="0"/>
                <w:sz w:val="20"/>
                <w:szCs w:val="20"/>
                <w:lang w:eastAsia="pl-PL"/>
              </w:rPr>
              <w:t>Metropolia Krakowska</w:t>
            </w:r>
            <w:r>
              <w:rPr>
                <w:rFonts w:eastAsia="Times New Roman" w:cs="Calibri"/>
                <w:kern w:val="0"/>
                <w:sz w:val="20"/>
                <w:szCs w:val="20"/>
                <w:lang w:eastAsia="pl-PL"/>
              </w:rPr>
              <w:t>*</w:t>
            </w:r>
          </w:p>
        </w:tc>
        <w:tc>
          <w:tcPr>
            <w:tcW w:w="1124" w:type="dxa"/>
            <w:shd w:val="clear" w:color="auto" w:fill="auto"/>
            <w:noWrap/>
            <w:vAlign w:val="bottom"/>
            <w:hideMark/>
          </w:tcPr>
          <w:p w:rsidR="003F2B0C" w:rsidRPr="000922EF" w:rsidRDefault="003F2B0C" w:rsidP="0084338D">
            <w:pPr>
              <w:spacing w:after="0" w:line="240" w:lineRule="auto"/>
              <w:jc w:val="center"/>
              <w:rPr>
                <w:rFonts w:eastAsia="Times New Roman" w:cs="Calibri"/>
                <w:kern w:val="0"/>
                <w:sz w:val="20"/>
                <w:szCs w:val="20"/>
                <w:lang w:eastAsia="pl-PL"/>
              </w:rPr>
            </w:pPr>
            <w:r>
              <w:rPr>
                <w:rFonts w:ascii="Calibri" w:hAnsi="Calibri" w:cs="Calibri"/>
              </w:rPr>
              <w:t>310</w:t>
            </w:r>
          </w:p>
        </w:tc>
        <w:tc>
          <w:tcPr>
            <w:tcW w:w="1124" w:type="dxa"/>
            <w:shd w:val="clear" w:color="auto" w:fill="auto"/>
            <w:noWrap/>
            <w:vAlign w:val="bottom"/>
            <w:hideMark/>
          </w:tcPr>
          <w:p w:rsidR="003F2B0C" w:rsidRPr="000922EF" w:rsidRDefault="003F2B0C" w:rsidP="0084338D">
            <w:pPr>
              <w:spacing w:after="0" w:line="240" w:lineRule="auto"/>
              <w:jc w:val="center"/>
              <w:rPr>
                <w:rFonts w:eastAsia="Times New Roman" w:cs="Calibri"/>
                <w:kern w:val="0"/>
                <w:sz w:val="20"/>
                <w:szCs w:val="20"/>
                <w:lang w:eastAsia="pl-PL"/>
              </w:rPr>
            </w:pPr>
            <w:r>
              <w:rPr>
                <w:rFonts w:ascii="Calibri" w:hAnsi="Calibri" w:cs="Calibri"/>
              </w:rPr>
              <w:t>316</w:t>
            </w:r>
          </w:p>
        </w:tc>
        <w:tc>
          <w:tcPr>
            <w:tcW w:w="1124" w:type="dxa"/>
            <w:shd w:val="clear" w:color="auto" w:fill="auto"/>
            <w:noWrap/>
            <w:vAlign w:val="bottom"/>
            <w:hideMark/>
          </w:tcPr>
          <w:p w:rsidR="003F2B0C" w:rsidRPr="000922EF" w:rsidRDefault="003F2B0C" w:rsidP="0084338D">
            <w:pPr>
              <w:spacing w:after="0" w:line="240" w:lineRule="auto"/>
              <w:jc w:val="center"/>
              <w:rPr>
                <w:rFonts w:eastAsia="Times New Roman" w:cs="Calibri"/>
                <w:kern w:val="0"/>
                <w:sz w:val="20"/>
                <w:szCs w:val="20"/>
                <w:lang w:eastAsia="pl-PL"/>
              </w:rPr>
            </w:pPr>
            <w:r>
              <w:rPr>
                <w:rFonts w:ascii="Calibri" w:hAnsi="Calibri" w:cs="Calibri"/>
              </w:rPr>
              <w:t>273</w:t>
            </w:r>
          </w:p>
        </w:tc>
        <w:tc>
          <w:tcPr>
            <w:tcW w:w="1124" w:type="dxa"/>
            <w:shd w:val="clear" w:color="auto" w:fill="auto"/>
            <w:noWrap/>
            <w:vAlign w:val="bottom"/>
            <w:hideMark/>
          </w:tcPr>
          <w:p w:rsidR="003F2B0C" w:rsidRPr="000922EF" w:rsidRDefault="003F2B0C" w:rsidP="0084338D">
            <w:pPr>
              <w:spacing w:after="0" w:line="240" w:lineRule="auto"/>
              <w:jc w:val="center"/>
              <w:rPr>
                <w:rFonts w:eastAsia="Times New Roman" w:cs="Calibri"/>
                <w:kern w:val="0"/>
                <w:sz w:val="20"/>
                <w:szCs w:val="20"/>
                <w:lang w:eastAsia="pl-PL"/>
              </w:rPr>
            </w:pPr>
            <w:r>
              <w:rPr>
                <w:rFonts w:ascii="Calibri" w:hAnsi="Calibri" w:cs="Calibri"/>
              </w:rPr>
              <w:t>280</w:t>
            </w:r>
          </w:p>
        </w:tc>
        <w:tc>
          <w:tcPr>
            <w:tcW w:w="1124" w:type="dxa"/>
            <w:shd w:val="clear" w:color="auto" w:fill="auto"/>
            <w:noWrap/>
            <w:vAlign w:val="bottom"/>
            <w:hideMark/>
          </w:tcPr>
          <w:p w:rsidR="003F2B0C" w:rsidRPr="000922EF" w:rsidRDefault="003F2B0C" w:rsidP="0084338D">
            <w:pPr>
              <w:spacing w:after="0" w:line="240" w:lineRule="auto"/>
              <w:jc w:val="center"/>
              <w:rPr>
                <w:rFonts w:eastAsia="Times New Roman" w:cs="Calibri"/>
                <w:kern w:val="0"/>
                <w:sz w:val="20"/>
                <w:szCs w:val="20"/>
                <w:lang w:eastAsia="pl-PL"/>
              </w:rPr>
            </w:pPr>
            <w:r>
              <w:rPr>
                <w:rFonts w:ascii="Calibri" w:hAnsi="Calibri" w:cs="Calibri"/>
              </w:rPr>
              <w:t>290</w:t>
            </w:r>
          </w:p>
        </w:tc>
        <w:tc>
          <w:tcPr>
            <w:tcW w:w="1128" w:type="dxa"/>
            <w:shd w:val="clear" w:color="auto" w:fill="auto"/>
            <w:noWrap/>
            <w:vAlign w:val="bottom"/>
            <w:hideMark/>
          </w:tcPr>
          <w:p w:rsidR="003F2B0C" w:rsidRPr="000922EF" w:rsidRDefault="003F2B0C" w:rsidP="0084338D">
            <w:pPr>
              <w:spacing w:after="0" w:line="240" w:lineRule="auto"/>
              <w:jc w:val="center"/>
              <w:rPr>
                <w:rFonts w:eastAsia="Times New Roman" w:cs="Calibri"/>
                <w:kern w:val="0"/>
                <w:sz w:val="20"/>
                <w:szCs w:val="20"/>
                <w:lang w:eastAsia="pl-PL"/>
              </w:rPr>
            </w:pPr>
            <w:r>
              <w:rPr>
                <w:rFonts w:ascii="Calibri" w:hAnsi="Calibri" w:cs="Calibri"/>
              </w:rPr>
              <w:t>293</w:t>
            </w:r>
          </w:p>
        </w:tc>
      </w:tr>
      <w:tr w:rsidR="003F2B0C" w:rsidRPr="000922EF" w:rsidTr="0084338D">
        <w:trPr>
          <w:trHeight w:val="298"/>
        </w:trPr>
        <w:tc>
          <w:tcPr>
            <w:tcW w:w="2296" w:type="dxa"/>
            <w:shd w:val="clear" w:color="auto" w:fill="auto"/>
            <w:vAlign w:val="bottom"/>
            <w:hideMark/>
          </w:tcPr>
          <w:p w:rsidR="003F2B0C" w:rsidRPr="000922EF" w:rsidRDefault="003F2B0C" w:rsidP="0084338D">
            <w:pPr>
              <w:spacing w:after="0" w:line="240" w:lineRule="auto"/>
              <w:jc w:val="left"/>
              <w:rPr>
                <w:rFonts w:eastAsia="Times New Roman" w:cs="Calibri"/>
                <w:kern w:val="0"/>
                <w:sz w:val="20"/>
                <w:szCs w:val="20"/>
                <w:lang w:eastAsia="pl-PL"/>
              </w:rPr>
            </w:pPr>
            <w:r w:rsidRPr="000922EF">
              <w:rPr>
                <w:rFonts w:eastAsia="Times New Roman" w:cs="Calibri"/>
                <w:kern w:val="0"/>
                <w:sz w:val="20"/>
                <w:szCs w:val="20"/>
                <w:lang w:eastAsia="pl-PL"/>
              </w:rPr>
              <w:t>Metropolia Poznań</w:t>
            </w:r>
          </w:p>
        </w:tc>
        <w:tc>
          <w:tcPr>
            <w:tcW w:w="1124" w:type="dxa"/>
            <w:shd w:val="clear" w:color="auto" w:fill="auto"/>
            <w:noWrap/>
            <w:vAlign w:val="center"/>
            <w:hideMark/>
          </w:tcPr>
          <w:p w:rsidR="003F2B0C" w:rsidRPr="000922EF" w:rsidRDefault="003F2B0C" w:rsidP="0084338D">
            <w:pPr>
              <w:spacing w:after="0" w:line="240" w:lineRule="auto"/>
              <w:jc w:val="center"/>
              <w:rPr>
                <w:rFonts w:eastAsia="Times New Roman" w:cs="Calibri"/>
                <w:kern w:val="0"/>
                <w:sz w:val="20"/>
                <w:szCs w:val="20"/>
                <w:lang w:eastAsia="pl-PL"/>
              </w:rPr>
            </w:pPr>
            <w:r w:rsidRPr="000922EF">
              <w:rPr>
                <w:rFonts w:eastAsia="Times New Roman" w:cs="Calibri"/>
                <w:kern w:val="0"/>
                <w:sz w:val="20"/>
                <w:szCs w:val="20"/>
                <w:lang w:eastAsia="pl-PL"/>
              </w:rPr>
              <w:t>181</w:t>
            </w:r>
          </w:p>
        </w:tc>
        <w:tc>
          <w:tcPr>
            <w:tcW w:w="1124" w:type="dxa"/>
            <w:shd w:val="clear" w:color="auto" w:fill="auto"/>
            <w:noWrap/>
            <w:vAlign w:val="center"/>
            <w:hideMark/>
          </w:tcPr>
          <w:p w:rsidR="003F2B0C" w:rsidRPr="000922EF" w:rsidRDefault="003F2B0C" w:rsidP="0084338D">
            <w:pPr>
              <w:spacing w:after="0" w:line="240" w:lineRule="auto"/>
              <w:jc w:val="center"/>
              <w:rPr>
                <w:rFonts w:eastAsia="Times New Roman" w:cs="Calibri"/>
                <w:kern w:val="0"/>
                <w:sz w:val="20"/>
                <w:szCs w:val="20"/>
                <w:lang w:eastAsia="pl-PL"/>
              </w:rPr>
            </w:pPr>
            <w:r w:rsidRPr="000922EF">
              <w:rPr>
                <w:rFonts w:eastAsia="Times New Roman" w:cs="Calibri"/>
                <w:kern w:val="0"/>
                <w:sz w:val="20"/>
                <w:szCs w:val="20"/>
                <w:lang w:eastAsia="pl-PL"/>
              </w:rPr>
              <w:t>190</w:t>
            </w:r>
          </w:p>
        </w:tc>
        <w:tc>
          <w:tcPr>
            <w:tcW w:w="1124" w:type="dxa"/>
            <w:shd w:val="clear" w:color="auto" w:fill="auto"/>
            <w:noWrap/>
            <w:vAlign w:val="center"/>
            <w:hideMark/>
          </w:tcPr>
          <w:p w:rsidR="003F2B0C" w:rsidRPr="000922EF" w:rsidRDefault="003F2B0C" w:rsidP="0084338D">
            <w:pPr>
              <w:spacing w:after="0" w:line="240" w:lineRule="auto"/>
              <w:jc w:val="center"/>
              <w:rPr>
                <w:rFonts w:eastAsia="Times New Roman" w:cs="Calibri"/>
                <w:kern w:val="0"/>
                <w:sz w:val="20"/>
                <w:szCs w:val="20"/>
                <w:lang w:eastAsia="pl-PL"/>
              </w:rPr>
            </w:pPr>
            <w:r w:rsidRPr="000922EF">
              <w:rPr>
                <w:rFonts w:eastAsia="Times New Roman" w:cs="Calibri"/>
                <w:kern w:val="0"/>
                <w:sz w:val="20"/>
                <w:szCs w:val="20"/>
                <w:lang w:eastAsia="pl-PL"/>
              </w:rPr>
              <w:t>161</w:t>
            </w:r>
          </w:p>
        </w:tc>
        <w:tc>
          <w:tcPr>
            <w:tcW w:w="1124" w:type="dxa"/>
            <w:shd w:val="clear" w:color="auto" w:fill="auto"/>
            <w:noWrap/>
            <w:vAlign w:val="center"/>
            <w:hideMark/>
          </w:tcPr>
          <w:p w:rsidR="003F2B0C" w:rsidRPr="000922EF" w:rsidRDefault="003F2B0C" w:rsidP="0084338D">
            <w:pPr>
              <w:spacing w:after="0" w:line="240" w:lineRule="auto"/>
              <w:jc w:val="center"/>
              <w:rPr>
                <w:rFonts w:eastAsia="Times New Roman" w:cs="Calibri"/>
                <w:kern w:val="0"/>
                <w:sz w:val="20"/>
                <w:szCs w:val="20"/>
                <w:lang w:eastAsia="pl-PL"/>
              </w:rPr>
            </w:pPr>
            <w:r w:rsidRPr="000922EF">
              <w:rPr>
                <w:rFonts w:eastAsia="Times New Roman" w:cs="Calibri"/>
                <w:kern w:val="0"/>
                <w:sz w:val="20"/>
                <w:szCs w:val="20"/>
                <w:lang w:eastAsia="pl-PL"/>
              </w:rPr>
              <w:t>157</w:t>
            </w:r>
          </w:p>
        </w:tc>
        <w:tc>
          <w:tcPr>
            <w:tcW w:w="1124" w:type="dxa"/>
            <w:shd w:val="clear" w:color="auto" w:fill="auto"/>
            <w:noWrap/>
            <w:vAlign w:val="center"/>
            <w:hideMark/>
          </w:tcPr>
          <w:p w:rsidR="003F2B0C" w:rsidRPr="000922EF" w:rsidRDefault="003F2B0C" w:rsidP="0084338D">
            <w:pPr>
              <w:spacing w:after="0" w:line="240" w:lineRule="auto"/>
              <w:jc w:val="center"/>
              <w:rPr>
                <w:rFonts w:eastAsia="Times New Roman" w:cs="Calibri"/>
                <w:kern w:val="0"/>
                <w:sz w:val="20"/>
                <w:szCs w:val="20"/>
                <w:lang w:eastAsia="pl-PL"/>
              </w:rPr>
            </w:pPr>
            <w:r w:rsidRPr="000922EF">
              <w:rPr>
                <w:rFonts w:eastAsia="Times New Roman" w:cs="Calibri"/>
                <w:kern w:val="0"/>
                <w:sz w:val="20"/>
                <w:szCs w:val="20"/>
                <w:lang w:eastAsia="pl-PL"/>
              </w:rPr>
              <w:t>153</w:t>
            </w:r>
          </w:p>
        </w:tc>
        <w:tc>
          <w:tcPr>
            <w:tcW w:w="1128" w:type="dxa"/>
            <w:shd w:val="clear" w:color="auto" w:fill="auto"/>
            <w:noWrap/>
            <w:vAlign w:val="center"/>
            <w:hideMark/>
          </w:tcPr>
          <w:p w:rsidR="003F2B0C" w:rsidRPr="000922EF" w:rsidRDefault="003F2B0C" w:rsidP="0084338D">
            <w:pPr>
              <w:spacing w:after="0" w:line="240" w:lineRule="auto"/>
              <w:jc w:val="center"/>
              <w:rPr>
                <w:rFonts w:eastAsia="Times New Roman" w:cs="Calibri"/>
                <w:kern w:val="0"/>
                <w:sz w:val="20"/>
                <w:szCs w:val="20"/>
                <w:lang w:eastAsia="pl-PL"/>
              </w:rPr>
            </w:pPr>
            <w:r w:rsidRPr="000922EF">
              <w:rPr>
                <w:rFonts w:eastAsia="Times New Roman" w:cs="Calibri"/>
                <w:kern w:val="0"/>
                <w:sz w:val="20"/>
                <w:szCs w:val="20"/>
                <w:lang w:eastAsia="pl-PL"/>
              </w:rPr>
              <w:t>151</w:t>
            </w:r>
          </w:p>
        </w:tc>
      </w:tr>
      <w:tr w:rsidR="003F2B0C" w:rsidRPr="000922EF" w:rsidTr="0084338D">
        <w:trPr>
          <w:trHeight w:val="298"/>
        </w:trPr>
        <w:tc>
          <w:tcPr>
            <w:tcW w:w="9044" w:type="dxa"/>
            <w:gridSpan w:val="7"/>
            <w:shd w:val="clear" w:color="auto" w:fill="FFC000"/>
            <w:noWrap/>
            <w:vAlign w:val="bottom"/>
            <w:hideMark/>
          </w:tcPr>
          <w:p w:rsidR="003F2B0C" w:rsidRPr="000922EF" w:rsidRDefault="003F2B0C" w:rsidP="0084338D">
            <w:pPr>
              <w:spacing w:after="0" w:line="240" w:lineRule="auto"/>
              <w:jc w:val="center"/>
              <w:rPr>
                <w:rFonts w:eastAsia="Times New Roman" w:cs="Calibri"/>
                <w:color w:val="000000"/>
                <w:kern w:val="0"/>
                <w:sz w:val="20"/>
                <w:szCs w:val="20"/>
                <w:lang w:eastAsia="pl-PL"/>
              </w:rPr>
            </w:pPr>
            <w:r w:rsidRPr="000922EF">
              <w:rPr>
                <w:rFonts w:eastAsia="Times New Roman" w:cs="Calibri"/>
                <w:color w:val="000000"/>
                <w:kern w:val="0"/>
                <w:sz w:val="20"/>
                <w:szCs w:val="20"/>
                <w:lang w:eastAsia="pl-PL"/>
              </w:rPr>
              <w:t>miejsca noclegowe ogółem</w:t>
            </w:r>
          </w:p>
        </w:tc>
      </w:tr>
      <w:tr w:rsidR="003F2B0C" w:rsidRPr="000922EF" w:rsidTr="0084338D">
        <w:trPr>
          <w:trHeight w:val="298"/>
        </w:trPr>
        <w:tc>
          <w:tcPr>
            <w:tcW w:w="2296" w:type="dxa"/>
            <w:shd w:val="clear" w:color="auto" w:fill="auto"/>
            <w:vAlign w:val="bottom"/>
            <w:hideMark/>
          </w:tcPr>
          <w:p w:rsidR="003F2B0C" w:rsidRPr="000922EF" w:rsidRDefault="003F2B0C" w:rsidP="0084338D">
            <w:pPr>
              <w:spacing w:after="0" w:line="240" w:lineRule="auto"/>
              <w:jc w:val="left"/>
              <w:rPr>
                <w:rFonts w:eastAsia="Times New Roman" w:cs="Calibri"/>
                <w:kern w:val="0"/>
                <w:sz w:val="20"/>
                <w:szCs w:val="20"/>
                <w:lang w:eastAsia="pl-PL"/>
              </w:rPr>
            </w:pPr>
            <w:r w:rsidRPr="000922EF">
              <w:rPr>
                <w:rFonts w:eastAsia="Times New Roman" w:cs="Calibri"/>
                <w:kern w:val="0"/>
                <w:sz w:val="20"/>
                <w:szCs w:val="20"/>
                <w:lang w:eastAsia="pl-PL"/>
              </w:rPr>
              <w:t>Wrocławski Obszar Funkcjonalny</w:t>
            </w:r>
          </w:p>
        </w:tc>
        <w:tc>
          <w:tcPr>
            <w:tcW w:w="1124" w:type="dxa"/>
            <w:shd w:val="clear" w:color="auto" w:fill="auto"/>
            <w:noWrap/>
            <w:vAlign w:val="center"/>
            <w:hideMark/>
          </w:tcPr>
          <w:p w:rsidR="003F2B0C" w:rsidRPr="000922EF" w:rsidRDefault="003F2B0C" w:rsidP="0084338D">
            <w:pPr>
              <w:spacing w:after="0" w:line="240" w:lineRule="auto"/>
              <w:jc w:val="center"/>
              <w:rPr>
                <w:rFonts w:eastAsia="Times New Roman" w:cs="Calibri"/>
                <w:kern w:val="0"/>
                <w:sz w:val="20"/>
                <w:szCs w:val="20"/>
                <w:lang w:eastAsia="pl-PL"/>
              </w:rPr>
            </w:pPr>
            <w:r w:rsidRPr="000922EF">
              <w:rPr>
                <w:rFonts w:eastAsia="Times New Roman" w:cs="Calibri"/>
                <w:kern w:val="0"/>
                <w:sz w:val="20"/>
                <w:szCs w:val="20"/>
                <w:lang w:eastAsia="pl-PL"/>
              </w:rPr>
              <w:t>14463</w:t>
            </w:r>
          </w:p>
        </w:tc>
        <w:tc>
          <w:tcPr>
            <w:tcW w:w="1124" w:type="dxa"/>
            <w:shd w:val="clear" w:color="auto" w:fill="auto"/>
            <w:noWrap/>
            <w:vAlign w:val="center"/>
            <w:hideMark/>
          </w:tcPr>
          <w:p w:rsidR="003F2B0C" w:rsidRPr="000922EF" w:rsidRDefault="003F2B0C" w:rsidP="0084338D">
            <w:pPr>
              <w:spacing w:after="0" w:line="240" w:lineRule="auto"/>
              <w:jc w:val="center"/>
              <w:rPr>
                <w:rFonts w:eastAsia="Times New Roman" w:cs="Calibri"/>
                <w:kern w:val="0"/>
                <w:sz w:val="20"/>
                <w:szCs w:val="20"/>
                <w:lang w:eastAsia="pl-PL"/>
              </w:rPr>
            </w:pPr>
            <w:r w:rsidRPr="000922EF">
              <w:rPr>
                <w:rFonts w:eastAsia="Times New Roman" w:cs="Calibri"/>
                <w:kern w:val="0"/>
                <w:sz w:val="20"/>
                <w:szCs w:val="20"/>
                <w:lang w:eastAsia="pl-PL"/>
              </w:rPr>
              <w:t>16909</w:t>
            </w:r>
          </w:p>
        </w:tc>
        <w:tc>
          <w:tcPr>
            <w:tcW w:w="1124" w:type="dxa"/>
            <w:shd w:val="clear" w:color="auto" w:fill="auto"/>
            <w:noWrap/>
            <w:vAlign w:val="center"/>
            <w:hideMark/>
          </w:tcPr>
          <w:p w:rsidR="003F2B0C" w:rsidRPr="000922EF" w:rsidRDefault="003F2B0C" w:rsidP="0084338D">
            <w:pPr>
              <w:spacing w:after="0" w:line="240" w:lineRule="auto"/>
              <w:jc w:val="center"/>
              <w:rPr>
                <w:rFonts w:eastAsia="Times New Roman" w:cs="Calibri"/>
                <w:kern w:val="0"/>
                <w:sz w:val="20"/>
                <w:szCs w:val="20"/>
                <w:lang w:eastAsia="pl-PL"/>
              </w:rPr>
            </w:pPr>
            <w:r w:rsidRPr="000922EF">
              <w:rPr>
                <w:rFonts w:eastAsia="Times New Roman" w:cs="Calibri"/>
                <w:kern w:val="0"/>
                <w:sz w:val="20"/>
                <w:szCs w:val="20"/>
                <w:lang w:eastAsia="pl-PL"/>
              </w:rPr>
              <w:t>15996</w:t>
            </w:r>
          </w:p>
        </w:tc>
        <w:tc>
          <w:tcPr>
            <w:tcW w:w="1124" w:type="dxa"/>
            <w:shd w:val="clear" w:color="auto" w:fill="auto"/>
            <w:noWrap/>
            <w:vAlign w:val="center"/>
            <w:hideMark/>
          </w:tcPr>
          <w:p w:rsidR="003F2B0C" w:rsidRPr="000922EF" w:rsidRDefault="003F2B0C" w:rsidP="0084338D">
            <w:pPr>
              <w:spacing w:after="0" w:line="240" w:lineRule="auto"/>
              <w:jc w:val="center"/>
              <w:rPr>
                <w:rFonts w:eastAsia="Times New Roman" w:cs="Calibri"/>
                <w:kern w:val="0"/>
                <w:sz w:val="20"/>
                <w:szCs w:val="20"/>
                <w:lang w:eastAsia="pl-PL"/>
              </w:rPr>
            </w:pPr>
            <w:r w:rsidRPr="000922EF">
              <w:rPr>
                <w:rFonts w:eastAsia="Times New Roman" w:cs="Calibri"/>
                <w:kern w:val="0"/>
                <w:sz w:val="20"/>
                <w:szCs w:val="20"/>
                <w:lang w:eastAsia="pl-PL"/>
              </w:rPr>
              <w:t>16553</w:t>
            </w:r>
          </w:p>
        </w:tc>
        <w:tc>
          <w:tcPr>
            <w:tcW w:w="1124" w:type="dxa"/>
            <w:shd w:val="clear" w:color="auto" w:fill="auto"/>
            <w:noWrap/>
            <w:vAlign w:val="center"/>
            <w:hideMark/>
          </w:tcPr>
          <w:p w:rsidR="003F2B0C" w:rsidRPr="000922EF" w:rsidRDefault="003F2B0C" w:rsidP="0084338D">
            <w:pPr>
              <w:spacing w:after="0" w:line="240" w:lineRule="auto"/>
              <w:jc w:val="center"/>
              <w:rPr>
                <w:rFonts w:eastAsia="Times New Roman" w:cs="Calibri"/>
                <w:kern w:val="0"/>
                <w:sz w:val="20"/>
                <w:szCs w:val="20"/>
                <w:lang w:eastAsia="pl-PL"/>
              </w:rPr>
            </w:pPr>
            <w:r w:rsidRPr="000922EF">
              <w:rPr>
                <w:rFonts w:eastAsia="Times New Roman" w:cs="Calibri"/>
                <w:kern w:val="0"/>
                <w:sz w:val="20"/>
                <w:szCs w:val="20"/>
                <w:lang w:eastAsia="pl-PL"/>
              </w:rPr>
              <w:t>17083</w:t>
            </w:r>
          </w:p>
        </w:tc>
        <w:tc>
          <w:tcPr>
            <w:tcW w:w="1128" w:type="dxa"/>
            <w:shd w:val="clear" w:color="auto" w:fill="auto"/>
            <w:noWrap/>
            <w:vAlign w:val="center"/>
            <w:hideMark/>
          </w:tcPr>
          <w:p w:rsidR="003F2B0C" w:rsidRPr="000922EF" w:rsidRDefault="003F2B0C" w:rsidP="0084338D">
            <w:pPr>
              <w:spacing w:after="0" w:line="240" w:lineRule="auto"/>
              <w:jc w:val="center"/>
              <w:rPr>
                <w:rFonts w:eastAsia="Times New Roman" w:cs="Calibri"/>
                <w:kern w:val="0"/>
                <w:sz w:val="20"/>
                <w:szCs w:val="20"/>
                <w:lang w:eastAsia="pl-PL"/>
              </w:rPr>
            </w:pPr>
            <w:r w:rsidRPr="000922EF">
              <w:rPr>
                <w:rFonts w:eastAsia="Times New Roman" w:cs="Calibri"/>
                <w:kern w:val="0"/>
                <w:sz w:val="20"/>
                <w:szCs w:val="20"/>
                <w:lang w:eastAsia="pl-PL"/>
              </w:rPr>
              <w:t>17607</w:t>
            </w:r>
          </w:p>
        </w:tc>
      </w:tr>
      <w:tr w:rsidR="003F2B0C" w:rsidRPr="000922EF" w:rsidTr="0084338D">
        <w:trPr>
          <w:trHeight w:val="298"/>
        </w:trPr>
        <w:tc>
          <w:tcPr>
            <w:tcW w:w="2296" w:type="dxa"/>
            <w:shd w:val="clear" w:color="auto" w:fill="auto"/>
            <w:vAlign w:val="bottom"/>
            <w:hideMark/>
          </w:tcPr>
          <w:p w:rsidR="003F2B0C" w:rsidRPr="000922EF" w:rsidRDefault="003F2B0C" w:rsidP="0084338D">
            <w:pPr>
              <w:spacing w:after="0" w:line="240" w:lineRule="auto"/>
              <w:jc w:val="left"/>
              <w:rPr>
                <w:rFonts w:eastAsia="Times New Roman" w:cs="Calibri"/>
                <w:kern w:val="0"/>
                <w:sz w:val="20"/>
                <w:szCs w:val="20"/>
                <w:lang w:eastAsia="pl-PL"/>
              </w:rPr>
            </w:pPr>
            <w:r w:rsidRPr="000922EF">
              <w:rPr>
                <w:rFonts w:eastAsia="Times New Roman" w:cs="Calibri"/>
                <w:kern w:val="0"/>
                <w:sz w:val="20"/>
                <w:szCs w:val="20"/>
                <w:lang w:eastAsia="pl-PL"/>
              </w:rPr>
              <w:t>Metropolia Krakowska</w:t>
            </w:r>
            <w:r>
              <w:rPr>
                <w:rFonts w:eastAsia="Times New Roman" w:cs="Calibri"/>
                <w:kern w:val="0"/>
                <w:sz w:val="20"/>
                <w:szCs w:val="20"/>
                <w:lang w:eastAsia="pl-PL"/>
              </w:rPr>
              <w:t>*</w:t>
            </w:r>
          </w:p>
        </w:tc>
        <w:tc>
          <w:tcPr>
            <w:tcW w:w="1124" w:type="dxa"/>
            <w:shd w:val="clear" w:color="auto" w:fill="auto"/>
            <w:noWrap/>
            <w:vAlign w:val="bottom"/>
            <w:hideMark/>
          </w:tcPr>
          <w:p w:rsidR="003F2B0C" w:rsidRPr="000922EF" w:rsidRDefault="003F2B0C" w:rsidP="0084338D">
            <w:pPr>
              <w:spacing w:after="0" w:line="240" w:lineRule="auto"/>
              <w:jc w:val="center"/>
              <w:rPr>
                <w:rFonts w:eastAsia="Times New Roman" w:cs="Calibri"/>
                <w:kern w:val="0"/>
                <w:sz w:val="20"/>
                <w:szCs w:val="20"/>
                <w:lang w:eastAsia="pl-PL"/>
              </w:rPr>
            </w:pPr>
            <w:r>
              <w:rPr>
                <w:rFonts w:ascii="Calibri" w:hAnsi="Calibri" w:cs="Calibri"/>
              </w:rPr>
              <w:t>34 522</w:t>
            </w:r>
          </w:p>
        </w:tc>
        <w:tc>
          <w:tcPr>
            <w:tcW w:w="1124" w:type="dxa"/>
            <w:shd w:val="clear" w:color="auto" w:fill="auto"/>
            <w:noWrap/>
            <w:vAlign w:val="bottom"/>
            <w:hideMark/>
          </w:tcPr>
          <w:p w:rsidR="003F2B0C" w:rsidRPr="000922EF" w:rsidRDefault="003F2B0C" w:rsidP="0084338D">
            <w:pPr>
              <w:spacing w:after="0" w:line="240" w:lineRule="auto"/>
              <w:jc w:val="center"/>
              <w:rPr>
                <w:rFonts w:eastAsia="Times New Roman" w:cs="Calibri"/>
                <w:kern w:val="0"/>
                <w:sz w:val="20"/>
                <w:szCs w:val="20"/>
                <w:lang w:eastAsia="pl-PL"/>
              </w:rPr>
            </w:pPr>
            <w:r>
              <w:rPr>
                <w:rFonts w:ascii="Calibri" w:hAnsi="Calibri" w:cs="Calibri"/>
              </w:rPr>
              <w:t>36 323</w:t>
            </w:r>
          </w:p>
        </w:tc>
        <w:tc>
          <w:tcPr>
            <w:tcW w:w="1124" w:type="dxa"/>
            <w:shd w:val="clear" w:color="auto" w:fill="auto"/>
            <w:noWrap/>
            <w:vAlign w:val="bottom"/>
            <w:hideMark/>
          </w:tcPr>
          <w:p w:rsidR="003F2B0C" w:rsidRPr="000922EF" w:rsidRDefault="003F2B0C" w:rsidP="0084338D">
            <w:pPr>
              <w:spacing w:after="0" w:line="240" w:lineRule="auto"/>
              <w:jc w:val="center"/>
              <w:rPr>
                <w:rFonts w:eastAsia="Times New Roman" w:cs="Calibri"/>
                <w:kern w:val="0"/>
                <w:sz w:val="20"/>
                <w:szCs w:val="20"/>
                <w:lang w:eastAsia="pl-PL"/>
              </w:rPr>
            </w:pPr>
            <w:r>
              <w:rPr>
                <w:rFonts w:ascii="Calibri" w:hAnsi="Calibri" w:cs="Calibri"/>
              </w:rPr>
              <w:t>30 447</w:t>
            </w:r>
          </w:p>
        </w:tc>
        <w:tc>
          <w:tcPr>
            <w:tcW w:w="1124" w:type="dxa"/>
            <w:shd w:val="clear" w:color="auto" w:fill="auto"/>
            <w:noWrap/>
            <w:vAlign w:val="bottom"/>
            <w:hideMark/>
          </w:tcPr>
          <w:p w:rsidR="003F2B0C" w:rsidRPr="000922EF" w:rsidRDefault="003F2B0C" w:rsidP="0084338D">
            <w:pPr>
              <w:spacing w:after="0" w:line="240" w:lineRule="auto"/>
              <w:jc w:val="center"/>
              <w:rPr>
                <w:rFonts w:eastAsia="Times New Roman" w:cs="Calibri"/>
                <w:kern w:val="0"/>
                <w:sz w:val="20"/>
                <w:szCs w:val="20"/>
                <w:lang w:eastAsia="pl-PL"/>
              </w:rPr>
            </w:pPr>
            <w:r>
              <w:rPr>
                <w:rFonts w:ascii="Calibri" w:hAnsi="Calibri" w:cs="Calibri"/>
              </w:rPr>
              <w:t>32 732</w:t>
            </w:r>
          </w:p>
        </w:tc>
        <w:tc>
          <w:tcPr>
            <w:tcW w:w="1124" w:type="dxa"/>
            <w:shd w:val="clear" w:color="auto" w:fill="auto"/>
            <w:noWrap/>
            <w:vAlign w:val="bottom"/>
            <w:hideMark/>
          </w:tcPr>
          <w:p w:rsidR="003F2B0C" w:rsidRPr="000922EF" w:rsidRDefault="003F2B0C" w:rsidP="0084338D">
            <w:pPr>
              <w:spacing w:after="0" w:line="240" w:lineRule="auto"/>
              <w:jc w:val="center"/>
              <w:rPr>
                <w:rFonts w:eastAsia="Times New Roman" w:cs="Calibri"/>
                <w:kern w:val="0"/>
                <w:sz w:val="20"/>
                <w:szCs w:val="20"/>
                <w:lang w:eastAsia="pl-PL"/>
              </w:rPr>
            </w:pPr>
            <w:r>
              <w:rPr>
                <w:rFonts w:ascii="Calibri" w:hAnsi="Calibri" w:cs="Calibri"/>
              </w:rPr>
              <w:t>33 290</w:t>
            </w:r>
          </w:p>
        </w:tc>
        <w:tc>
          <w:tcPr>
            <w:tcW w:w="1128" w:type="dxa"/>
            <w:shd w:val="clear" w:color="auto" w:fill="auto"/>
            <w:noWrap/>
            <w:vAlign w:val="bottom"/>
            <w:hideMark/>
          </w:tcPr>
          <w:p w:rsidR="003F2B0C" w:rsidRPr="000922EF" w:rsidRDefault="003F2B0C" w:rsidP="0084338D">
            <w:pPr>
              <w:spacing w:after="0" w:line="240" w:lineRule="auto"/>
              <w:jc w:val="center"/>
              <w:rPr>
                <w:rFonts w:eastAsia="Times New Roman" w:cs="Calibri"/>
                <w:kern w:val="0"/>
                <w:sz w:val="20"/>
                <w:szCs w:val="20"/>
                <w:lang w:eastAsia="pl-PL"/>
              </w:rPr>
            </w:pPr>
            <w:r>
              <w:rPr>
                <w:rFonts w:ascii="Calibri" w:hAnsi="Calibri" w:cs="Calibri"/>
              </w:rPr>
              <w:t>35 023</w:t>
            </w:r>
          </w:p>
        </w:tc>
      </w:tr>
      <w:tr w:rsidR="003F2B0C" w:rsidRPr="000922EF" w:rsidTr="0084338D">
        <w:trPr>
          <w:trHeight w:val="298"/>
        </w:trPr>
        <w:tc>
          <w:tcPr>
            <w:tcW w:w="2296" w:type="dxa"/>
            <w:shd w:val="clear" w:color="auto" w:fill="auto"/>
            <w:vAlign w:val="bottom"/>
            <w:hideMark/>
          </w:tcPr>
          <w:p w:rsidR="003F2B0C" w:rsidRPr="000922EF" w:rsidRDefault="003F2B0C" w:rsidP="0084338D">
            <w:pPr>
              <w:spacing w:after="0" w:line="240" w:lineRule="auto"/>
              <w:jc w:val="left"/>
              <w:rPr>
                <w:rFonts w:eastAsia="Times New Roman" w:cs="Calibri"/>
                <w:kern w:val="0"/>
                <w:sz w:val="20"/>
                <w:szCs w:val="20"/>
                <w:lang w:eastAsia="pl-PL"/>
              </w:rPr>
            </w:pPr>
            <w:r w:rsidRPr="000922EF">
              <w:rPr>
                <w:rFonts w:eastAsia="Times New Roman" w:cs="Calibri"/>
                <w:kern w:val="0"/>
                <w:sz w:val="20"/>
                <w:szCs w:val="20"/>
                <w:lang w:eastAsia="pl-PL"/>
              </w:rPr>
              <w:t>Metropolia Poznań</w:t>
            </w:r>
          </w:p>
        </w:tc>
        <w:tc>
          <w:tcPr>
            <w:tcW w:w="1124" w:type="dxa"/>
            <w:shd w:val="clear" w:color="auto" w:fill="auto"/>
            <w:noWrap/>
            <w:vAlign w:val="center"/>
            <w:hideMark/>
          </w:tcPr>
          <w:p w:rsidR="003F2B0C" w:rsidRPr="000922EF" w:rsidRDefault="003F2B0C" w:rsidP="0084338D">
            <w:pPr>
              <w:spacing w:after="0" w:line="240" w:lineRule="auto"/>
              <w:jc w:val="center"/>
              <w:rPr>
                <w:rFonts w:eastAsia="Times New Roman" w:cs="Calibri"/>
                <w:kern w:val="0"/>
                <w:sz w:val="20"/>
                <w:szCs w:val="20"/>
                <w:lang w:eastAsia="pl-PL"/>
              </w:rPr>
            </w:pPr>
            <w:r w:rsidRPr="000922EF">
              <w:rPr>
                <w:rFonts w:eastAsia="Times New Roman" w:cs="Calibri"/>
                <w:kern w:val="0"/>
                <w:sz w:val="20"/>
                <w:szCs w:val="20"/>
                <w:lang w:eastAsia="pl-PL"/>
              </w:rPr>
              <w:t>14244</w:t>
            </w:r>
          </w:p>
        </w:tc>
        <w:tc>
          <w:tcPr>
            <w:tcW w:w="1124" w:type="dxa"/>
            <w:shd w:val="clear" w:color="auto" w:fill="auto"/>
            <w:noWrap/>
            <w:vAlign w:val="center"/>
            <w:hideMark/>
          </w:tcPr>
          <w:p w:rsidR="003F2B0C" w:rsidRPr="000922EF" w:rsidRDefault="003F2B0C" w:rsidP="0084338D">
            <w:pPr>
              <w:spacing w:after="0" w:line="240" w:lineRule="auto"/>
              <w:jc w:val="center"/>
              <w:rPr>
                <w:rFonts w:eastAsia="Times New Roman" w:cs="Calibri"/>
                <w:kern w:val="0"/>
                <w:sz w:val="20"/>
                <w:szCs w:val="20"/>
                <w:lang w:eastAsia="pl-PL"/>
              </w:rPr>
            </w:pPr>
            <w:r w:rsidRPr="000922EF">
              <w:rPr>
                <w:rFonts w:eastAsia="Times New Roman" w:cs="Calibri"/>
                <w:kern w:val="0"/>
                <w:sz w:val="20"/>
                <w:szCs w:val="20"/>
                <w:lang w:eastAsia="pl-PL"/>
              </w:rPr>
              <w:t>15154</w:t>
            </w:r>
          </w:p>
        </w:tc>
        <w:tc>
          <w:tcPr>
            <w:tcW w:w="1124" w:type="dxa"/>
            <w:shd w:val="clear" w:color="auto" w:fill="auto"/>
            <w:noWrap/>
            <w:vAlign w:val="center"/>
            <w:hideMark/>
          </w:tcPr>
          <w:p w:rsidR="003F2B0C" w:rsidRPr="000922EF" w:rsidRDefault="003F2B0C" w:rsidP="0084338D">
            <w:pPr>
              <w:spacing w:after="0" w:line="240" w:lineRule="auto"/>
              <w:jc w:val="center"/>
              <w:rPr>
                <w:rFonts w:eastAsia="Times New Roman" w:cs="Calibri"/>
                <w:kern w:val="0"/>
                <w:sz w:val="20"/>
                <w:szCs w:val="20"/>
                <w:lang w:eastAsia="pl-PL"/>
              </w:rPr>
            </w:pPr>
            <w:r w:rsidRPr="000922EF">
              <w:rPr>
                <w:rFonts w:eastAsia="Times New Roman" w:cs="Calibri"/>
                <w:kern w:val="0"/>
                <w:sz w:val="20"/>
                <w:szCs w:val="20"/>
                <w:lang w:eastAsia="pl-PL"/>
              </w:rPr>
              <w:t>12506</w:t>
            </w:r>
          </w:p>
        </w:tc>
        <w:tc>
          <w:tcPr>
            <w:tcW w:w="1124" w:type="dxa"/>
            <w:shd w:val="clear" w:color="auto" w:fill="auto"/>
            <w:noWrap/>
            <w:vAlign w:val="center"/>
            <w:hideMark/>
          </w:tcPr>
          <w:p w:rsidR="003F2B0C" w:rsidRPr="000922EF" w:rsidRDefault="003F2B0C" w:rsidP="0084338D">
            <w:pPr>
              <w:spacing w:after="0" w:line="240" w:lineRule="auto"/>
              <w:jc w:val="center"/>
              <w:rPr>
                <w:rFonts w:eastAsia="Times New Roman" w:cs="Calibri"/>
                <w:kern w:val="0"/>
                <w:sz w:val="20"/>
                <w:szCs w:val="20"/>
                <w:lang w:eastAsia="pl-PL"/>
              </w:rPr>
            </w:pPr>
            <w:r w:rsidRPr="000922EF">
              <w:rPr>
                <w:rFonts w:eastAsia="Times New Roman" w:cs="Calibri"/>
                <w:kern w:val="0"/>
                <w:sz w:val="20"/>
                <w:szCs w:val="20"/>
                <w:lang w:eastAsia="pl-PL"/>
              </w:rPr>
              <w:t>13352</w:t>
            </w:r>
          </w:p>
        </w:tc>
        <w:tc>
          <w:tcPr>
            <w:tcW w:w="1124" w:type="dxa"/>
            <w:shd w:val="clear" w:color="auto" w:fill="auto"/>
            <w:noWrap/>
            <w:vAlign w:val="center"/>
            <w:hideMark/>
          </w:tcPr>
          <w:p w:rsidR="003F2B0C" w:rsidRPr="000922EF" w:rsidRDefault="003F2B0C" w:rsidP="0084338D">
            <w:pPr>
              <w:spacing w:after="0" w:line="240" w:lineRule="auto"/>
              <w:jc w:val="center"/>
              <w:rPr>
                <w:rFonts w:eastAsia="Times New Roman" w:cs="Calibri"/>
                <w:kern w:val="0"/>
                <w:sz w:val="20"/>
                <w:szCs w:val="20"/>
                <w:lang w:eastAsia="pl-PL"/>
              </w:rPr>
            </w:pPr>
            <w:r w:rsidRPr="000922EF">
              <w:rPr>
                <w:rFonts w:eastAsia="Times New Roman" w:cs="Calibri"/>
                <w:kern w:val="0"/>
                <w:sz w:val="20"/>
                <w:szCs w:val="20"/>
                <w:lang w:eastAsia="pl-PL"/>
              </w:rPr>
              <w:t>13793</w:t>
            </w:r>
          </w:p>
        </w:tc>
        <w:tc>
          <w:tcPr>
            <w:tcW w:w="1128" w:type="dxa"/>
            <w:shd w:val="clear" w:color="auto" w:fill="auto"/>
            <w:noWrap/>
            <w:vAlign w:val="center"/>
            <w:hideMark/>
          </w:tcPr>
          <w:p w:rsidR="003F2B0C" w:rsidRPr="000922EF" w:rsidRDefault="003F2B0C" w:rsidP="0084338D">
            <w:pPr>
              <w:spacing w:after="0" w:line="240" w:lineRule="auto"/>
              <w:jc w:val="center"/>
              <w:rPr>
                <w:rFonts w:eastAsia="Times New Roman" w:cs="Calibri"/>
                <w:kern w:val="0"/>
                <w:sz w:val="20"/>
                <w:szCs w:val="20"/>
                <w:lang w:eastAsia="pl-PL"/>
              </w:rPr>
            </w:pPr>
            <w:r w:rsidRPr="000922EF">
              <w:rPr>
                <w:rFonts w:eastAsia="Times New Roman" w:cs="Calibri"/>
                <w:kern w:val="0"/>
                <w:sz w:val="20"/>
                <w:szCs w:val="20"/>
                <w:lang w:eastAsia="pl-PL"/>
              </w:rPr>
              <w:t>13884</w:t>
            </w:r>
          </w:p>
        </w:tc>
      </w:tr>
    </w:tbl>
    <w:p w:rsidR="003F2B0C" w:rsidRPr="00D83147" w:rsidRDefault="003F2B0C" w:rsidP="003F2B0C">
      <w:pPr>
        <w:spacing w:line="276" w:lineRule="auto"/>
        <w:rPr>
          <w:iCs/>
          <w:color w:val="363735" w:themeColor="accent3"/>
          <w:sz w:val="20"/>
          <w:szCs w:val="18"/>
        </w:rPr>
      </w:pPr>
      <w:r w:rsidRPr="00D83147">
        <w:rPr>
          <w:iCs/>
          <w:color w:val="363735" w:themeColor="accent3"/>
          <w:sz w:val="20"/>
          <w:szCs w:val="18"/>
        </w:rPr>
        <w:t>Źródło: opracowanie własne na podstawie danych GUS BDL, dostęp 30.01.2025</w:t>
      </w:r>
    </w:p>
    <w:p w:rsidR="003F2B0C" w:rsidRDefault="003F2B0C" w:rsidP="003F2B0C">
      <w:pPr>
        <w:rPr>
          <w:color w:val="000000" w:themeColor="text1"/>
        </w:rPr>
      </w:pPr>
      <w:r w:rsidRPr="00272FFE">
        <w:rPr>
          <w:color w:val="000000" w:themeColor="text1"/>
        </w:rPr>
        <w:t>W 2023 roku w 178 obiektach noclegowych w drezdeńskiej branży noclegowej zaoferowano około 24 500 miejsc noclegowych.</w:t>
      </w:r>
    </w:p>
    <w:p w:rsidR="003F2B0C" w:rsidRPr="00C85740" w:rsidRDefault="003F2B0C" w:rsidP="003F2B0C">
      <w:pPr>
        <w:rPr>
          <w:color w:val="000000" w:themeColor="text1"/>
        </w:rPr>
      </w:pPr>
      <w:r w:rsidRPr="00C85740">
        <w:rPr>
          <w:color w:val="000000" w:themeColor="text1"/>
        </w:rPr>
        <w:t xml:space="preserve">W ramach pogłębienia informacji o mocnych stronach obszarów funkcjonalnych poniżej przedstawiono opis obszarów w zakresie ich atrakcyjności turystycznej i możliwości spędzania wolnego czasu. Wszystkie obszary posiadają walory turystyczne specyficzne dla swojej lokalizacji i nie można wyznaczyć </w:t>
      </w:r>
      <w:r>
        <w:rPr>
          <w:color w:val="000000" w:themeColor="text1"/>
        </w:rPr>
        <w:t xml:space="preserve">ich </w:t>
      </w:r>
      <w:r w:rsidRPr="00C85740">
        <w:rPr>
          <w:color w:val="000000" w:themeColor="text1"/>
        </w:rPr>
        <w:t xml:space="preserve">miejsca w rankingu pod względem ich jakości. </w:t>
      </w:r>
    </w:p>
    <w:p w:rsidR="00CA313E" w:rsidRDefault="00CA313E">
      <w:pPr>
        <w:spacing w:after="160" w:line="259" w:lineRule="auto"/>
        <w:jc w:val="left"/>
        <w:rPr>
          <w:b/>
          <w:bCs/>
          <w:color w:val="FFC000"/>
        </w:rPr>
      </w:pPr>
      <w:r>
        <w:rPr>
          <w:b/>
          <w:bCs/>
          <w:color w:val="FFC000"/>
        </w:rPr>
        <w:br w:type="page"/>
      </w:r>
    </w:p>
    <w:p w:rsidR="003F2B0C" w:rsidRPr="00C5677D" w:rsidRDefault="003F2B0C" w:rsidP="003F2B0C">
      <w:pPr>
        <w:rPr>
          <w:b/>
          <w:bCs/>
        </w:rPr>
      </w:pPr>
      <w:r w:rsidRPr="00EA753F">
        <w:rPr>
          <w:b/>
          <w:bCs/>
          <w:color w:val="FFC000"/>
        </w:rPr>
        <w:lastRenderedPageBreak/>
        <w:t>Wrocławski Obszar Funkcjonalny</w:t>
      </w:r>
    </w:p>
    <w:p w:rsidR="003F2B0C" w:rsidRDefault="003F2B0C" w:rsidP="003F2B0C">
      <w:r w:rsidRPr="00AE7F70">
        <w:t>Wrocławski Obszar Funkcjonalny (</w:t>
      </w:r>
      <w:proofErr w:type="spellStart"/>
      <w:r w:rsidRPr="00AE7F70">
        <w:t>WrOF</w:t>
      </w:r>
      <w:proofErr w:type="spellEnd"/>
      <w:r w:rsidRPr="00AE7F70">
        <w:t>) oferuje wiele atrakcji turystycznych, które przyciągają zarówno miłośników historii, kultury jak i przyrody</w:t>
      </w:r>
      <w:r>
        <w:t xml:space="preserve">, a sam </w:t>
      </w:r>
      <w:r w:rsidRPr="001E3163">
        <w:t>Wrocław jest miastem o bogatej historii i architekturze, oferującym wiele atrakcji turystycznych.</w:t>
      </w:r>
      <w:r>
        <w:t xml:space="preserve"> Głównym atutem całego obszaru są walory przyrodnicze, takie jak parki krajobrazowe „Dolina Baryczy”, „Dolina Bystrzycy”, „</w:t>
      </w:r>
      <w:proofErr w:type="spellStart"/>
      <w:r>
        <w:t>Ślężański</w:t>
      </w:r>
      <w:proofErr w:type="spellEnd"/>
      <w:r>
        <w:t xml:space="preserve"> Park Krajobrazowy”.</w:t>
      </w:r>
    </w:p>
    <w:p w:rsidR="003F2B0C" w:rsidRDefault="003F2B0C" w:rsidP="003F2B0C">
      <w:r>
        <w:t>Do głównych atrakcji turystycznych można zaliczyć Stare Miasto we Wrocławiu – Rynek ze Starym i Nowym Ratuszem, Katedrę św. Jana Chrzciciela, Most Tumski (zwany mostem zakochanych)</w:t>
      </w:r>
      <w:r w:rsidR="00EB226C">
        <w:t>,</w:t>
      </w:r>
      <w:r>
        <w:t xml:space="preserve"> najstarszą część Wrocławia Ostrów Tumski, pochodzącą z X wieku. Hala Stulecia jest o</w:t>
      </w:r>
      <w:r w:rsidRPr="00AE7F70">
        <w:t>biekt</w:t>
      </w:r>
      <w:r>
        <w:t>em</w:t>
      </w:r>
      <w:r w:rsidRPr="00AE7F70">
        <w:t xml:space="preserve"> wpisany</w:t>
      </w:r>
      <w:r>
        <w:t>m</w:t>
      </w:r>
      <w:r w:rsidRPr="00AE7F70">
        <w:t xml:space="preserve"> na Listę Światowego Dziedzictwa UNESCO</w:t>
      </w:r>
      <w:r>
        <w:t xml:space="preserve">. Turystów przyciąga również </w:t>
      </w:r>
      <w:r w:rsidRPr="00AE7F70">
        <w:t xml:space="preserve">ZOO Wrocław oraz </w:t>
      </w:r>
      <w:proofErr w:type="spellStart"/>
      <w:r w:rsidRPr="00AE7F70">
        <w:t>Afrykarium</w:t>
      </w:r>
      <w:proofErr w:type="spellEnd"/>
      <w:r>
        <w:t xml:space="preserve">. Muzeum Narodowe we Wrocławiu jest jednym z najważniejszych tego typu instytucji na Dolnym Śląsku, w jego zasobach jest Panorama Racławicka. W pozostałych gminach znajdują się między innymi takie atrakcje jak: </w:t>
      </w:r>
      <w:r w:rsidRPr="001E11EB">
        <w:t>Pałac w Jelczu-Laskowicach</w:t>
      </w:r>
      <w:r>
        <w:t xml:space="preserve">, </w:t>
      </w:r>
      <w:r w:rsidRPr="0058053C">
        <w:t xml:space="preserve">Kościół </w:t>
      </w:r>
      <w:proofErr w:type="spellStart"/>
      <w:r w:rsidRPr="0058053C">
        <w:t>pw</w:t>
      </w:r>
      <w:proofErr w:type="spellEnd"/>
      <w:r w:rsidRPr="0058053C">
        <w:t>. św. Piotra i Pawła w Kątach Wrocławskich</w:t>
      </w:r>
      <w:r>
        <w:t xml:space="preserve">, </w:t>
      </w:r>
      <w:r w:rsidRPr="001E11EB">
        <w:t>Zamek Piastowski w Obornikach Śląskich</w:t>
      </w:r>
      <w:r>
        <w:t xml:space="preserve">, Kościół </w:t>
      </w:r>
      <w:r w:rsidRPr="00033D28">
        <w:t>Niepokalanego Serca NMP</w:t>
      </w:r>
      <w:r>
        <w:t xml:space="preserve"> w Siechnicach, </w:t>
      </w:r>
      <w:r w:rsidRPr="001E11EB">
        <w:t>Zamek Sobót</w:t>
      </w:r>
      <w:r>
        <w:t>ka-Górka</w:t>
      </w:r>
      <w:r w:rsidRPr="001E11EB">
        <w:t xml:space="preserve">, </w:t>
      </w:r>
      <w:r w:rsidRPr="004F0306">
        <w:t xml:space="preserve">kościół p.w. Nawiedzenia Najświętszej Maryi Panny na Górze Ślęża </w:t>
      </w:r>
      <w:r>
        <w:t xml:space="preserve">w Sobótce, </w:t>
      </w:r>
      <w:r w:rsidRPr="001E11EB">
        <w:t>Bazylika św. Jadwigi Śląskiej</w:t>
      </w:r>
      <w:r>
        <w:t xml:space="preserve"> w Trzebnicy</w:t>
      </w:r>
      <w:r w:rsidRPr="001E11EB">
        <w:t xml:space="preserve">, </w:t>
      </w:r>
      <w:r w:rsidRPr="004F0306">
        <w:t xml:space="preserve">Muzeum </w:t>
      </w:r>
      <w:proofErr w:type="spellStart"/>
      <w:r w:rsidRPr="004F0306">
        <w:t>Ślężańskie</w:t>
      </w:r>
      <w:proofErr w:type="spellEnd"/>
      <w:r w:rsidRPr="004F0306">
        <w:t> im. Stanisława Dunajewskiego w Sobótce</w:t>
      </w:r>
      <w:r>
        <w:t xml:space="preserve">, </w:t>
      </w:r>
      <w:r w:rsidRPr="001E11EB">
        <w:t>Zamek Książęcy</w:t>
      </w:r>
      <w:r>
        <w:t xml:space="preserve">, </w:t>
      </w:r>
      <w:r w:rsidRPr="0024154B">
        <w:t>Bazylika Mniejsza</w:t>
      </w:r>
      <w:r>
        <w:t xml:space="preserve"> w Oleśnicy</w:t>
      </w:r>
      <w:r w:rsidRPr="0024154B">
        <w:t>, Cerkiew Prawosławna</w:t>
      </w:r>
      <w:r>
        <w:t xml:space="preserve"> w </w:t>
      </w:r>
      <w:r w:rsidR="00EB226C">
        <w:t>Oleśnicy</w:t>
      </w:r>
      <w:r w:rsidRPr="0024154B">
        <w:t>, Brama Wrocławska z murami obronnymi</w:t>
      </w:r>
      <w:r w:rsidRPr="001E11EB">
        <w:t xml:space="preserve"> w Oleśnicy, Muzeum Ziemi Oleśnickiej</w:t>
      </w:r>
      <w:r>
        <w:t>.</w:t>
      </w:r>
    </w:p>
    <w:p w:rsidR="003F2B0C" w:rsidRPr="00D83147" w:rsidRDefault="003F2B0C" w:rsidP="003F2B0C">
      <w:r>
        <w:t xml:space="preserve">W granicach miasta Wrocław przebiegają trasy rowerowe o charakterze typowo turystycznym, takie jak: </w:t>
      </w:r>
      <w:proofErr w:type="spellStart"/>
      <w:r>
        <w:t>EuroVelo</w:t>
      </w:r>
      <w:proofErr w:type="spellEnd"/>
      <w:r>
        <w:t xml:space="preserve"> 9, Trasa rowerowa Twierdzy Wrocław, Szlak Odry – trasa rowerowa położona wzdłuż Odry, która rozgałęzia się na wysokości Wyspy Opatowieckiej. Poza Wrocławiem przebiegają również trasy rowerowe, tj.: Szlak im. Turonia oraz Korona Kocich Gór. Bogatą ofertę tras rowerowych posiada miasto Oleśnica. W granicach miasta, jak również w jego najbliższej okolicy przebiegają liczne trasy m.in. Trasa Rynek – Zamek Oleśnickich, Trasa przez Zalew Stradomia, Trasa Zamek Oleśnickich – Kościół w Boguszycach.</w:t>
      </w:r>
    </w:p>
    <w:p w:rsidR="003F2B0C" w:rsidRDefault="003F2B0C" w:rsidP="003F2B0C">
      <w:pPr>
        <w:rPr>
          <w:b/>
          <w:bCs/>
          <w:color w:val="FFC000"/>
        </w:rPr>
      </w:pPr>
      <w:r w:rsidRPr="00EA753F">
        <w:rPr>
          <w:b/>
          <w:bCs/>
          <w:color w:val="FFC000"/>
        </w:rPr>
        <w:t>Metropolia Krakowska</w:t>
      </w:r>
    </w:p>
    <w:p w:rsidR="003F2B0C" w:rsidRDefault="003F2B0C" w:rsidP="003F2B0C">
      <w:r w:rsidRPr="001B3842">
        <w:t>Metropolia</w:t>
      </w:r>
      <w:r>
        <w:t xml:space="preserve"> </w:t>
      </w:r>
      <w:r w:rsidRPr="001B3842">
        <w:t>Krakowska jest obszarem niezwykle atrakcyjnym pod względem turystyki i rekreacji.</w:t>
      </w:r>
      <w:r>
        <w:t xml:space="preserve"> Kluczową atrakcję stanowi Miasto Kraków , którego Stare Miasto jest wpisane na Listę Światowego Dziedzictwa (UNESCO). Wieliczka posiada jedną z najsłynniejszych na świecie kopalni soli. Na obszarze Metropolii znajduje się również Ojcowski Park Narodowy, urozmaicony krajobraz naturalny obejmujący obszary podgórskie Beskidów, doliny rzek Wisły, Skawy i Raby oraz Wyżynę Krakowsko-Częstochowską, a także 5 parków krajobrazowych: </w:t>
      </w:r>
      <w:proofErr w:type="spellStart"/>
      <w:r>
        <w:t>Rudniański</w:t>
      </w:r>
      <w:proofErr w:type="spellEnd"/>
      <w:r>
        <w:t>, Bielańsko-Tyniecki,</w:t>
      </w:r>
    </w:p>
    <w:p w:rsidR="003F2B0C" w:rsidRDefault="003F2B0C" w:rsidP="003F2B0C">
      <w:r>
        <w:lastRenderedPageBreak/>
        <w:t xml:space="preserve">Dolinki Krakowskie, Dolina </w:t>
      </w:r>
      <w:proofErr w:type="spellStart"/>
      <w:r>
        <w:t>Dłubni</w:t>
      </w:r>
      <w:proofErr w:type="spellEnd"/>
      <w:r>
        <w:t>, Tenczyński. Metropolia przyciąga również miejscami kultu religijnego takimi jak: Najstarsze Opactwo Benedyktynek na ziemiach polskich – klasztor w Staniątkach, Sanktuarium Bożego Miłosierdzia w Krakowie-Łagiewnikach, Opactwo Cystersów w Krakowie-Mogile, liczne szlaki papieskie związane z miejscami pobytu i pielgrzymek Papieża-Polaka do Polski i Małopolski.</w:t>
      </w:r>
    </w:p>
    <w:p w:rsidR="003F2B0C" w:rsidRDefault="003F2B0C" w:rsidP="003F2B0C">
      <w:r>
        <w:t xml:space="preserve">Przez Obszar Metropolii przebiegają również liczne szlaki turystyczne takie jak: Szlak Orlich Gniazd, Szlak Architektury Drewnianej, Szlak Frontu Wschodniego I Wojny Światowej, Szlak Cysterski, Szlak Św. Jakuba. </w:t>
      </w:r>
    </w:p>
    <w:p w:rsidR="003F2B0C" w:rsidRDefault="003F2B0C" w:rsidP="003F2B0C">
      <w:r>
        <w:t xml:space="preserve">Sieć dróg rowerowych VELOMAŁOPOLSKA obejmuje sieć 8 tras rowerowych o europejskim standardzie zaprojektowanych w taki sposób, by umożliwić dotarcie do najcenniejszych przyrodniczo i turystycznie obszarów Małopolski. Metropolię Krakowską przecinają trzy trasy: Wiślana Trasa Rowerowa, </w:t>
      </w:r>
      <w:proofErr w:type="spellStart"/>
      <w:r>
        <w:t>VeloDunajec</w:t>
      </w:r>
      <w:proofErr w:type="spellEnd"/>
      <w:r>
        <w:t xml:space="preserve"> i </w:t>
      </w:r>
      <w:proofErr w:type="spellStart"/>
      <w:r>
        <w:t>VeloMetropolis</w:t>
      </w:r>
      <w:proofErr w:type="spellEnd"/>
      <w:r>
        <w:t xml:space="preserve">, w fazie projektowania są: </w:t>
      </w:r>
      <w:proofErr w:type="spellStart"/>
      <w:r>
        <w:t>VeloPrądnik</w:t>
      </w:r>
      <w:proofErr w:type="spellEnd"/>
      <w:r>
        <w:t xml:space="preserve"> i </w:t>
      </w:r>
      <w:proofErr w:type="spellStart"/>
      <w:r>
        <w:t>VeloRudawa</w:t>
      </w:r>
      <w:proofErr w:type="spellEnd"/>
      <w:r>
        <w:t xml:space="preserve">. </w:t>
      </w:r>
    </w:p>
    <w:p w:rsidR="003F2B0C" w:rsidRDefault="003F2B0C" w:rsidP="003F2B0C">
      <w:pPr>
        <w:rPr>
          <w:b/>
          <w:bCs/>
          <w:color w:val="FFC000"/>
        </w:rPr>
      </w:pPr>
      <w:r w:rsidRPr="000922EF">
        <w:rPr>
          <w:b/>
          <w:bCs/>
          <w:color w:val="FFC000"/>
        </w:rPr>
        <w:t>Metropolia Poznań</w:t>
      </w:r>
    </w:p>
    <w:p w:rsidR="003F2B0C" w:rsidRDefault="003F2B0C" w:rsidP="003F2B0C">
      <w:r w:rsidRPr="001E11EB">
        <w:t>Metropolia Poznań oferuje bogactwo atrakcji turystycznych, zarówno w samym Poznaniu, jak i</w:t>
      </w:r>
      <w:r>
        <w:t> </w:t>
      </w:r>
      <w:r w:rsidRPr="001E11EB">
        <w:t>w</w:t>
      </w:r>
      <w:r>
        <w:t> </w:t>
      </w:r>
      <w:r w:rsidRPr="001E11EB">
        <w:t>okolicznych gminach.</w:t>
      </w:r>
      <w:r>
        <w:t xml:space="preserve"> W Poznaniu do największych atrakcji można zaliczyć </w:t>
      </w:r>
      <w:r w:rsidRPr="001E11EB">
        <w:t>Stary Rynek</w:t>
      </w:r>
      <w:r>
        <w:t>, który jest c</w:t>
      </w:r>
      <w:r w:rsidRPr="001E11EB">
        <w:t>entralny</w:t>
      </w:r>
      <w:r>
        <w:t>m</w:t>
      </w:r>
      <w:r w:rsidRPr="001E11EB">
        <w:t xml:space="preserve"> punkt miasta z renesansowym Ratuszem i Muzeum Historii Miasta Poznania</w:t>
      </w:r>
      <w:r>
        <w:t xml:space="preserve">. Oprócz tego w Poznaniu znajduje się również Katedra św. Jana Jerozolimskiego na Ostrowie Tumskim, Palmiarnia czy Zamek Cesarski. Oprócz Poznania atrakcje turystyczne znajdują się również w Buku – Pałac i </w:t>
      </w:r>
      <w:r w:rsidRPr="0057091D">
        <w:t xml:space="preserve">Kościół </w:t>
      </w:r>
      <w:proofErr w:type="spellStart"/>
      <w:r w:rsidRPr="0057091D">
        <w:t>pw</w:t>
      </w:r>
      <w:proofErr w:type="spellEnd"/>
      <w:r w:rsidRPr="0057091D">
        <w:t>. św. Stanisława Biskupa</w:t>
      </w:r>
      <w:r>
        <w:t xml:space="preserve">, w Czerwonaku znajdują się rezerwat przyrody "Biała Góra", oraz Kościół </w:t>
      </w:r>
      <w:proofErr w:type="spellStart"/>
      <w:r>
        <w:t>pw</w:t>
      </w:r>
      <w:proofErr w:type="spellEnd"/>
      <w:r>
        <w:t xml:space="preserve">. Matki Boskiej Częstochowskie, w Dopiewie znajdują się Pałac oraz rezerwat przyrody "Dębina", w Mosinie znajdują się Pałac Mosiński z parkiem krajobrazowym oraz Muzeum Ziemi Mosińskiej imienia dr Stanisława Michalskiego, w Pobiedziskach znajdują się ruiny zamku krzyżackiego, </w:t>
      </w:r>
      <w:r w:rsidRPr="0057091D">
        <w:t xml:space="preserve">Kościół parafialny </w:t>
      </w:r>
      <w:proofErr w:type="spellStart"/>
      <w:r w:rsidRPr="0057091D">
        <w:t>pw</w:t>
      </w:r>
      <w:proofErr w:type="spellEnd"/>
      <w:r w:rsidRPr="0057091D">
        <w:t>.</w:t>
      </w:r>
      <w:r>
        <w:t xml:space="preserve"> </w:t>
      </w:r>
      <w:r w:rsidRPr="0057091D">
        <w:t>Najświętszego Serca Pana Jezusa</w:t>
      </w:r>
      <w:r>
        <w:t xml:space="preserve">. </w:t>
      </w:r>
    </w:p>
    <w:p w:rsidR="003F2B0C" w:rsidRDefault="003F2B0C" w:rsidP="003F2B0C">
      <w:r>
        <w:t>W okolicy Poznania znajduje się Wielkopolski Park Narodowy j</w:t>
      </w:r>
      <w:r w:rsidRPr="0057091D">
        <w:t>eden z najstarszych parków narodowych w Polsce, oferujący malownicze szlaki piesze oraz piękne jeziora jak Kociołek czy Góreckiego</w:t>
      </w:r>
      <w:r>
        <w:t xml:space="preserve">. Na obszarze Metropolii Poznań znajduje się również Rezerwat Przyrody Meteoryt </w:t>
      </w:r>
      <w:proofErr w:type="spellStart"/>
      <w:r>
        <w:t>Morasko</w:t>
      </w:r>
      <w:proofErr w:type="spellEnd"/>
      <w:r>
        <w:t xml:space="preserve">, unikalny rezerwat przyrody utworzony przez krater meteorytowy –który jest jednym z niewielu takich miejsc na świecie. </w:t>
      </w:r>
    </w:p>
    <w:p w:rsidR="003F2B0C" w:rsidRPr="001E11EB" w:rsidRDefault="003F2B0C" w:rsidP="003F2B0C">
      <w:r>
        <w:t xml:space="preserve">Na obszarze Metropolii Poznań znajdują się również atrakcyjne trasy rowerowe i pieszo-rowerowe takie jak Euro </w:t>
      </w:r>
      <w:proofErr w:type="spellStart"/>
      <w:r>
        <w:t>Velo</w:t>
      </w:r>
      <w:proofErr w:type="spellEnd"/>
      <w:r>
        <w:t xml:space="preserve"> 9 (Szlak Bursztynowy), Nadwarciański Szlak Rowerowy, Pierścień dookoła Poznania, </w:t>
      </w:r>
      <w:proofErr w:type="spellStart"/>
      <w:r>
        <w:t>Wartostrada</w:t>
      </w:r>
      <w:proofErr w:type="spellEnd"/>
      <w:r>
        <w:t xml:space="preserve">. </w:t>
      </w:r>
    </w:p>
    <w:p w:rsidR="003F2B0C" w:rsidRDefault="003F2B0C" w:rsidP="003F2B0C">
      <w:pPr>
        <w:rPr>
          <w:b/>
          <w:bCs/>
          <w:color w:val="FFC000"/>
        </w:rPr>
      </w:pPr>
      <w:r w:rsidRPr="004144B0">
        <w:rPr>
          <w:b/>
          <w:bCs/>
          <w:color w:val="FFC000"/>
        </w:rPr>
        <w:t>Brneński Obszar Metropolitalny</w:t>
      </w:r>
      <w:r>
        <w:rPr>
          <w:b/>
          <w:bCs/>
          <w:color w:val="FFC000"/>
        </w:rPr>
        <w:t xml:space="preserve"> (BMO)</w:t>
      </w:r>
    </w:p>
    <w:p w:rsidR="003F2B0C" w:rsidRDefault="003F2B0C" w:rsidP="003F2B0C">
      <w:r w:rsidRPr="007A6FE4">
        <w:rPr>
          <w:b/>
          <w:bCs/>
        </w:rPr>
        <w:lastRenderedPageBreak/>
        <w:t>Brno i jego obszar metropolitalny</w:t>
      </w:r>
      <w:r>
        <w:t xml:space="preserve"> </w:t>
      </w:r>
      <w:r w:rsidRPr="007A6FE4">
        <w:t>stanowią atrakcyjną alternatywę dla zatłoczonych europejskich stolic, łącząc kameralną atmosferę</w:t>
      </w:r>
      <w:r>
        <w:t xml:space="preserve"> mniejszego ośrodka miejskiego</w:t>
      </w:r>
      <w:r w:rsidRPr="007A6FE4">
        <w:t xml:space="preserve"> z bogactwem zabytków i przyrody</w:t>
      </w:r>
      <w:r w:rsidRPr="00D82595">
        <w:t>.</w:t>
      </w:r>
      <w:r>
        <w:t xml:space="preserve"> </w:t>
      </w:r>
      <w:r w:rsidRPr="00100999">
        <w:t>Pó</w:t>
      </w:r>
      <w:r w:rsidRPr="005D3F19">
        <w:t>łnocna część BMO jest atrakcyjna ze względu na warunki naturalne</w:t>
      </w:r>
      <w:r>
        <w:t xml:space="preserve">, np. </w:t>
      </w:r>
      <w:r w:rsidRPr="005D3F19">
        <w:t>Obszar Chroniony Morawskiego</w:t>
      </w:r>
      <w:r>
        <w:t xml:space="preserve"> </w:t>
      </w:r>
      <w:r w:rsidRPr="005D3F19">
        <w:t xml:space="preserve">Krasu. </w:t>
      </w:r>
      <w:r>
        <w:t>Na południu obszaru atrakcje turystyczne stanowią r</w:t>
      </w:r>
      <w:r w:rsidRPr="005D3F19">
        <w:t>egiony winiarskie</w:t>
      </w:r>
      <w:r>
        <w:t xml:space="preserve">. Do najciekawszych atrakcji turystycznych Brna i okolic można zaliczyć również: Zamek </w:t>
      </w:r>
      <w:proofErr w:type="spellStart"/>
      <w:r>
        <w:t>Špilberk</w:t>
      </w:r>
      <w:proofErr w:type="spellEnd"/>
      <w:r>
        <w:t xml:space="preserve">: historyczną twierdzę i symbol miasta Brno, Katedrę św. Piotra i Pawła, która znajduje się na wzgórzu </w:t>
      </w:r>
      <w:proofErr w:type="spellStart"/>
      <w:r>
        <w:t>Petrov</w:t>
      </w:r>
      <w:proofErr w:type="spellEnd"/>
      <w:r>
        <w:t xml:space="preserve"> i jest jednym z najbardziej charakterystycznych punktów orientacyjnych miasta, Muzeum Miejskie w Brnie (</w:t>
      </w:r>
      <w:proofErr w:type="spellStart"/>
      <w:r>
        <w:t>Městské</w:t>
      </w:r>
      <w:proofErr w:type="spellEnd"/>
      <w:r>
        <w:t xml:space="preserve"> muzeum v </w:t>
      </w:r>
      <w:proofErr w:type="spellStart"/>
      <w:r>
        <w:t>Brně</w:t>
      </w:r>
      <w:proofErr w:type="spellEnd"/>
      <w:r>
        <w:t>), które prezentuje historię miasta oraz regionu.</w:t>
      </w:r>
    </w:p>
    <w:p w:rsidR="003F2B0C" w:rsidRDefault="003F2B0C" w:rsidP="003F2B0C">
      <w:r>
        <w:t xml:space="preserve">Do atrakcji regionalnych można zaliczyć: </w:t>
      </w:r>
      <w:proofErr w:type="spellStart"/>
      <w:r>
        <w:t>Moravský</w:t>
      </w:r>
      <w:proofErr w:type="spellEnd"/>
      <w:r>
        <w:t xml:space="preserve"> Kras (Kras Morawski) unikalny system jaskiń krasowych położony niedaleko Brna, Zamek </w:t>
      </w:r>
      <w:proofErr w:type="spellStart"/>
      <w:r>
        <w:t>Veveří</w:t>
      </w:r>
      <w:proofErr w:type="spellEnd"/>
      <w:r>
        <w:t xml:space="preserve"> - średniowieczną twierdzę nad rzeką </w:t>
      </w:r>
      <w:proofErr w:type="spellStart"/>
      <w:r>
        <w:t>Svratka</w:t>
      </w:r>
      <w:proofErr w:type="spellEnd"/>
      <w:r>
        <w:t xml:space="preserve"> - popularne miejsce wycieczek rowerowych i pieszych, czy płaskowyż </w:t>
      </w:r>
      <w:proofErr w:type="spellStart"/>
      <w:r>
        <w:t>Drahanská</w:t>
      </w:r>
      <w:proofErr w:type="spellEnd"/>
      <w:r>
        <w:t xml:space="preserve"> </w:t>
      </w:r>
      <w:proofErr w:type="spellStart"/>
      <w:r>
        <w:t>Vrchovina</w:t>
      </w:r>
      <w:proofErr w:type="spellEnd"/>
      <w:r>
        <w:t xml:space="preserve"> - obszar chroniony ze względu na swoją unikalną przyrodę.</w:t>
      </w:r>
    </w:p>
    <w:p w:rsidR="003F2B0C" w:rsidRDefault="003F2B0C" w:rsidP="003F2B0C">
      <w:pPr>
        <w:rPr>
          <w:b/>
          <w:bCs/>
          <w:color w:val="FFC000"/>
        </w:rPr>
      </w:pPr>
      <w:r>
        <w:rPr>
          <w:b/>
          <w:bCs/>
          <w:color w:val="FFC000"/>
        </w:rPr>
        <w:t>Aglomeracja Drezna</w:t>
      </w:r>
    </w:p>
    <w:p w:rsidR="003F2B0C" w:rsidRPr="00D82595" w:rsidRDefault="003F2B0C" w:rsidP="003F2B0C">
      <w:r>
        <w:t>Aglomeracja Drezna</w:t>
      </w:r>
      <w:r w:rsidRPr="008418E3">
        <w:t>, obejmując</w:t>
      </w:r>
      <w:r>
        <w:t>a</w:t>
      </w:r>
      <w:r w:rsidRPr="008418E3">
        <w:t xml:space="preserve"> miasto i jego okolice, oferuje wiele atrakcji turystycznych</w:t>
      </w:r>
      <w:r>
        <w:t xml:space="preserve">. </w:t>
      </w:r>
      <w:r w:rsidRPr="00D82595">
        <w:t>Drezno</w:t>
      </w:r>
      <w:r>
        <w:t xml:space="preserve"> </w:t>
      </w:r>
      <w:r w:rsidRPr="00D82595">
        <w:t>jest miastem o bogatej historii i kulturze, często nazywanym "Florencją nad Łabą".</w:t>
      </w:r>
      <w:r>
        <w:t xml:space="preserve"> Do najbardziej znanych atrakcji Drezna możemy zaliczyć Pałac Zwinger, symbol barokowego splendoru Drezna, w którym znajduje się Galeria Obrazów Starych Mistrzów z dziełami Tycjana i Rubensa, Zamek </w:t>
      </w:r>
      <w:proofErr w:type="spellStart"/>
      <w:r>
        <w:t>Rezydencyjny</w:t>
      </w:r>
      <w:proofErr w:type="spellEnd"/>
      <w:r>
        <w:t xml:space="preserve"> (</w:t>
      </w:r>
      <w:proofErr w:type="spellStart"/>
      <w:r>
        <w:t>Residenzschloß</w:t>
      </w:r>
      <w:proofErr w:type="spellEnd"/>
      <w:r>
        <w:t>) -muzeum ze skarbcem Zielone Sklepienie, pełnym drogocennych klejnotów, Orszak Książęcy (</w:t>
      </w:r>
      <w:proofErr w:type="spellStart"/>
      <w:r>
        <w:t>Fürstenzug</w:t>
      </w:r>
      <w:proofErr w:type="spellEnd"/>
      <w:r>
        <w:t xml:space="preserve">) największy na świecie ceramiczny obraz ścienny przedstawiający władców Saksonii, Operę </w:t>
      </w:r>
      <w:proofErr w:type="spellStart"/>
      <w:r>
        <w:t>Sempera</w:t>
      </w:r>
      <w:proofErr w:type="spellEnd"/>
      <w:r>
        <w:t xml:space="preserve"> - znany teatr operowy z imponującą architekturą i bogatym repertuarem artystycznym, </w:t>
      </w:r>
      <w:proofErr w:type="spellStart"/>
      <w:r>
        <w:t>Großer</w:t>
      </w:r>
      <w:proofErr w:type="spellEnd"/>
      <w:r>
        <w:t xml:space="preserve"> </w:t>
      </w:r>
      <w:proofErr w:type="spellStart"/>
      <w:r>
        <w:t>Garten</w:t>
      </w:r>
      <w:proofErr w:type="spellEnd"/>
      <w:r>
        <w:t xml:space="preserve">, największy park miejski w Dreźnie, oferujący spacery oraz atrakcje takie jak ogród botaniczny i zoo oraz kompleks pałacowo-ogrodowy </w:t>
      </w:r>
      <w:proofErr w:type="spellStart"/>
      <w:r>
        <w:t>Pillnitz</w:t>
      </w:r>
      <w:proofErr w:type="spellEnd"/>
      <w:r>
        <w:t xml:space="preserve"> położony na obrzeżach Drezna.</w:t>
      </w:r>
    </w:p>
    <w:p w:rsidR="003F2B0C" w:rsidRDefault="003F2B0C">
      <w:pPr>
        <w:spacing w:after="160" w:line="259" w:lineRule="auto"/>
        <w:jc w:val="left"/>
        <w:rPr>
          <w:b/>
          <w:bCs/>
        </w:rPr>
      </w:pPr>
      <w:r>
        <w:rPr>
          <w:b/>
          <w:bCs/>
        </w:rPr>
        <w:br w:type="page"/>
      </w:r>
    </w:p>
    <w:p w:rsidR="003F2B0C" w:rsidRDefault="003F2B0C" w:rsidP="003F2B0C">
      <w:pPr>
        <w:rPr>
          <w:b/>
          <w:bCs/>
        </w:rPr>
      </w:pPr>
      <w:r w:rsidRPr="00776BD6">
        <w:rPr>
          <w:b/>
          <w:bCs/>
        </w:rPr>
        <w:lastRenderedPageBreak/>
        <w:t>9.Relacje władz publicznych (współpraca na poziomie obszaru funkcjonalnego)</w:t>
      </w:r>
    </w:p>
    <w:p w:rsidR="003F2B0C" w:rsidRDefault="003F2B0C" w:rsidP="003F2B0C">
      <w:pPr>
        <w:rPr>
          <w:color w:val="FFC000"/>
        </w:rPr>
      </w:pPr>
      <w:r w:rsidRPr="00EA753F">
        <w:rPr>
          <w:b/>
          <w:bCs/>
          <w:color w:val="FFC000"/>
        </w:rPr>
        <w:t>Wrocławski Obszar Funkcjonalny</w:t>
      </w:r>
    </w:p>
    <w:p w:rsidR="003F2B0C" w:rsidRDefault="003F2B0C" w:rsidP="003F2B0C">
      <w:r w:rsidRPr="0052102E">
        <w:t>Relacje władz publicznych we Wrocławskim Obszarze Funkcjonalnym (</w:t>
      </w:r>
      <w:proofErr w:type="spellStart"/>
      <w:r w:rsidRPr="0052102E">
        <w:t>WrOF</w:t>
      </w:r>
      <w:proofErr w:type="spellEnd"/>
      <w:r w:rsidRPr="0052102E">
        <w:t>) opierają się na współpracy między 19 jednostkami samorządu terytorialnego, w tym Wrocławiem jako rdzeniem oraz otaczającymi go gminami. Współpraca ta realizowana jest głównie w ramach Zintegrowanych Inwestycji Terytorialnych (ZIT), które umożliwiają koordynację działań na poziomie ponadlokalnym.</w:t>
      </w:r>
      <w:r>
        <w:t xml:space="preserve"> Porozumienie międzygminne zostało zawarte 17 grudnia 2021 r. i określa zasady współpracy w zakresie programowania, wdrażania, finansowania, ewaluacji i realizacji wspólnych przedsięwzięć w ramach ZIT </w:t>
      </w:r>
      <w:proofErr w:type="spellStart"/>
      <w:r>
        <w:t>WrOF</w:t>
      </w:r>
      <w:proofErr w:type="spellEnd"/>
      <w:r>
        <w:t xml:space="preserve">. Liderem porozumienia jest Gmina Wrocław, która pełni funkcję koordynacyjną poprzez Biuro ZIT </w:t>
      </w:r>
      <w:proofErr w:type="spellStart"/>
      <w:r>
        <w:t>WrOF</w:t>
      </w:r>
      <w:proofErr w:type="spellEnd"/>
      <w:r>
        <w:t xml:space="preserve"> działające w strukturach Urzędu Miejskiego Wrocławia. Gminy współpracują przy opracowywaniu długoterminowych strategii rozwoju, takich jak Strategia </w:t>
      </w:r>
      <w:proofErr w:type="spellStart"/>
      <w:r>
        <w:t>WrOF</w:t>
      </w:r>
      <w:proofErr w:type="spellEnd"/>
      <w:r>
        <w:t xml:space="preserve"> 2050. Kluczowe obszary współpracy obejmują zrównoważoną mobilność, ochronę środowiska, rozwój infrastruktury i poprawę jakości życia mieszkańców. </w:t>
      </w:r>
    </w:p>
    <w:p w:rsidR="003F2B0C" w:rsidRDefault="003F2B0C" w:rsidP="003F2B0C">
      <w:pPr>
        <w:rPr>
          <w:b/>
          <w:bCs/>
          <w:color w:val="FFC000"/>
        </w:rPr>
      </w:pPr>
      <w:r w:rsidRPr="00EA753F">
        <w:rPr>
          <w:b/>
          <w:bCs/>
          <w:color w:val="FFC000"/>
        </w:rPr>
        <w:t>Metropolia Krakowska</w:t>
      </w:r>
    </w:p>
    <w:p w:rsidR="003F2B0C" w:rsidRPr="00697C7A" w:rsidRDefault="003F2B0C" w:rsidP="003F2B0C">
      <w:r w:rsidRPr="00697C7A">
        <w:t>Relacje władz publicznych w Metropolii Krakowskiej opierają się na zinstytucjonalizowanej współpracy w ramach Stowarzyszenia Metropolia Krakowska (SMK), które integruje Kraków i</w:t>
      </w:r>
      <w:r>
        <w:t> </w:t>
      </w:r>
      <w:r w:rsidRPr="00697C7A">
        <w:t>otaczających go gmin. Współpraca ta ma na celu realizację wspólnych celów rozwojowych, określonych m.in. w Strategii Metropolia Krakowska 2030 oraz wdrażanie Zintegrowanych Inwestycji Terytorialnych (ZIT).</w:t>
      </w:r>
      <w:r>
        <w:t xml:space="preserve"> Stowarzyszenie pełni funkcję koordynatora działań na poziomie obszaru funkcjonalnego, łącząc różnorodne interesy gmin członkowskich. Zarząd SMK odpowiada za realizację strategii oraz utrzymywanie relacji z partnerami zewnętrznymi i międzynarodowymi. Komisje tematyczne zajmują się kluczowymi obszarami współpracy, takimi jak środowisko, mobilność, gospodarka czy edukacja. SMK pełni rolę Związku ZIT, odpowiedzialnego za wdrażanie projektów współfinansowanych ze środków unijnych. System ten gwarantuje partnerskie podejście do zarządzania i szerokie uprawnienia dla gmin członkowskich</w:t>
      </w:r>
    </w:p>
    <w:p w:rsidR="003F2B0C" w:rsidRDefault="003F2B0C" w:rsidP="003F2B0C">
      <w:pPr>
        <w:rPr>
          <w:b/>
          <w:bCs/>
          <w:color w:val="FFC000"/>
        </w:rPr>
      </w:pPr>
      <w:r>
        <w:rPr>
          <w:b/>
          <w:bCs/>
          <w:color w:val="FFC000"/>
        </w:rPr>
        <w:t>Metropolia Poznań</w:t>
      </w:r>
    </w:p>
    <w:p w:rsidR="003F2B0C" w:rsidRPr="00C303FD" w:rsidRDefault="003F2B0C" w:rsidP="003F2B0C">
      <w:r w:rsidRPr="00A55A84">
        <w:t>Relacje władz publicznych w Metropolii Poznań opierają się na zintegrowanej współpracy samorządów w ramach Miejskiego Obszaru Funkcjonalnego (MOF).Stowarzyszenie Metropolia Poznań (SMP)</w:t>
      </w:r>
      <w:r>
        <w:t xml:space="preserve"> tworzą </w:t>
      </w:r>
      <w:r w:rsidRPr="00A55A84">
        <w:t>Miasto Poznań, Powiat Poznański oraz 21 gmin. SMP pełni funkcję platformy koordynującej działania na poziomie metropolitalnym, umożliwiając realizację wspólnych projektów i strategii</w:t>
      </w:r>
      <w:r>
        <w:t xml:space="preserve">. </w:t>
      </w:r>
      <w:r w:rsidRPr="00A55A84">
        <w:t>Organ</w:t>
      </w:r>
      <w:r>
        <w:t>em</w:t>
      </w:r>
      <w:r w:rsidRPr="00A55A84">
        <w:t xml:space="preserve"> decyzyjny</w:t>
      </w:r>
      <w:r>
        <w:t>m</w:t>
      </w:r>
      <w:r w:rsidRPr="00A55A84">
        <w:t xml:space="preserve"> integruj</w:t>
      </w:r>
      <w:r>
        <w:t>ącym</w:t>
      </w:r>
      <w:r w:rsidRPr="00A55A84">
        <w:t xml:space="preserve"> przedstawicieli wszystkich członków SMP</w:t>
      </w:r>
      <w:r>
        <w:t xml:space="preserve"> jest Rada Metropolii</w:t>
      </w:r>
      <w:r w:rsidRPr="00A55A84">
        <w:t>. Ustanawia</w:t>
      </w:r>
      <w:r>
        <w:t xml:space="preserve"> ona</w:t>
      </w:r>
      <w:r w:rsidRPr="00A55A84">
        <w:t xml:space="preserve"> kluczowe kierunki rozwoju i podejmuje uchwały dotyczące MOF</w:t>
      </w:r>
      <w:r>
        <w:t xml:space="preserve">. </w:t>
      </w:r>
    </w:p>
    <w:p w:rsidR="003F2B0C" w:rsidRDefault="003F2B0C" w:rsidP="003F2B0C">
      <w:pPr>
        <w:rPr>
          <w:b/>
          <w:bCs/>
          <w:color w:val="FFC000"/>
        </w:rPr>
      </w:pPr>
      <w:r w:rsidRPr="004144B0">
        <w:rPr>
          <w:b/>
          <w:bCs/>
          <w:color w:val="FFC000"/>
        </w:rPr>
        <w:t>Brneński Obszar Metropolitalny</w:t>
      </w:r>
    </w:p>
    <w:p w:rsidR="003F2B0C" w:rsidRPr="00A55A84" w:rsidRDefault="003F2B0C" w:rsidP="003F2B0C">
      <w:r w:rsidRPr="00A55A84">
        <w:lastRenderedPageBreak/>
        <w:t>Współpraca w Brneńskim Obszarze Metropolitalnym (BMA) między miastem Brno</w:t>
      </w:r>
      <w:r>
        <w:t>,</w:t>
      </w:r>
      <w:r w:rsidRPr="00A55A84">
        <w:t xml:space="preserve"> a</w:t>
      </w:r>
      <w:r>
        <w:t> </w:t>
      </w:r>
      <w:r w:rsidRPr="00A55A84">
        <w:t>sąsiadującymi gminami opiera się na zintegrowanym podejściu do rozwoju przestrzennego, infrastrukturalnego oraz środowiskowego.</w:t>
      </w:r>
      <w:r>
        <w:t xml:space="preserve"> </w:t>
      </w:r>
      <w:r w:rsidRPr="00A55A84">
        <w:t>W 2015 r. przyjęto strategię zintegrowanego rozwoju BMA</w:t>
      </w:r>
    </w:p>
    <w:p w:rsidR="003F2B0C" w:rsidRDefault="003F2B0C" w:rsidP="003F2B0C">
      <w:pPr>
        <w:rPr>
          <w:b/>
          <w:bCs/>
          <w:color w:val="FFC000"/>
        </w:rPr>
      </w:pPr>
      <w:r>
        <w:rPr>
          <w:b/>
          <w:bCs/>
          <w:color w:val="FFC000"/>
        </w:rPr>
        <w:t>Aglomeracja Drezna</w:t>
      </w:r>
    </w:p>
    <w:p w:rsidR="003F2B0C" w:rsidRDefault="003F2B0C" w:rsidP="003F2B0C">
      <w:r>
        <w:t xml:space="preserve">Ponieważ Aglomeracja Drezna nie istnieje jako sformalizowany podmiot, lecz jako obszar oddziaływania głównego miasta Drezno na jego najbliższe otoczenie. Nie można porównać funkcjonowania obszaru w ramach formalnych struktur, do pozostałych obszarów funkcjonalnych. </w:t>
      </w:r>
    </w:p>
    <w:p w:rsidR="003F2B0C" w:rsidRDefault="003F2B0C" w:rsidP="003F2B0C">
      <w:r w:rsidRPr="00BB38C1">
        <w:t xml:space="preserve">Drezno </w:t>
      </w:r>
      <w:r>
        <w:t>współpracuje z</w:t>
      </w:r>
      <w:r w:rsidRPr="00BB38C1">
        <w:t xml:space="preserve"> trz</w:t>
      </w:r>
      <w:r>
        <w:t>ema</w:t>
      </w:r>
      <w:r w:rsidRPr="00BB38C1">
        <w:t xml:space="preserve"> sąsiedni</w:t>
      </w:r>
      <w:r>
        <w:t>mi</w:t>
      </w:r>
      <w:r w:rsidRPr="00BB38C1">
        <w:t xml:space="preserve"> powiat</w:t>
      </w:r>
      <w:r>
        <w:t xml:space="preserve">ami w ramach </w:t>
      </w:r>
      <w:r w:rsidRPr="00BB38C1">
        <w:t>region</w:t>
      </w:r>
      <w:r>
        <w:t>u</w:t>
      </w:r>
      <w:r w:rsidRPr="00BB38C1">
        <w:t xml:space="preserve"> drezdeński</w:t>
      </w:r>
      <w:r>
        <w:t>ego</w:t>
      </w:r>
      <w:r w:rsidRPr="00BB38C1">
        <w:t xml:space="preserve">, szczególnie w sektorze gospodarczym. W </w:t>
      </w:r>
      <w:r>
        <w:t>ramach współpracy</w:t>
      </w:r>
      <w:r w:rsidRPr="00BB38C1">
        <w:t xml:space="preserve"> opracowano koncepcję rozwoju regionalnego (REK), która obejmuje wiele różnych projektó</w:t>
      </w:r>
      <w:r>
        <w:t>w, a p</w:t>
      </w:r>
      <w:r w:rsidRPr="00BB38C1">
        <w:t>unktem wyjścia dla współpracy było pragnienie le</w:t>
      </w:r>
      <w:r>
        <w:t>pszej promocji</w:t>
      </w:r>
      <w:r w:rsidRPr="00BB38C1">
        <w:t xml:space="preserve"> regionu jako </w:t>
      </w:r>
      <w:r>
        <w:t xml:space="preserve">atrakcyjnej </w:t>
      </w:r>
      <w:r w:rsidRPr="00BB38C1">
        <w:t>lokalizacji biznesowej</w:t>
      </w:r>
      <w:r>
        <w:t xml:space="preserve">. </w:t>
      </w:r>
    </w:p>
    <w:p w:rsidR="003F2B0C" w:rsidRPr="00BB23E5" w:rsidRDefault="003F2B0C" w:rsidP="003F2B0C">
      <w:r w:rsidRPr="00BB38C1">
        <w:t xml:space="preserve">Drezno </w:t>
      </w:r>
      <w:r>
        <w:t>wraz z</w:t>
      </w:r>
      <w:r w:rsidRPr="00BB38C1">
        <w:t xml:space="preserve"> 20 sąsiedni</w:t>
      </w:r>
      <w:r>
        <w:t>mi</w:t>
      </w:r>
      <w:r w:rsidRPr="00BB38C1">
        <w:t xml:space="preserve"> miast</w:t>
      </w:r>
      <w:r>
        <w:t>ami</w:t>
      </w:r>
      <w:r w:rsidRPr="00BB38C1">
        <w:t xml:space="preserve"> i gmin</w:t>
      </w:r>
      <w:r>
        <w:t>ami współpracuje również w ramach Drezdeńskiego regionu doświadczeń</w:t>
      </w:r>
      <w:r>
        <w:rPr>
          <w:rStyle w:val="Odwoanieprzypisudolnego"/>
        </w:rPr>
        <w:footnoteReference w:id="25"/>
      </w:r>
      <w:r>
        <w:t xml:space="preserve">a celem współpracy jest </w:t>
      </w:r>
      <w:r w:rsidRPr="00BB38C1">
        <w:t>popraw</w:t>
      </w:r>
      <w:r>
        <w:t>a</w:t>
      </w:r>
      <w:r w:rsidRPr="00BB38C1">
        <w:t xml:space="preserve"> tzw. miękkich czynników lokalizacji, </w:t>
      </w:r>
      <w:r>
        <w:t xml:space="preserve">tak </w:t>
      </w:r>
      <w:r w:rsidRPr="00BB38C1">
        <w:t xml:space="preserve">aby </w:t>
      </w:r>
      <w:r>
        <w:t>mieszkańcy tych obszarów odczuwali wysoką jakość życia</w:t>
      </w:r>
      <w:r w:rsidRPr="00BB38C1">
        <w:t xml:space="preserve">. Miasto Drezno i jego okolice wykorzystują istniejące efekty synergii. </w:t>
      </w:r>
    </w:p>
    <w:p w:rsidR="003F2B0C" w:rsidRDefault="003F2B0C" w:rsidP="003F2B0C">
      <w:pPr>
        <w:rPr>
          <w:b/>
          <w:bCs/>
        </w:rPr>
      </w:pPr>
      <w:r w:rsidRPr="00776BD6">
        <w:rPr>
          <w:b/>
          <w:bCs/>
        </w:rPr>
        <w:t>10.Główne priorytety rozwoju obszaru funkcjonalnego (główne cele rozwoju ze strategii).</w:t>
      </w:r>
    </w:p>
    <w:p w:rsidR="003F2B0C" w:rsidRDefault="003F2B0C" w:rsidP="003F2B0C">
      <w:pPr>
        <w:rPr>
          <w:color w:val="000000" w:themeColor="text1"/>
        </w:rPr>
      </w:pPr>
      <w:r w:rsidRPr="00C70EF3">
        <w:rPr>
          <w:color w:val="000000" w:themeColor="text1"/>
        </w:rPr>
        <w:t>Wszystkie obszary funkcjonalne posiadają dedykowane strategie rozwoju, w których sformułowano cele strategiczne w ramach pewnych wskazanych obszarów wsparcia. Wszystkie Strategie skupiają się na poprawie jakości życia mieszkańców obszarów poprzez rozwój jakości usług, popraw</w:t>
      </w:r>
      <w:r>
        <w:rPr>
          <w:color w:val="000000" w:themeColor="text1"/>
        </w:rPr>
        <w:t>ie</w:t>
      </w:r>
      <w:r w:rsidRPr="00C70EF3">
        <w:rPr>
          <w:color w:val="000000" w:themeColor="text1"/>
        </w:rPr>
        <w:t xml:space="preserve"> jakości środowiska, rozwój </w:t>
      </w:r>
      <w:r>
        <w:rPr>
          <w:color w:val="000000" w:themeColor="text1"/>
        </w:rPr>
        <w:t xml:space="preserve">transportu. </w:t>
      </w:r>
    </w:p>
    <w:p w:rsidR="003F2B0C" w:rsidRDefault="003F2B0C" w:rsidP="003F2B0C">
      <w:r>
        <w:rPr>
          <w:color w:val="000000" w:themeColor="text1"/>
        </w:rPr>
        <w:t xml:space="preserve">Na ten moment najdłuższy horyzont czasowy zaplanowano w Strategii Drezna i jest to okres do 2035+. Metropolia Krakowska wdraża działania rozwojowe w oparciu o Strategię Metropolia Krakowska do 2030 roku oraz </w:t>
      </w:r>
      <w:r w:rsidRPr="0026298A">
        <w:rPr>
          <w:color w:val="000000" w:themeColor="text1"/>
        </w:rPr>
        <w:t>Strategi</w:t>
      </w:r>
      <w:r>
        <w:rPr>
          <w:color w:val="000000" w:themeColor="text1"/>
        </w:rPr>
        <w:t>ę</w:t>
      </w:r>
      <w:r w:rsidRPr="0026298A">
        <w:rPr>
          <w:color w:val="000000" w:themeColor="text1"/>
        </w:rPr>
        <w:t xml:space="preserve"> Zintegrowanych Inwestycji Terytorialnych Metropolii Krakowskiej na lata 2021-2027</w:t>
      </w:r>
      <w:r>
        <w:rPr>
          <w:color w:val="000000" w:themeColor="text1"/>
        </w:rPr>
        <w:t>.</w:t>
      </w:r>
      <w:r w:rsidRPr="0026298A">
        <w:rPr>
          <w:color w:val="000000" w:themeColor="text1"/>
        </w:rPr>
        <w:t xml:space="preserve"> </w:t>
      </w:r>
      <w:r>
        <w:rPr>
          <w:color w:val="000000" w:themeColor="text1"/>
        </w:rPr>
        <w:t xml:space="preserve">Metropolia Poznań opiera swoje działania o </w:t>
      </w:r>
      <w:r w:rsidRPr="0026298A">
        <w:rPr>
          <w:color w:val="000000" w:themeColor="text1"/>
        </w:rPr>
        <w:t>Strategi</w:t>
      </w:r>
      <w:r>
        <w:rPr>
          <w:color w:val="000000" w:themeColor="text1"/>
        </w:rPr>
        <w:t>ę</w:t>
      </w:r>
      <w:r w:rsidRPr="0026298A">
        <w:rPr>
          <w:color w:val="000000" w:themeColor="text1"/>
        </w:rPr>
        <w:t xml:space="preserve"> Rozwoju</w:t>
      </w:r>
      <w:r>
        <w:rPr>
          <w:color w:val="000000" w:themeColor="text1"/>
        </w:rPr>
        <w:t xml:space="preserve"> </w:t>
      </w:r>
      <w:r w:rsidRPr="0026298A">
        <w:rPr>
          <w:color w:val="000000" w:themeColor="text1"/>
        </w:rPr>
        <w:t>Aglomeracji Pozna</w:t>
      </w:r>
      <w:r>
        <w:rPr>
          <w:color w:val="000000" w:themeColor="text1"/>
        </w:rPr>
        <w:t>ń</w:t>
      </w:r>
      <w:r w:rsidRPr="0026298A">
        <w:rPr>
          <w:color w:val="000000" w:themeColor="text1"/>
        </w:rPr>
        <w:t>skiej</w:t>
      </w:r>
      <w:r>
        <w:rPr>
          <w:color w:val="000000" w:themeColor="text1"/>
        </w:rPr>
        <w:t xml:space="preserve"> (Metropolia Poznań 2020) oraz </w:t>
      </w:r>
      <w:r w:rsidRPr="001340C9">
        <w:rPr>
          <w:color w:val="000000" w:themeColor="text1"/>
        </w:rPr>
        <w:t>Strategi</w:t>
      </w:r>
      <w:r>
        <w:rPr>
          <w:color w:val="000000" w:themeColor="text1"/>
        </w:rPr>
        <w:t>ę</w:t>
      </w:r>
      <w:r w:rsidRPr="001340C9">
        <w:rPr>
          <w:color w:val="000000" w:themeColor="text1"/>
        </w:rPr>
        <w:t xml:space="preserve"> Zintegrowanych Inwestycji Terytorialnych </w:t>
      </w:r>
      <w:r>
        <w:rPr>
          <w:color w:val="000000" w:themeColor="text1"/>
        </w:rPr>
        <w:t>w</w:t>
      </w:r>
      <w:r w:rsidRPr="001340C9">
        <w:rPr>
          <w:color w:val="000000" w:themeColor="text1"/>
        </w:rPr>
        <w:t xml:space="preserve"> Miejskim Obszarze Funkcjonalnym Poznania na lata 2021-2027</w:t>
      </w:r>
      <w:r>
        <w:rPr>
          <w:color w:val="000000" w:themeColor="text1"/>
        </w:rPr>
        <w:t xml:space="preserve">. Wrocławski Obszar Funkcjonalny swój rozwój strategiczny opiera obecnie na </w:t>
      </w:r>
      <w:r>
        <w:t>Strategii</w:t>
      </w:r>
      <w:r w:rsidRPr="0052102E">
        <w:t xml:space="preserve"> Zintegrowanych Inwestycji Terytorialnych Wrocławskiego Obszaru Funkcjonalnego</w:t>
      </w:r>
      <w:r>
        <w:t xml:space="preserve"> na lata 2021-2027</w:t>
      </w:r>
      <w:r w:rsidRPr="0052102E">
        <w:t xml:space="preserve"> (ZIT </w:t>
      </w:r>
      <w:proofErr w:type="spellStart"/>
      <w:r w:rsidRPr="0052102E">
        <w:t>WrOF</w:t>
      </w:r>
      <w:proofErr w:type="spellEnd"/>
      <w:r w:rsidRPr="0052102E">
        <w:t>)</w:t>
      </w:r>
      <w:r>
        <w:t xml:space="preserve">, która daje możliwości finansowania rozwoju w zakresie dedykowanych obszarów w funduszach europejskich w związku z czym należy stworzyć inny dokument strategiczny, który obejmowałby więcej zagadnień rozwojowych. </w:t>
      </w:r>
      <w:r w:rsidRPr="00A14133">
        <w:t xml:space="preserve">Partnerzy tworzący Wrocławski Obszar Funkcjonalny przystępują do opracowania </w:t>
      </w:r>
      <w:r w:rsidRPr="00A14133">
        <w:lastRenderedPageBreak/>
        <w:t>Strategii Rozwoju Ponadlokalnego dla Wrocławskiego Obszaru Funkcjonalnego „</w:t>
      </w:r>
      <w:proofErr w:type="spellStart"/>
      <w:r w:rsidRPr="00A14133">
        <w:t>WrOF</w:t>
      </w:r>
      <w:proofErr w:type="spellEnd"/>
      <w:r w:rsidRPr="00A14133">
        <w:t xml:space="preserve"> 2050”</w:t>
      </w:r>
      <w:r>
        <w:t xml:space="preserve">. Brneński Obszar Metropolitalny funkcjonuje w oparciu o Zintegrowaną Strategię Rozwoju 21+ Brneńskiego Obszaru Metropolitalnego. </w:t>
      </w:r>
    </w:p>
    <w:p w:rsidR="003F2B0C" w:rsidRPr="00C70EF3" w:rsidRDefault="003F2B0C" w:rsidP="003F2B0C">
      <w:pPr>
        <w:rPr>
          <w:color w:val="000000" w:themeColor="text1"/>
        </w:rPr>
      </w:pPr>
      <w:r>
        <w:t xml:space="preserve">Zdecydowanie najwięcej celów wyznaczono w Strategii Drezna – aż 31, pozostałe dokumenty strategiczne zawężają swoje interwencje do kluczowych dla nich obszarów. Poniżej przedstawiono kluczowe zapisy z dokumentów wszystkich obszarów funkcjonalnych. </w:t>
      </w:r>
    </w:p>
    <w:p w:rsidR="003F2B0C" w:rsidRDefault="003F2B0C" w:rsidP="003F2B0C">
      <w:pPr>
        <w:rPr>
          <w:color w:val="FFC000"/>
        </w:rPr>
      </w:pPr>
      <w:r w:rsidRPr="00EA753F">
        <w:rPr>
          <w:b/>
          <w:bCs/>
          <w:color w:val="FFC000"/>
        </w:rPr>
        <w:t>Wrocławski Obszar Funkcjonalny</w:t>
      </w:r>
    </w:p>
    <w:p w:rsidR="003F2B0C" w:rsidRDefault="003F2B0C" w:rsidP="003F2B0C">
      <w:r w:rsidRPr="0052102E">
        <w:t xml:space="preserve">Główne cele strategiczne Zintegrowanych Inwestycji Terytorialnych Wrocławskiego Obszaru Funkcjonalnego (ZIT </w:t>
      </w:r>
      <w:proofErr w:type="spellStart"/>
      <w:r w:rsidRPr="0052102E">
        <w:t>WrOF</w:t>
      </w:r>
      <w:proofErr w:type="spellEnd"/>
      <w:r w:rsidRPr="0052102E">
        <w:t xml:space="preserve">) na lata 2021-2027 obejmują działania mające na celu zrównoważony rozwój społeczny, gospodarczy i środowiskowy całego obszaru. </w:t>
      </w:r>
      <w:r>
        <w:t xml:space="preserve">Strategia w ramach interwencji przewidziała 4 cele strategiczne: 1. Poprawa jakości życia na terenie </w:t>
      </w:r>
      <w:proofErr w:type="spellStart"/>
      <w:r>
        <w:t>WrOF</w:t>
      </w:r>
      <w:proofErr w:type="spellEnd"/>
      <w:r>
        <w:t xml:space="preserve">, 2. Wzmocnienie innowacyjności i konkurencyjności gospodarki </w:t>
      </w:r>
      <w:proofErr w:type="spellStart"/>
      <w:r>
        <w:t>WrOF</w:t>
      </w:r>
      <w:proofErr w:type="spellEnd"/>
      <w:r>
        <w:t xml:space="preserve">, 3. Ochrona środowiska naturalnego adaptacja </w:t>
      </w:r>
      <w:proofErr w:type="spellStart"/>
      <w:r>
        <w:t>WrOF</w:t>
      </w:r>
      <w:proofErr w:type="spellEnd"/>
      <w:r>
        <w:t xml:space="preserve"> do zmian klimatu oraz 4. Integracja i rozwój terytorialny </w:t>
      </w:r>
      <w:proofErr w:type="spellStart"/>
      <w:r>
        <w:t>WrOF</w:t>
      </w:r>
      <w:proofErr w:type="spellEnd"/>
      <w:r>
        <w:t xml:space="preserve">. </w:t>
      </w:r>
    </w:p>
    <w:p w:rsidR="003F2B0C" w:rsidRPr="00697C7A" w:rsidRDefault="003F2B0C" w:rsidP="003F2B0C">
      <w:r>
        <w:t>Działania podejmowane w ramach Strategii zakładają r</w:t>
      </w:r>
      <w:r w:rsidRPr="0052102E">
        <w:t>ozwój infrastruktury transportu publicznego, w tym modernizacj</w:t>
      </w:r>
      <w:r>
        <w:t>ę</w:t>
      </w:r>
      <w:r w:rsidRPr="0052102E">
        <w:t xml:space="preserve"> i budow</w:t>
      </w:r>
      <w:r>
        <w:t>ę</w:t>
      </w:r>
      <w:r w:rsidRPr="0052102E">
        <w:t xml:space="preserve"> linii tramwajowych oraz infrastruktury rowerowej i</w:t>
      </w:r>
      <w:r>
        <w:t> </w:t>
      </w:r>
      <w:r w:rsidRPr="0052102E">
        <w:t>przesiadkowej</w:t>
      </w:r>
      <w:r>
        <w:t>, z</w:t>
      </w:r>
      <w:r w:rsidRPr="0052102E">
        <w:t xml:space="preserve">większenie dostępności komunikacyjnej w obrębie </w:t>
      </w:r>
      <w:proofErr w:type="spellStart"/>
      <w:r w:rsidRPr="0052102E">
        <w:t>WrOF</w:t>
      </w:r>
      <w:proofErr w:type="spellEnd"/>
      <w:r w:rsidRPr="0052102E">
        <w:t xml:space="preserve"> poprzez poprawę połączeń między gminami</w:t>
      </w:r>
      <w:r>
        <w:t>, t</w:t>
      </w:r>
      <w:r w:rsidRPr="0052102E">
        <w:t>ransformacj</w:t>
      </w:r>
      <w:r>
        <w:t>ę</w:t>
      </w:r>
      <w:r w:rsidRPr="0052102E">
        <w:t xml:space="preserve"> energetyczn</w:t>
      </w:r>
      <w:r>
        <w:t>ą</w:t>
      </w:r>
      <w:r w:rsidRPr="0052102E">
        <w:t xml:space="preserve"> i ochron</w:t>
      </w:r>
      <w:r>
        <w:t>ę</w:t>
      </w:r>
      <w:r w:rsidRPr="0052102E">
        <w:t xml:space="preserve"> środowiska</w:t>
      </w:r>
      <w:r>
        <w:t xml:space="preserve"> – przede wszystkim poprzez p</w:t>
      </w:r>
      <w:r w:rsidRPr="0052102E">
        <w:t>romowanie efektywności energetycznej i odnawialnych źródeł energ</w:t>
      </w:r>
      <w:r>
        <w:t>ii, r</w:t>
      </w:r>
      <w:r w:rsidRPr="0052102E">
        <w:t>ealizacj</w:t>
      </w:r>
      <w:r>
        <w:t>ę</w:t>
      </w:r>
      <w:r w:rsidRPr="0052102E">
        <w:t xml:space="preserve"> zielonych i niebieskich inwestycji, takich jak rozwój terenów zielonych, retencja wód oraz adaptacja do zmian klimatu</w:t>
      </w:r>
      <w:r>
        <w:t>, w</w:t>
      </w:r>
      <w:r w:rsidRPr="0052102E">
        <w:t>spieranie gospodarki o obiegu zamkniętym oraz działań na rzecz łagodzenia zmian klimatycznych</w:t>
      </w:r>
      <w:r>
        <w:t>, r</w:t>
      </w:r>
      <w:r w:rsidRPr="0052102E">
        <w:t>ozwój usług społecznych i przestrzeni publicznych</w:t>
      </w:r>
      <w:r>
        <w:t>, poprzez p</w:t>
      </w:r>
      <w:r w:rsidRPr="0052102E">
        <w:t>opraw</w:t>
      </w:r>
      <w:r>
        <w:t>ę</w:t>
      </w:r>
      <w:r w:rsidRPr="0052102E">
        <w:t xml:space="preserve"> dostępu do usług społecznych, w tym edukacji, opieki zdrowotnej i kultury</w:t>
      </w:r>
      <w:r>
        <w:t xml:space="preserve">, rewaloryzację </w:t>
      </w:r>
      <w:r w:rsidRPr="0052102E">
        <w:t>przestrzeni publicznych oraz zwiększenie ich bezpieczeństwa</w:t>
      </w:r>
      <w:r>
        <w:t xml:space="preserve"> oraz w</w:t>
      </w:r>
      <w:r w:rsidRPr="0052102E">
        <w:t>spieranie innowacyjnej gospodarki</w:t>
      </w:r>
      <w:r>
        <w:t>, poprzez t</w:t>
      </w:r>
      <w:r w:rsidRPr="00697C7A">
        <w:t>worzenie warunków dla rozwoju przedsiębiorczości i innowacji poprzez inwestycje w infrastrukturę biznesową</w:t>
      </w:r>
      <w:r>
        <w:t xml:space="preserve"> oraz p</w:t>
      </w:r>
      <w:r w:rsidRPr="00697C7A">
        <w:t>romowanie współpracy międzysektorowej oraz przyciąganie inwestorów do regionu</w:t>
      </w:r>
      <w:r>
        <w:t>.</w:t>
      </w:r>
    </w:p>
    <w:p w:rsidR="003F2B0C" w:rsidRDefault="003F2B0C" w:rsidP="003F2B0C">
      <w:pPr>
        <w:rPr>
          <w:b/>
          <w:bCs/>
          <w:color w:val="FFC000"/>
        </w:rPr>
      </w:pPr>
      <w:r w:rsidRPr="00EA753F">
        <w:rPr>
          <w:b/>
          <w:bCs/>
          <w:color w:val="FFC000"/>
        </w:rPr>
        <w:t>Metropolia Krakowska</w:t>
      </w:r>
    </w:p>
    <w:p w:rsidR="003F2B0C" w:rsidRPr="007F1E70" w:rsidRDefault="003F2B0C" w:rsidP="003F2B0C">
      <w:r>
        <w:t xml:space="preserve">W Strategii Rozwoju Metropolii Krakowskiej 2030 </w:t>
      </w:r>
      <w:r w:rsidRPr="007F1E70">
        <w:t>wyłonionych</w:t>
      </w:r>
      <w:r>
        <w:t xml:space="preserve"> </w:t>
      </w:r>
      <w:r w:rsidRPr="007F1E70">
        <w:t>zostało 7 dziedzin współpracy metropolitalnej: inteligentne</w:t>
      </w:r>
      <w:r>
        <w:t xml:space="preserve"> </w:t>
      </w:r>
      <w:r w:rsidRPr="007F1E70">
        <w:t>zarządzanie, środowisko i przestrzeń, mobilność, gospodarka,</w:t>
      </w:r>
      <w:r>
        <w:t xml:space="preserve"> </w:t>
      </w:r>
      <w:r w:rsidRPr="007F1E70">
        <w:t>kultura czasu wolnego, edukacja oraz usługi społeczne.</w:t>
      </w:r>
      <w:r>
        <w:t xml:space="preserve"> </w:t>
      </w:r>
    </w:p>
    <w:p w:rsidR="003F2B0C" w:rsidRDefault="003F2B0C" w:rsidP="003F2B0C">
      <w:pPr>
        <w:rPr>
          <w:b/>
          <w:bCs/>
          <w:color w:val="FFC000"/>
        </w:rPr>
      </w:pPr>
      <w:r>
        <w:rPr>
          <w:b/>
          <w:bCs/>
          <w:color w:val="FFC000"/>
        </w:rPr>
        <w:t>Metropolia Poznań</w:t>
      </w:r>
    </w:p>
    <w:p w:rsidR="003F2B0C" w:rsidRPr="00704262" w:rsidRDefault="003F2B0C" w:rsidP="003F2B0C">
      <w:r w:rsidRPr="0098016F">
        <w:t>W Strategii rozwoju Aglomeracji Poznańskiej. Metropolia Poznań 2020 wskazano 5 osi strategicznych</w:t>
      </w:r>
      <w:r>
        <w:t xml:space="preserve"> kluczowych dla rozwoju Metropolii i są to:</w:t>
      </w:r>
      <w:r w:rsidRPr="0098016F">
        <w:t>1. Gospodarka przestrzenna i</w:t>
      </w:r>
      <w:r>
        <w:t> ś</w:t>
      </w:r>
      <w:r w:rsidRPr="0098016F">
        <w:t>rodowisko</w:t>
      </w:r>
      <w:r>
        <w:t>,</w:t>
      </w:r>
      <w:r w:rsidRPr="0098016F">
        <w:t xml:space="preserve"> 2. Infrastruktura i </w:t>
      </w:r>
      <w:r w:rsidRPr="0098016F">
        <w:lastRenderedPageBreak/>
        <w:t>organizacja transportu</w:t>
      </w:r>
      <w:r>
        <w:t xml:space="preserve">, </w:t>
      </w:r>
      <w:r w:rsidRPr="0098016F">
        <w:t>3. Gospodarka i rynek pracy</w:t>
      </w:r>
      <w:r>
        <w:t>,</w:t>
      </w:r>
      <w:r w:rsidRPr="0098016F">
        <w:t xml:space="preserve"> 4. Us</w:t>
      </w:r>
      <w:r>
        <w:t>ł</w:t>
      </w:r>
      <w:r w:rsidRPr="0098016F">
        <w:t>ugi spo</w:t>
      </w:r>
      <w:r>
        <w:t>ł</w:t>
      </w:r>
      <w:r w:rsidRPr="0098016F">
        <w:t>eczne</w:t>
      </w:r>
      <w:r>
        <w:t>,</w:t>
      </w:r>
      <w:r w:rsidRPr="0098016F">
        <w:t xml:space="preserve"> 5. Zintegrowane zarz</w:t>
      </w:r>
      <w:r>
        <w:t>ą</w:t>
      </w:r>
      <w:r w:rsidRPr="0098016F">
        <w:t>dzanie i marke</w:t>
      </w:r>
      <w:r>
        <w:t>ti</w:t>
      </w:r>
      <w:r w:rsidRPr="0098016F">
        <w:t>ng terytorialny</w:t>
      </w:r>
      <w:r w:rsidRPr="00704262">
        <w:t>.</w:t>
      </w:r>
      <w:r>
        <w:t xml:space="preserve"> Do każdej osi przypisano programy strategiczne rozpisane na cele programu, uzasadnienie, wizje sukcesu, działania, powiązania z innymi programami, efekty i mierniki, źródła finansowania, realizatorów programu, beneficjentów programu. </w:t>
      </w:r>
    </w:p>
    <w:p w:rsidR="003F2B0C" w:rsidRPr="004144B0" w:rsidRDefault="003F2B0C" w:rsidP="003F2B0C">
      <w:pPr>
        <w:rPr>
          <w:b/>
          <w:bCs/>
          <w:color w:val="FFC000"/>
        </w:rPr>
      </w:pPr>
      <w:r w:rsidRPr="004144B0">
        <w:rPr>
          <w:b/>
          <w:bCs/>
          <w:color w:val="FFC000"/>
        </w:rPr>
        <w:t>Brneński Obszar Metropolitalny</w:t>
      </w:r>
    </w:p>
    <w:p w:rsidR="003F2B0C" w:rsidRDefault="003F2B0C" w:rsidP="003F2B0C">
      <w:r>
        <w:t>Zintegrowana Strategia Rozwoju Brneńskiego Obszaru Metropolitalnego 21+</w:t>
      </w:r>
      <w:r>
        <w:rPr>
          <w:rStyle w:val="Odwoanieprzypisudolnego"/>
        </w:rPr>
        <w:footnoteReference w:id="26"/>
      </w:r>
      <w:r>
        <w:t xml:space="preserve"> ma charakter kompleksowego dokumentu strategicznego rozwoju dla terytorium obszaru metropolitalnego. W perspektywie strategii n</w:t>
      </w:r>
      <w:r w:rsidRPr="00EC4C3C">
        <w:t xml:space="preserve">a lata 2021–2027 </w:t>
      </w:r>
      <w:r>
        <w:t xml:space="preserve">położono nacisk na </w:t>
      </w:r>
      <w:r w:rsidRPr="00EC4C3C">
        <w:t>zintegrowane podejście w</w:t>
      </w:r>
      <w:r>
        <w:t> </w:t>
      </w:r>
      <w:r w:rsidRPr="00EC4C3C">
        <w:t>4</w:t>
      </w:r>
      <w:r>
        <w:t> </w:t>
      </w:r>
      <w:r w:rsidRPr="00EC4C3C">
        <w:t>wymiarach: terytorialnym (projekty i działania realizowane na poziomie metropolitalnym), tematycznym (koordynacja działań związanych z tym samym tematem), finansowym (wspólne zasoby finansowe) i organizacyjnym (współpraca i koordynacja w zakresie zarządzania), mającym na celu osiągnięcie sieci zintegrowanych rozwiązań</w:t>
      </w:r>
      <w:r>
        <w:t>.</w:t>
      </w:r>
    </w:p>
    <w:p w:rsidR="003F2B0C" w:rsidRDefault="003F2B0C" w:rsidP="003F2B0C">
      <w:r>
        <w:t>Tematy strategii pogrupowano w 4 obszary rozwoju (Mobilność, Środowisko, Usługi publiczne, Koordynacja rozwoju) powiązane z 4 grupami roboczymi (Zrównoważona Mobilność, Środowisko, Obszar Społeczny i Edukacja, Rozwój Horyzontalny).</w:t>
      </w:r>
    </w:p>
    <w:p w:rsidR="003F2B0C" w:rsidRPr="00375489" w:rsidRDefault="003F2B0C" w:rsidP="003F2B0C">
      <w:r>
        <w:t>Brneński Obszar Metropolitalny (BMA) realizuje swoje działania w oparciu o kilka kluczowych obszarów które obejmują: wzmacnianie współpracy między samorządami poprzez dążenie do integracji działań gmin w ramach obszaru metropolitalnego w celu efektywnego zarządzania przestrzenią i zasobami, poprawę infrastruktury transportowej i usprawnienie systemu komunikacyjnego w regionie, co ma na celu zwiększenie dostępności i mobilności mieszkańców oraz poprawę połączeń między Brnem a innymi gminami. Zrównoważony rozwój przestrzenny w ramach obszaru ma promować działania sprzyjające ochronie środowiska, racjonalnemu wykorzystaniu terenów oraz rozwojowi przestrzeni miejskiej. Ważne jest również wspieranie innowacji i gospodarki regionalnej poprzez tworzenie warunków dla wzrostu gospodarczego, wspieranie przedsiębiorczości, innowacji oraz rozwój sektora usług i przemysłu.</w:t>
      </w:r>
    </w:p>
    <w:p w:rsidR="00CA313E" w:rsidRDefault="00CA313E">
      <w:pPr>
        <w:spacing w:after="160" w:line="259" w:lineRule="auto"/>
        <w:jc w:val="left"/>
        <w:rPr>
          <w:b/>
          <w:bCs/>
          <w:color w:val="FFC000"/>
        </w:rPr>
      </w:pPr>
      <w:r>
        <w:rPr>
          <w:b/>
          <w:bCs/>
          <w:color w:val="FFC000"/>
        </w:rPr>
        <w:br w:type="page"/>
      </w:r>
    </w:p>
    <w:p w:rsidR="003F2B0C" w:rsidRDefault="003F2B0C" w:rsidP="003F2B0C">
      <w:pPr>
        <w:rPr>
          <w:b/>
          <w:bCs/>
          <w:color w:val="FFC000"/>
        </w:rPr>
      </w:pPr>
      <w:r>
        <w:rPr>
          <w:b/>
          <w:bCs/>
          <w:color w:val="FFC000"/>
        </w:rPr>
        <w:lastRenderedPageBreak/>
        <w:t>Aglomeracja Drezna</w:t>
      </w:r>
    </w:p>
    <w:p w:rsidR="003F2B0C" w:rsidRDefault="003F2B0C" w:rsidP="003F2B0C">
      <w:r>
        <w:t>W Zintegrowanej Strategii rozwoju ,, Drezno przyszłości 2035+</w:t>
      </w:r>
      <w:r>
        <w:rPr>
          <w:rStyle w:val="Odwoanieprzypisudolnego"/>
        </w:rPr>
        <w:footnoteReference w:id="27"/>
      </w:r>
      <w:r>
        <w:t xml:space="preserve"> miasto wyznaczyło sobie cele zgodne z agendami ONZ dotyczącymi równoważonego rozwoju. W ramach strategii sformułowano takie obszary działań jak </w:t>
      </w:r>
      <w:r w:rsidRPr="00B22BC0">
        <w:t xml:space="preserve"> „Drezno – Miasto Kultury w Europie”</w:t>
      </w:r>
      <w:r>
        <w:t xml:space="preserve"> - </w:t>
      </w:r>
      <w:r w:rsidRPr="00B22BC0">
        <w:t>Zachowanie i dalszy rozwój wyjątkowego krajobrazu kulturowego, „Drezno – Miasto o Dużej Wydajności”</w:t>
      </w:r>
      <w:r>
        <w:t xml:space="preserve">- </w:t>
      </w:r>
      <w:r w:rsidRPr="00B22BC0">
        <w:t xml:space="preserve">Innowacyjna struktura gospodarcza na przyszłość, „Drezno – Miasto Przyjazne do Życia dla Wszystkich </w:t>
      </w:r>
      <w:proofErr w:type="spellStart"/>
      <w:r w:rsidRPr="00B22BC0">
        <w:t>Mieszkańców”</w:t>
      </w:r>
      <w:r>
        <w:t>-</w:t>
      </w:r>
      <w:r w:rsidRPr="00B22BC0">
        <w:t>Wspólne</w:t>
      </w:r>
      <w:proofErr w:type="spellEnd"/>
      <w:r w:rsidRPr="00B22BC0">
        <w:t xml:space="preserve"> i różnorodne doświadczenia!, „Drezno – Miasto Oszczędzające Zasoby i</w:t>
      </w:r>
      <w:r>
        <w:t> </w:t>
      </w:r>
      <w:r w:rsidRPr="00B22BC0">
        <w:t>Odporne na Klimat”</w:t>
      </w:r>
      <w:r>
        <w:t xml:space="preserve">- </w:t>
      </w:r>
      <w:r w:rsidRPr="00B22BC0">
        <w:t>Zabezpieczenie naturalnych podstaw przyszłych działań.</w:t>
      </w:r>
      <w:r>
        <w:t xml:space="preserve"> W ramach tych obszarów wyznaczono cele:</w:t>
      </w:r>
    </w:p>
    <w:p w:rsidR="003F2B0C" w:rsidRPr="00375489" w:rsidRDefault="003F2B0C" w:rsidP="003F2B0C">
      <w:pPr>
        <w:spacing w:line="276" w:lineRule="auto"/>
      </w:pPr>
      <w:r w:rsidRPr="00375489">
        <w:t>Cel 1 Realizacja celów planu rozwoju kultury</w:t>
      </w:r>
    </w:p>
    <w:p w:rsidR="003F2B0C" w:rsidRPr="00375489" w:rsidRDefault="003F2B0C" w:rsidP="003F2B0C">
      <w:pPr>
        <w:spacing w:line="276" w:lineRule="auto"/>
      </w:pPr>
      <w:r w:rsidRPr="00375489">
        <w:t>Cel 2 Promowanie przemysłów kulturalnych i kreatywnych</w:t>
      </w:r>
    </w:p>
    <w:p w:rsidR="003F2B0C" w:rsidRPr="00375489" w:rsidRDefault="003F2B0C" w:rsidP="003F2B0C">
      <w:pPr>
        <w:spacing w:line="276" w:lineRule="auto"/>
      </w:pPr>
      <w:r w:rsidRPr="00375489">
        <w:t>Cel 3 Zabezpieczenie i promowanie różnorodności kulturowej</w:t>
      </w:r>
    </w:p>
    <w:p w:rsidR="003F2B0C" w:rsidRPr="00375489" w:rsidRDefault="003F2B0C" w:rsidP="003F2B0C">
      <w:pPr>
        <w:spacing w:line="276" w:lineRule="auto"/>
      </w:pPr>
      <w:r w:rsidRPr="00375489">
        <w:t>Cel 4 Promowanie kultury budowania i planowania - dążenie do wyższej jakości krajobrazu miejskiego, biorąc pod uwagę krajobraz oraz cechy i walory przyrodnicze</w:t>
      </w:r>
    </w:p>
    <w:p w:rsidR="003F2B0C" w:rsidRPr="00375489" w:rsidRDefault="003F2B0C" w:rsidP="003F2B0C">
      <w:pPr>
        <w:spacing w:line="276" w:lineRule="auto"/>
      </w:pPr>
      <w:r w:rsidRPr="00375489">
        <w:t>Cel 5 Innowacyjna lokalizacja edukacji i nauki</w:t>
      </w:r>
    </w:p>
    <w:p w:rsidR="003F2B0C" w:rsidRPr="00375489" w:rsidRDefault="003F2B0C" w:rsidP="003F2B0C">
      <w:pPr>
        <w:spacing w:line="276" w:lineRule="auto"/>
      </w:pPr>
      <w:r w:rsidRPr="00375489">
        <w:t>Cel 6 Przyciąganie przedsiębiorstw i pracowników</w:t>
      </w:r>
    </w:p>
    <w:p w:rsidR="003F2B0C" w:rsidRPr="00375489" w:rsidRDefault="003F2B0C" w:rsidP="003F2B0C">
      <w:pPr>
        <w:spacing w:line="276" w:lineRule="auto"/>
      </w:pPr>
      <w:r w:rsidRPr="00375489">
        <w:t>Cel 7 Wystarczająca powierzchnia pod zabudowę komercyjną zgodną z popytem</w:t>
      </w:r>
    </w:p>
    <w:p w:rsidR="003F2B0C" w:rsidRPr="00375489" w:rsidRDefault="003F2B0C" w:rsidP="003F2B0C">
      <w:pPr>
        <w:spacing w:line="276" w:lineRule="auto"/>
      </w:pPr>
      <w:r w:rsidRPr="00375489">
        <w:t>Cel 8: Przekształcenie Drezna w centrum przyszłych technologii</w:t>
      </w:r>
    </w:p>
    <w:p w:rsidR="003F2B0C" w:rsidRDefault="003F2B0C" w:rsidP="003F2B0C">
      <w:pPr>
        <w:spacing w:line="276" w:lineRule="auto"/>
      </w:pPr>
      <w:r>
        <w:t>Cel 9 Solidna i niedroga infrastruktura techniczna</w:t>
      </w:r>
    </w:p>
    <w:p w:rsidR="003F2B0C" w:rsidRDefault="003F2B0C" w:rsidP="003F2B0C">
      <w:pPr>
        <w:spacing w:line="276" w:lineRule="auto"/>
      </w:pPr>
      <w:r>
        <w:t>Cel 10 Rozwój inteligentnego miasta</w:t>
      </w:r>
    </w:p>
    <w:p w:rsidR="003F2B0C" w:rsidRDefault="003F2B0C" w:rsidP="003F2B0C">
      <w:pPr>
        <w:spacing w:line="276" w:lineRule="auto"/>
      </w:pPr>
      <w:r>
        <w:t>Cel 11 Sprawne połączenie z transportem dalekobieżnym</w:t>
      </w:r>
    </w:p>
    <w:p w:rsidR="003F2B0C" w:rsidRDefault="003F2B0C" w:rsidP="003F2B0C">
      <w:pPr>
        <w:spacing w:line="276" w:lineRule="auto"/>
      </w:pPr>
      <w:r>
        <w:t>Cel 12 Miasto magnesem turystyczny</w:t>
      </w:r>
    </w:p>
    <w:p w:rsidR="003F2B0C" w:rsidRDefault="003F2B0C" w:rsidP="003F2B0C">
      <w:pPr>
        <w:spacing w:line="276" w:lineRule="auto"/>
      </w:pPr>
      <w:r>
        <w:t>Cel 13. Biegun rozwoju w regionie</w:t>
      </w:r>
    </w:p>
    <w:p w:rsidR="003F2B0C" w:rsidRDefault="003F2B0C" w:rsidP="003F2B0C">
      <w:pPr>
        <w:spacing w:line="276" w:lineRule="auto"/>
      </w:pPr>
      <w:r>
        <w:t>Cel 14 Miejskie centrum miasta</w:t>
      </w:r>
    </w:p>
    <w:p w:rsidR="003F2B0C" w:rsidRDefault="003F2B0C" w:rsidP="003F2B0C">
      <w:pPr>
        <w:spacing w:line="276" w:lineRule="auto"/>
      </w:pPr>
      <w:r>
        <w:t>Cel 15 Oparta na potrzebach i zrównoważona przestrzeń życiowa dla każdego/mieszkanie socjalne</w:t>
      </w:r>
    </w:p>
    <w:p w:rsidR="003F2B0C" w:rsidRPr="002B2B96" w:rsidRDefault="003F2B0C" w:rsidP="003F2B0C">
      <w:pPr>
        <w:spacing w:line="276" w:lineRule="auto"/>
      </w:pPr>
      <w:r w:rsidRPr="002B2B96">
        <w:t>Cel 16 Zróżnicowane środowisko życia</w:t>
      </w:r>
    </w:p>
    <w:p w:rsidR="003F2B0C" w:rsidRPr="002B2B96" w:rsidRDefault="003F2B0C" w:rsidP="003F2B0C">
      <w:pPr>
        <w:spacing w:line="276" w:lineRule="auto"/>
      </w:pPr>
      <w:r w:rsidRPr="002B2B96">
        <w:t>Cel 17 Promocja rozwoju obszarów miejskich oparta na potrzebach (rewitalizacja miast)</w:t>
      </w:r>
    </w:p>
    <w:p w:rsidR="003F2B0C" w:rsidRPr="002B2B96" w:rsidRDefault="003F2B0C" w:rsidP="003F2B0C">
      <w:pPr>
        <w:spacing w:line="276" w:lineRule="auto"/>
      </w:pPr>
      <w:r w:rsidRPr="002B2B96">
        <w:t>Cel 18 Miasto krótkich dystansów</w:t>
      </w:r>
    </w:p>
    <w:p w:rsidR="003F2B0C" w:rsidRPr="002B2B96" w:rsidRDefault="003F2B0C" w:rsidP="003F2B0C">
      <w:pPr>
        <w:spacing w:line="276" w:lineRule="auto"/>
      </w:pPr>
      <w:r w:rsidRPr="002B2B96">
        <w:t>Cel 19 Sieć infrastruktury dostosowanej do potrzeb dzieci i młodzieży</w:t>
      </w:r>
    </w:p>
    <w:p w:rsidR="003F2B0C" w:rsidRPr="002B2B96" w:rsidRDefault="003F2B0C" w:rsidP="003F2B0C">
      <w:pPr>
        <w:spacing w:line="276" w:lineRule="auto"/>
      </w:pPr>
      <w:r w:rsidRPr="002B2B96">
        <w:t>Cel 20 Bezpieczne oferty dla osób starszych</w:t>
      </w:r>
    </w:p>
    <w:p w:rsidR="003F2B0C" w:rsidRPr="002B2B96" w:rsidRDefault="003F2B0C" w:rsidP="003F2B0C">
      <w:pPr>
        <w:spacing w:line="276" w:lineRule="auto"/>
      </w:pPr>
      <w:r w:rsidRPr="002B2B96">
        <w:t>Cel 21 Silne ośrodki drugorzędne (centra dzielnicowe i mieszkalne)</w:t>
      </w:r>
    </w:p>
    <w:p w:rsidR="003F2B0C" w:rsidRPr="002B2B96" w:rsidRDefault="003F2B0C" w:rsidP="003F2B0C">
      <w:pPr>
        <w:spacing w:line="276" w:lineRule="auto"/>
      </w:pPr>
      <w:r w:rsidRPr="002B2B96">
        <w:t>Cel 24 Powietrze o niskiej zawartości zanieczyszczeń</w:t>
      </w:r>
    </w:p>
    <w:p w:rsidR="003F2B0C" w:rsidRPr="002B2B96" w:rsidRDefault="003F2B0C" w:rsidP="003F2B0C">
      <w:pPr>
        <w:spacing w:line="276" w:lineRule="auto"/>
      </w:pPr>
      <w:r w:rsidRPr="002B2B96">
        <w:lastRenderedPageBreak/>
        <w:t>Cel 22 Mobilność przyjazna środowisku</w:t>
      </w:r>
    </w:p>
    <w:p w:rsidR="003F2B0C" w:rsidRPr="002B2B96" w:rsidRDefault="003F2B0C" w:rsidP="003F2B0C">
      <w:pPr>
        <w:spacing w:line="276" w:lineRule="auto"/>
      </w:pPr>
      <w:r w:rsidRPr="002B2B96">
        <w:t>Cel 23 Ciche miasto</w:t>
      </w:r>
    </w:p>
    <w:p w:rsidR="003F2B0C" w:rsidRPr="002B2B96" w:rsidRDefault="003F2B0C" w:rsidP="003F2B0C">
      <w:pPr>
        <w:spacing w:line="276" w:lineRule="auto"/>
      </w:pPr>
      <w:r w:rsidRPr="002B2B96">
        <w:t>Cel 24 Powietrze o niskiej zawartości zanieczyszczeń</w:t>
      </w:r>
    </w:p>
    <w:p w:rsidR="003F2B0C" w:rsidRPr="002B2B96" w:rsidRDefault="003F2B0C" w:rsidP="003F2B0C">
      <w:pPr>
        <w:spacing w:line="276" w:lineRule="auto"/>
      </w:pPr>
      <w:r w:rsidRPr="002B2B96">
        <w:t>Cel 25 Struktury miejskie przystosowane do klimatu</w:t>
      </w:r>
    </w:p>
    <w:p w:rsidR="003F2B0C" w:rsidRPr="002B2B96" w:rsidRDefault="003F2B0C" w:rsidP="003F2B0C">
      <w:pPr>
        <w:spacing w:line="276" w:lineRule="auto"/>
      </w:pPr>
      <w:r w:rsidRPr="002B2B96">
        <w:t>Cel 26 Realizacja strategii energetyczno-klimatycznej na drodze do neutralności klimatycznej</w:t>
      </w:r>
    </w:p>
    <w:p w:rsidR="003F2B0C" w:rsidRPr="002B2B96" w:rsidRDefault="003F2B0C" w:rsidP="003F2B0C">
      <w:pPr>
        <w:spacing w:line="276" w:lineRule="auto"/>
      </w:pPr>
      <w:r w:rsidRPr="002B2B96">
        <w:t>Cel 27 Miasto odporne na powódź</w:t>
      </w:r>
    </w:p>
    <w:p w:rsidR="003F2B0C" w:rsidRPr="002B2B96" w:rsidRDefault="003F2B0C" w:rsidP="003F2B0C">
      <w:pPr>
        <w:spacing w:line="276" w:lineRule="auto"/>
      </w:pPr>
      <w:r w:rsidRPr="002B2B96">
        <w:t>Cel 28 Zachowanie różnorodności i niejednorodności zasobów naturalnych</w:t>
      </w:r>
    </w:p>
    <w:p w:rsidR="003F2B0C" w:rsidRPr="002B2B96" w:rsidRDefault="003F2B0C" w:rsidP="003F2B0C">
      <w:pPr>
        <w:spacing w:line="276" w:lineRule="auto"/>
      </w:pPr>
      <w:r w:rsidRPr="002B2B96">
        <w:t>Cel 29 Ochrona, bezpieczeństwo oraz oszczędne, efektywne i zrównoważone wykorzystanie zasobów naturalnych</w:t>
      </w:r>
    </w:p>
    <w:p w:rsidR="003F2B0C" w:rsidRDefault="003F2B0C" w:rsidP="003F2B0C">
      <w:pPr>
        <w:spacing w:line="276" w:lineRule="auto"/>
      </w:pPr>
      <w:r w:rsidRPr="002B2B96">
        <w:t>Cel 30 Wielofunkcyjne otwarte przestrzenie</w:t>
      </w:r>
    </w:p>
    <w:p w:rsidR="003F2B0C" w:rsidRDefault="003F2B0C" w:rsidP="003F2B0C">
      <w:pPr>
        <w:spacing w:line="276" w:lineRule="auto"/>
      </w:pPr>
      <w:r w:rsidRPr="002B2B96">
        <w:t>Cel 31 Zamknięte cykle materiałowe w obszarze gospodarki odpadami</w:t>
      </w:r>
    </w:p>
    <w:p w:rsidR="003F2B0C" w:rsidRDefault="003F2B0C" w:rsidP="003F2B0C">
      <w:pPr>
        <w:spacing w:after="160" w:line="259" w:lineRule="auto"/>
        <w:jc w:val="left"/>
      </w:pPr>
      <w:r>
        <w:br w:type="page"/>
      </w:r>
    </w:p>
    <w:p w:rsidR="003F2B0C" w:rsidRPr="009C2C6D" w:rsidRDefault="003F2B0C" w:rsidP="003F2B0C">
      <w:pPr>
        <w:pStyle w:val="Nagwek2"/>
        <w:numPr>
          <w:ilvl w:val="1"/>
          <w:numId w:val="37"/>
        </w:numPr>
        <w:ind w:left="1440"/>
      </w:pPr>
      <w:bookmarkStart w:id="126" w:name="_Toc196867039"/>
      <w:bookmarkStart w:id="127" w:name="_Toc196905138"/>
      <w:bookmarkStart w:id="128" w:name="_Toc190036411"/>
      <w:bookmarkStart w:id="129" w:name="_Hlk194679078"/>
      <w:r>
        <w:lastRenderedPageBreak/>
        <w:t>Wnioski</w:t>
      </w:r>
      <w:bookmarkEnd w:id="126"/>
      <w:bookmarkEnd w:id="127"/>
      <w:r>
        <w:t xml:space="preserve"> </w:t>
      </w:r>
      <w:bookmarkEnd w:id="128"/>
    </w:p>
    <w:bookmarkEnd w:id="129"/>
    <w:p w:rsidR="003F2B0C" w:rsidRDefault="003F2B0C" w:rsidP="003F2B0C">
      <w:pPr>
        <w:pStyle w:val="Akapitzlist"/>
        <w:numPr>
          <w:ilvl w:val="0"/>
          <w:numId w:val="44"/>
        </w:numPr>
        <w:ind w:left="357" w:hanging="357"/>
      </w:pPr>
      <w:r>
        <w:t xml:space="preserve">Wrocławski Obszar Funkcjonalny tak jak pozostałe obszary został zdefiniowany w wielu dokumentach strategicznych na poziomie województwa i regionu co świadczy o jego randzie jako motoru rozwoju kraju i regionu. </w:t>
      </w:r>
    </w:p>
    <w:p w:rsidR="003F2B0C" w:rsidRDefault="003F2B0C" w:rsidP="003F2B0C">
      <w:pPr>
        <w:pStyle w:val="Akapitzlist"/>
        <w:numPr>
          <w:ilvl w:val="0"/>
          <w:numId w:val="44"/>
        </w:numPr>
        <w:ind w:left="357" w:hanging="357"/>
      </w:pPr>
      <w:r>
        <w:t xml:space="preserve">We Wrocławskim Obszarze Funkcjonalnym między rokiem 2018, a rokiem 2023 odnotowano największy przyrost ludności  w porównaniu do pozostałych polskich obszarów funkcjonalnych – zmiana o 8,60%, a liczba mieszkańców była większa niż Brneńskiego Obszaru Funkcjonalnego i aglomeracji Drezdeńskiej. </w:t>
      </w:r>
    </w:p>
    <w:p w:rsidR="003F2B0C" w:rsidRDefault="003F2B0C" w:rsidP="003F2B0C">
      <w:pPr>
        <w:pStyle w:val="Akapitzlist"/>
        <w:numPr>
          <w:ilvl w:val="0"/>
          <w:numId w:val="44"/>
        </w:numPr>
        <w:ind w:left="357" w:hanging="357"/>
      </w:pPr>
      <w:r>
        <w:t xml:space="preserve">W porównaniu do wszystkich obszarów funkcjonalnych Wrocławski Obszar Funkcjonalny wypada stosunkowo dobrze we wskaźniku dotyczącym gęstości zaludnienia, w którym na km2 przypada 401 osób, z dla porównania w Metropolii Krakowskiej takich osób przyda 892, a w Aglomeracji Drezna 1238. Stwarza to dobre warunki do życia mieszańcom </w:t>
      </w:r>
      <w:proofErr w:type="spellStart"/>
      <w:r>
        <w:t>WrOF</w:t>
      </w:r>
      <w:proofErr w:type="spellEnd"/>
      <w:r>
        <w:t>.</w:t>
      </w:r>
    </w:p>
    <w:p w:rsidR="003F2B0C" w:rsidRDefault="003F2B0C" w:rsidP="003F2B0C">
      <w:pPr>
        <w:pStyle w:val="Akapitzlist"/>
        <w:numPr>
          <w:ilvl w:val="0"/>
          <w:numId w:val="44"/>
        </w:numPr>
        <w:ind w:left="357" w:hanging="357"/>
      </w:pPr>
      <w:r>
        <w:t xml:space="preserve">W porównaniu do Metropolii Poznańskiej we </w:t>
      </w:r>
      <w:proofErr w:type="spellStart"/>
      <w:r>
        <w:t>WrOF</w:t>
      </w:r>
      <w:proofErr w:type="spellEnd"/>
      <w:r>
        <w:t xml:space="preserve"> prognozuje się dodatni przyrost ludności na poziomie 3,08% w roku 2060, ale znacznie niższy niż dla Brneńskiego Obszaru Metropolitalnego, w którym do 2071 roku prognozuje się przyrost ludności na poziomie 14,75%. </w:t>
      </w:r>
    </w:p>
    <w:p w:rsidR="003F2B0C" w:rsidRDefault="003F2B0C" w:rsidP="003F2B0C">
      <w:pPr>
        <w:pStyle w:val="Akapitzlist"/>
        <w:numPr>
          <w:ilvl w:val="0"/>
          <w:numId w:val="44"/>
        </w:numPr>
        <w:ind w:left="357" w:hanging="357"/>
      </w:pPr>
      <w:r>
        <w:t>Spośród polskich obszarów Wrocławski Obszar Funkcjonalny osiągnął najwyższe saldo migracji wewnętrznych co oznacza, że obszar jest atrakcyjnym miejscem zamieszkania dla Polaków przenoszących się między regionami kraju.</w:t>
      </w:r>
    </w:p>
    <w:p w:rsidR="003F2B0C" w:rsidRDefault="003F2B0C" w:rsidP="003F2B0C">
      <w:pPr>
        <w:pStyle w:val="Akapitzlist"/>
        <w:numPr>
          <w:ilvl w:val="0"/>
          <w:numId w:val="44"/>
        </w:numPr>
        <w:ind w:left="357" w:hanging="357"/>
      </w:pPr>
      <w:r>
        <w:t>Spośród polskich obszarów funkcjonalnych Wrocławski Obszar Funkcjonalny doświadczył w 2023 roku najniższego salda migracji zagranicznych,</w:t>
      </w:r>
    </w:p>
    <w:p w:rsidR="003F2B0C" w:rsidRDefault="003F2B0C" w:rsidP="003F2B0C">
      <w:pPr>
        <w:pStyle w:val="Akapitzlist"/>
        <w:numPr>
          <w:ilvl w:val="0"/>
          <w:numId w:val="44"/>
        </w:numPr>
        <w:ind w:left="357" w:hanging="357"/>
      </w:pPr>
      <w:r>
        <w:t xml:space="preserve">Długość dróg gminnych o nawierzchni twardej na obszarze </w:t>
      </w:r>
      <w:proofErr w:type="spellStart"/>
      <w:r>
        <w:t>W</w:t>
      </w:r>
      <w:r w:rsidR="002F1BDE">
        <w:t>r</w:t>
      </w:r>
      <w:r>
        <w:t>OF</w:t>
      </w:r>
      <w:proofErr w:type="spellEnd"/>
      <w:r>
        <w:t xml:space="preserve"> jest zdecydowanie krótsza niż w pozostałych polskich porównywanych obszarach funkcjonalnych. </w:t>
      </w:r>
    </w:p>
    <w:p w:rsidR="003F2B0C" w:rsidRDefault="003F2B0C" w:rsidP="003F2B0C">
      <w:pPr>
        <w:pStyle w:val="Akapitzlist"/>
        <w:numPr>
          <w:ilvl w:val="0"/>
          <w:numId w:val="44"/>
        </w:numPr>
        <w:ind w:left="357" w:hanging="357"/>
      </w:pPr>
      <w:r>
        <w:t xml:space="preserve">Wrocławski Obszar Funkcjonalny jest dobrze skomunikowany. Położenie na południowo-zachodnim krańcu Polski blisko granicy z Czechami i Niemcami czyni go strategicznym punktem tranzytowym dla handlu międzynarodowego. Tak jak pozostałe analizowane obszary posiada rozwinięty transport lotniczy, kolejowy, a przez jego obszar przebiegają drogi krajowe. W dokumentach planistycznych dotyczących mobilności, priorytetami są działania zmierzające do integracji przestrzennej i komunikacyjnej obszaru i zwiększenie udziału transportu zbiorowego i publicznego w ogólnym wykorzystaniu środków komunikacji. </w:t>
      </w:r>
    </w:p>
    <w:p w:rsidR="003F2B0C" w:rsidRDefault="003F2B0C" w:rsidP="003F2B0C">
      <w:pPr>
        <w:pStyle w:val="Akapitzlist"/>
        <w:numPr>
          <w:ilvl w:val="0"/>
          <w:numId w:val="44"/>
        </w:numPr>
        <w:ind w:left="357" w:hanging="357"/>
      </w:pPr>
      <w:r>
        <w:t xml:space="preserve">W zakresie rozwoju gospodarczego Wrocławski Obszar Funkcjonalny wyróżnia się specjalizacją lokalną w sektorze IT. </w:t>
      </w:r>
    </w:p>
    <w:p w:rsidR="003F2B0C" w:rsidRDefault="003F2B0C" w:rsidP="003F2B0C">
      <w:pPr>
        <w:pStyle w:val="Akapitzlist"/>
        <w:numPr>
          <w:ilvl w:val="0"/>
          <w:numId w:val="44"/>
        </w:numPr>
        <w:ind w:left="357" w:hanging="357"/>
      </w:pPr>
      <w:r>
        <w:t>W rankingu najbardziej rozwiniętych i innowacyjnych miast „</w:t>
      </w:r>
      <w:proofErr w:type="spellStart"/>
      <w:r>
        <w:t>Index</w:t>
      </w:r>
      <w:proofErr w:type="spellEnd"/>
      <w:r>
        <w:t xml:space="preserve"> 2022-2023: Europe – Most </w:t>
      </w:r>
      <w:proofErr w:type="spellStart"/>
      <w:r>
        <w:t>Developed</w:t>
      </w:r>
      <w:proofErr w:type="spellEnd"/>
      <w:r>
        <w:t xml:space="preserve"> and </w:t>
      </w:r>
      <w:proofErr w:type="spellStart"/>
      <w:r>
        <w:t>Innovativecities</w:t>
      </w:r>
      <w:proofErr w:type="spellEnd"/>
      <w:r>
        <w:t xml:space="preserve">” miasto rdzeń Wrocław zajęło najwyższe miejsce spośród polskich analizowanych miast rdzeni. Wrocław w rankingu wyprzedził Brno, ale znalazł się znacznie dalej </w:t>
      </w:r>
      <w:r>
        <w:lastRenderedPageBreak/>
        <w:t xml:space="preserve">niż Drezno, które stawia na rozwój technologii z obszaru </w:t>
      </w:r>
      <w:proofErr w:type="spellStart"/>
      <w:r>
        <w:t>nanotechnologii</w:t>
      </w:r>
      <w:proofErr w:type="spellEnd"/>
      <w:r>
        <w:t xml:space="preserve">, mikroelektroniki, czy produkcji półprzewodników. </w:t>
      </w:r>
      <w:proofErr w:type="spellStart"/>
      <w:r>
        <w:t>WrOF</w:t>
      </w:r>
      <w:proofErr w:type="spellEnd"/>
      <w:r>
        <w:t xml:space="preserve"> jako obszar powinien więc dążyć do rozwoju specjalizacji z zakresu nowych technologii, tak by w pełni wykorzystać chociażby potencjał ludnościowy, który ma większy niż Drezno czy Brno. </w:t>
      </w:r>
    </w:p>
    <w:p w:rsidR="003F2B0C" w:rsidRDefault="003F2B0C" w:rsidP="003F2B0C">
      <w:pPr>
        <w:pStyle w:val="Akapitzlist"/>
        <w:numPr>
          <w:ilvl w:val="0"/>
          <w:numId w:val="44"/>
        </w:numPr>
        <w:ind w:left="357" w:hanging="357"/>
      </w:pPr>
      <w:r>
        <w:t xml:space="preserve">W rankingu uniwersytetów publikowanych przez organizację </w:t>
      </w:r>
      <w:proofErr w:type="spellStart"/>
      <w:r>
        <w:t>Quacquarelli</w:t>
      </w:r>
      <w:proofErr w:type="spellEnd"/>
      <w:r w:rsidR="00EB226C">
        <w:t xml:space="preserve"> </w:t>
      </w:r>
      <w:proofErr w:type="spellStart"/>
      <w:r>
        <w:t>Symonds</w:t>
      </w:r>
      <w:proofErr w:type="spellEnd"/>
      <w:r>
        <w:t xml:space="preserve"> (QS) wrocławskie uczelnie zajęły odległe miejsca w trzeciej i czwartej setce rankingu podczas gdy Metropolia Krakowska, Brneński Obszar Metropolitalny i Aglomeracja Drezna posiadają uczelnie w drugiej setce najlepszych uczelni europejskich. Wrocławskie uczelnie wypadają również gorzej we wskaźniku </w:t>
      </w:r>
      <w:proofErr w:type="spellStart"/>
      <w:r>
        <w:t>partnerstw</w:t>
      </w:r>
      <w:proofErr w:type="spellEnd"/>
      <w:r>
        <w:t xml:space="preserve"> badawczych, który mierzy, jak różnorodna i bogata jest sieć badawcza instytucji. </w:t>
      </w:r>
    </w:p>
    <w:p w:rsidR="003F2B0C" w:rsidRDefault="003F2B0C" w:rsidP="003F2B0C">
      <w:pPr>
        <w:pStyle w:val="Akapitzlist"/>
        <w:numPr>
          <w:ilvl w:val="0"/>
          <w:numId w:val="44"/>
        </w:numPr>
        <w:ind w:left="357" w:hanging="357"/>
      </w:pPr>
      <w:r>
        <w:t xml:space="preserve">Na wrocławskich uczelniach, które znalazły się w rankingu QS </w:t>
      </w:r>
      <w:proofErr w:type="spellStart"/>
      <w:r>
        <w:t>World</w:t>
      </w:r>
      <w:proofErr w:type="spellEnd"/>
      <w:r>
        <w:t xml:space="preserve"> udział studentów zagranicznych w ogólnej liczbie studentów był znacznie niższy niż na uczelniach w Brnie, Dreźnie czy Krakowie, należy więc podejmować działania promujące uczelnie z obszaru </w:t>
      </w:r>
      <w:proofErr w:type="spellStart"/>
      <w:r>
        <w:t>WrOF</w:t>
      </w:r>
      <w:proofErr w:type="spellEnd"/>
      <w:r>
        <w:t xml:space="preserve">, dążyć do nawiązywania współprac międzyuczelnianych, realizacji projektów międzynarodowych tak by zwiększyć rozpoznawalność i prestiż uczelni wśród międzynarodowej społeczności studentów i naukowców. </w:t>
      </w:r>
    </w:p>
    <w:p w:rsidR="003F2B0C" w:rsidRDefault="003F2B0C" w:rsidP="003F2B0C">
      <w:pPr>
        <w:pStyle w:val="Akapitzlist"/>
        <w:numPr>
          <w:ilvl w:val="0"/>
          <w:numId w:val="44"/>
        </w:numPr>
        <w:ind w:left="357" w:hanging="357"/>
      </w:pPr>
      <w:r w:rsidRPr="006606A1">
        <w:t>W przeliczeniu na jednego mieszkańca na obszarze Wrocławskiego Obszaru Funkcjonalnego odnotowano spadek</w:t>
      </w:r>
      <w:r>
        <w:t xml:space="preserve"> </w:t>
      </w:r>
      <w:r w:rsidRPr="006606A1">
        <w:t>masy odpadów komunalnych z 0,48 t w roku 2013 do 0,46 t w roku 2023.</w:t>
      </w:r>
      <w:r>
        <w:t xml:space="preserve"> Natomiast w przypadku odpadów zbieranych selektywnie </w:t>
      </w:r>
      <w:proofErr w:type="spellStart"/>
      <w:r>
        <w:t>WrOF</w:t>
      </w:r>
      <w:proofErr w:type="spellEnd"/>
      <w:r>
        <w:t xml:space="preserve"> wypadał w tym wskaźniku najsłabiej  gdzie na jednego mieszkańca w 2023 roku zbierano 0,18 t odpadów. </w:t>
      </w:r>
    </w:p>
    <w:p w:rsidR="003F2B0C" w:rsidRDefault="003F2B0C" w:rsidP="003F2B0C">
      <w:pPr>
        <w:pStyle w:val="Akapitzlist"/>
        <w:numPr>
          <w:ilvl w:val="0"/>
          <w:numId w:val="44"/>
        </w:numPr>
        <w:ind w:left="357" w:hanging="357"/>
      </w:pPr>
      <w:r>
        <w:t xml:space="preserve">Pod względem atrakcyjności turystycznej </w:t>
      </w:r>
      <w:proofErr w:type="spellStart"/>
      <w:r>
        <w:t>WrOF</w:t>
      </w:r>
      <w:proofErr w:type="spellEnd"/>
      <w:r>
        <w:t xml:space="preserve"> nie odstaje od pozostałych obszarów funkcjonalnych. Posiada wiele atrakcji zarówno przyrodniczych jak i architektonicznych. Posiada więc potencjał do rozwoju obszaru jako atrakcyjnego miejsca do spędzania wolnego czasu zarówno dla mieszkańców jak turystów krajowych i zagranicznych. </w:t>
      </w:r>
    </w:p>
    <w:p w:rsidR="003F2B0C" w:rsidRDefault="003F2B0C" w:rsidP="003F2B0C">
      <w:pPr>
        <w:pStyle w:val="Akapitzlist"/>
        <w:numPr>
          <w:ilvl w:val="0"/>
          <w:numId w:val="44"/>
        </w:numPr>
        <w:ind w:left="357" w:hanging="357"/>
      </w:pPr>
      <w:r>
        <w:t>W zakresie priorytetów rozwojowych Wrocławski Obszar Funkcjonalny stawia na poprawę jakości życia mieszkańców rozwój potencjału gospodarczego i pogłębianie integracji w zakresie transportu, przestrzeni i środowiska. Cele te są zbliżone do priorytetów pozostałych obszarów funkcjonalnych.</w:t>
      </w:r>
    </w:p>
    <w:p w:rsidR="003F2B0C" w:rsidRPr="00264D56" w:rsidRDefault="003F2B0C" w:rsidP="003F2B0C">
      <w:pPr>
        <w:spacing w:after="160" w:line="259" w:lineRule="auto"/>
        <w:jc w:val="left"/>
      </w:pPr>
      <w:r>
        <w:br w:type="page"/>
      </w:r>
    </w:p>
    <w:p w:rsidR="00534186" w:rsidRDefault="007176EC" w:rsidP="00AD3564">
      <w:pPr>
        <w:pStyle w:val="Nagwek1"/>
        <w:numPr>
          <w:ilvl w:val="0"/>
          <w:numId w:val="0"/>
        </w:numPr>
      </w:pPr>
      <w:bookmarkStart w:id="130" w:name="_Toc196905139"/>
      <w:r>
        <w:lastRenderedPageBreak/>
        <w:t>5</w:t>
      </w:r>
      <w:r w:rsidR="00AD3564">
        <w:t xml:space="preserve">. </w:t>
      </w:r>
      <w:r w:rsidR="007167ED" w:rsidRPr="007167ED">
        <w:t>Spis rysunków, tabel, wykresów</w:t>
      </w:r>
      <w:bookmarkEnd w:id="130"/>
    </w:p>
    <w:p w:rsidR="0003066B" w:rsidRDefault="0003066B" w:rsidP="007167ED">
      <w:pPr>
        <w:rPr>
          <w:b/>
          <w:bCs/>
          <w:sz w:val="32"/>
          <w:szCs w:val="32"/>
        </w:rPr>
      </w:pPr>
      <w:r>
        <w:rPr>
          <w:b/>
          <w:bCs/>
          <w:sz w:val="32"/>
          <w:szCs w:val="32"/>
        </w:rPr>
        <w:t>Mapy</w:t>
      </w:r>
    </w:p>
    <w:p w:rsidR="00CA313E" w:rsidRDefault="00646D05">
      <w:pPr>
        <w:pStyle w:val="Spisilustracji"/>
        <w:tabs>
          <w:tab w:val="right" w:leader="dot" w:pos="9062"/>
        </w:tabs>
        <w:rPr>
          <w:rFonts w:eastAsiaTheme="minorEastAsia"/>
          <w:noProof/>
          <w:sz w:val="24"/>
          <w:szCs w:val="24"/>
          <w:lang w:eastAsia="pl-PL"/>
        </w:rPr>
      </w:pPr>
      <w:r>
        <w:rPr>
          <w:b/>
          <w:bCs/>
          <w:sz w:val="32"/>
          <w:szCs w:val="32"/>
        </w:rPr>
        <w:fldChar w:fldCharType="begin"/>
      </w:r>
      <w:r w:rsidR="0003066B">
        <w:rPr>
          <w:b/>
          <w:bCs/>
          <w:sz w:val="32"/>
          <w:szCs w:val="32"/>
        </w:rPr>
        <w:instrText xml:space="preserve"> TOC \h \z \c "Mapa" </w:instrText>
      </w:r>
      <w:r>
        <w:rPr>
          <w:b/>
          <w:bCs/>
          <w:sz w:val="32"/>
          <w:szCs w:val="32"/>
        </w:rPr>
        <w:fldChar w:fldCharType="separate"/>
      </w:r>
      <w:hyperlink w:anchor="_Toc196905054" w:history="1">
        <w:r w:rsidR="00CA313E" w:rsidRPr="001F366F">
          <w:rPr>
            <w:rStyle w:val="Hipercze"/>
            <w:noProof/>
          </w:rPr>
          <w:t>Mapa 1. Położenie WrOF na tle części Europy Środkowej</w:t>
        </w:r>
        <w:r w:rsidR="00CA313E">
          <w:rPr>
            <w:noProof/>
            <w:webHidden/>
          </w:rPr>
          <w:tab/>
        </w:r>
        <w:r>
          <w:rPr>
            <w:noProof/>
            <w:webHidden/>
          </w:rPr>
          <w:fldChar w:fldCharType="begin"/>
        </w:r>
        <w:r w:rsidR="00CA313E">
          <w:rPr>
            <w:noProof/>
            <w:webHidden/>
          </w:rPr>
          <w:instrText xml:space="preserve"> PAGEREF _Toc196905054 \h </w:instrText>
        </w:r>
        <w:r>
          <w:rPr>
            <w:noProof/>
            <w:webHidden/>
          </w:rPr>
        </w:r>
        <w:r>
          <w:rPr>
            <w:noProof/>
            <w:webHidden/>
          </w:rPr>
          <w:fldChar w:fldCharType="separate"/>
        </w:r>
        <w:r w:rsidR="0084338D">
          <w:rPr>
            <w:noProof/>
            <w:webHidden/>
          </w:rPr>
          <w:t>6</w:t>
        </w:r>
        <w:r>
          <w:rPr>
            <w:noProof/>
            <w:webHidden/>
          </w:rPr>
          <w:fldChar w:fldCharType="end"/>
        </w:r>
      </w:hyperlink>
    </w:p>
    <w:p w:rsidR="00CA313E" w:rsidRDefault="00646D05">
      <w:pPr>
        <w:pStyle w:val="Spisilustracji"/>
        <w:tabs>
          <w:tab w:val="right" w:leader="dot" w:pos="9062"/>
        </w:tabs>
        <w:rPr>
          <w:rFonts w:eastAsiaTheme="minorEastAsia"/>
          <w:noProof/>
          <w:sz w:val="24"/>
          <w:szCs w:val="24"/>
          <w:lang w:eastAsia="pl-PL"/>
        </w:rPr>
      </w:pPr>
      <w:hyperlink w:anchor="_Toc196905055" w:history="1">
        <w:r w:rsidR="00CA313E" w:rsidRPr="001F366F">
          <w:rPr>
            <w:rStyle w:val="Hipercze"/>
            <w:noProof/>
          </w:rPr>
          <w:t>Mapa 2. Zasięg WrOF na tle województwa dolnośląskiego</w:t>
        </w:r>
        <w:r w:rsidR="00CA313E">
          <w:rPr>
            <w:noProof/>
            <w:webHidden/>
          </w:rPr>
          <w:tab/>
        </w:r>
        <w:r>
          <w:rPr>
            <w:noProof/>
            <w:webHidden/>
          </w:rPr>
          <w:fldChar w:fldCharType="begin"/>
        </w:r>
        <w:r w:rsidR="00CA313E">
          <w:rPr>
            <w:noProof/>
            <w:webHidden/>
          </w:rPr>
          <w:instrText xml:space="preserve"> PAGEREF _Toc196905055 \h </w:instrText>
        </w:r>
        <w:r>
          <w:rPr>
            <w:noProof/>
            <w:webHidden/>
          </w:rPr>
        </w:r>
        <w:r>
          <w:rPr>
            <w:noProof/>
            <w:webHidden/>
          </w:rPr>
          <w:fldChar w:fldCharType="separate"/>
        </w:r>
        <w:r w:rsidR="0084338D">
          <w:rPr>
            <w:noProof/>
            <w:webHidden/>
          </w:rPr>
          <w:t>7</w:t>
        </w:r>
        <w:r>
          <w:rPr>
            <w:noProof/>
            <w:webHidden/>
          </w:rPr>
          <w:fldChar w:fldCharType="end"/>
        </w:r>
      </w:hyperlink>
    </w:p>
    <w:p w:rsidR="00CA313E" w:rsidRDefault="00646D05">
      <w:pPr>
        <w:pStyle w:val="Spisilustracji"/>
        <w:tabs>
          <w:tab w:val="right" w:leader="dot" w:pos="9062"/>
        </w:tabs>
        <w:rPr>
          <w:rFonts w:eastAsiaTheme="minorEastAsia"/>
          <w:noProof/>
          <w:sz w:val="24"/>
          <w:szCs w:val="24"/>
          <w:lang w:eastAsia="pl-PL"/>
        </w:rPr>
      </w:pPr>
      <w:hyperlink w:anchor="_Toc196905056" w:history="1">
        <w:r w:rsidR="00CA313E" w:rsidRPr="001F366F">
          <w:rPr>
            <w:rStyle w:val="Hipercze"/>
            <w:noProof/>
          </w:rPr>
          <w:t>Mapa 3. Struktura osadnicza WrOF</w:t>
        </w:r>
        <w:r w:rsidR="00CA313E">
          <w:rPr>
            <w:noProof/>
            <w:webHidden/>
          </w:rPr>
          <w:tab/>
        </w:r>
        <w:r>
          <w:rPr>
            <w:noProof/>
            <w:webHidden/>
          </w:rPr>
          <w:fldChar w:fldCharType="begin"/>
        </w:r>
        <w:r w:rsidR="00CA313E">
          <w:rPr>
            <w:noProof/>
            <w:webHidden/>
          </w:rPr>
          <w:instrText xml:space="preserve"> PAGEREF _Toc196905056 \h </w:instrText>
        </w:r>
        <w:r>
          <w:rPr>
            <w:noProof/>
            <w:webHidden/>
          </w:rPr>
        </w:r>
        <w:r>
          <w:rPr>
            <w:noProof/>
            <w:webHidden/>
          </w:rPr>
          <w:fldChar w:fldCharType="separate"/>
        </w:r>
        <w:r w:rsidR="0084338D">
          <w:rPr>
            <w:noProof/>
            <w:webHidden/>
          </w:rPr>
          <w:t>8</w:t>
        </w:r>
        <w:r>
          <w:rPr>
            <w:noProof/>
            <w:webHidden/>
          </w:rPr>
          <w:fldChar w:fldCharType="end"/>
        </w:r>
      </w:hyperlink>
    </w:p>
    <w:p w:rsidR="00CA313E" w:rsidRDefault="00646D05">
      <w:pPr>
        <w:pStyle w:val="Spisilustracji"/>
        <w:tabs>
          <w:tab w:val="right" w:leader="dot" w:pos="9062"/>
        </w:tabs>
        <w:rPr>
          <w:rFonts w:eastAsiaTheme="minorEastAsia"/>
          <w:noProof/>
          <w:sz w:val="24"/>
          <w:szCs w:val="24"/>
          <w:lang w:eastAsia="pl-PL"/>
        </w:rPr>
      </w:pPr>
      <w:hyperlink w:anchor="_Toc196905057" w:history="1">
        <w:r w:rsidR="00CA313E" w:rsidRPr="001F366F">
          <w:rPr>
            <w:rStyle w:val="Hipercze"/>
            <w:noProof/>
          </w:rPr>
          <w:t>Mapa 4. WrOF na tle powiązań przyrodniczych</w:t>
        </w:r>
        <w:r w:rsidR="00CA313E">
          <w:rPr>
            <w:noProof/>
            <w:webHidden/>
          </w:rPr>
          <w:tab/>
        </w:r>
        <w:r>
          <w:rPr>
            <w:noProof/>
            <w:webHidden/>
          </w:rPr>
          <w:fldChar w:fldCharType="begin"/>
        </w:r>
        <w:r w:rsidR="00CA313E">
          <w:rPr>
            <w:noProof/>
            <w:webHidden/>
          </w:rPr>
          <w:instrText xml:space="preserve"> PAGEREF _Toc196905057 \h </w:instrText>
        </w:r>
        <w:r>
          <w:rPr>
            <w:noProof/>
            <w:webHidden/>
          </w:rPr>
        </w:r>
        <w:r>
          <w:rPr>
            <w:noProof/>
            <w:webHidden/>
          </w:rPr>
          <w:fldChar w:fldCharType="separate"/>
        </w:r>
        <w:r w:rsidR="0084338D">
          <w:rPr>
            <w:noProof/>
            <w:webHidden/>
          </w:rPr>
          <w:t>9</w:t>
        </w:r>
        <w:r>
          <w:rPr>
            <w:noProof/>
            <w:webHidden/>
          </w:rPr>
          <w:fldChar w:fldCharType="end"/>
        </w:r>
      </w:hyperlink>
    </w:p>
    <w:p w:rsidR="007167ED" w:rsidRPr="007167ED" w:rsidRDefault="00646D05" w:rsidP="007167ED">
      <w:pPr>
        <w:rPr>
          <w:b/>
          <w:bCs/>
          <w:sz w:val="32"/>
          <w:szCs w:val="32"/>
        </w:rPr>
      </w:pPr>
      <w:r>
        <w:rPr>
          <w:b/>
          <w:bCs/>
          <w:sz w:val="32"/>
          <w:szCs w:val="32"/>
        </w:rPr>
        <w:fldChar w:fldCharType="end"/>
      </w:r>
      <w:r w:rsidR="007167ED" w:rsidRPr="007167ED">
        <w:rPr>
          <w:b/>
          <w:bCs/>
          <w:sz w:val="32"/>
          <w:szCs w:val="32"/>
        </w:rPr>
        <w:t>Rysunki</w:t>
      </w:r>
    </w:p>
    <w:p w:rsidR="00CA313E" w:rsidRDefault="00646D05">
      <w:pPr>
        <w:pStyle w:val="Spisilustracji"/>
        <w:tabs>
          <w:tab w:val="right" w:leader="dot" w:pos="9062"/>
        </w:tabs>
        <w:rPr>
          <w:rFonts w:eastAsiaTheme="minorEastAsia"/>
          <w:noProof/>
          <w:sz w:val="24"/>
          <w:szCs w:val="24"/>
          <w:lang w:eastAsia="pl-PL"/>
        </w:rPr>
      </w:pPr>
      <w:r>
        <w:fldChar w:fldCharType="begin"/>
      </w:r>
      <w:r w:rsidR="007167ED">
        <w:instrText xml:space="preserve"> TOC \h \z \c "Rysunek" </w:instrText>
      </w:r>
      <w:r>
        <w:fldChar w:fldCharType="separate"/>
      </w:r>
      <w:hyperlink w:anchor="_Toc196905059" w:history="1">
        <w:r w:rsidR="00CA313E" w:rsidRPr="007B5551">
          <w:rPr>
            <w:rStyle w:val="Hipercze"/>
            <w:noProof/>
          </w:rPr>
          <w:t>Rysunek 1. Natężenia ruchu drogowego dla roku 2030 do programu PBDK. Źródło danych: CUPT - Zintegrowany Model Ruchu</w:t>
        </w:r>
        <w:r w:rsidR="00CA313E">
          <w:rPr>
            <w:noProof/>
            <w:webHidden/>
          </w:rPr>
          <w:tab/>
        </w:r>
        <w:r>
          <w:rPr>
            <w:noProof/>
            <w:webHidden/>
          </w:rPr>
          <w:fldChar w:fldCharType="begin"/>
        </w:r>
        <w:r w:rsidR="00CA313E">
          <w:rPr>
            <w:noProof/>
            <w:webHidden/>
          </w:rPr>
          <w:instrText xml:space="preserve"> PAGEREF _Toc196905059 \h </w:instrText>
        </w:r>
        <w:r>
          <w:rPr>
            <w:noProof/>
            <w:webHidden/>
          </w:rPr>
        </w:r>
        <w:r>
          <w:rPr>
            <w:noProof/>
            <w:webHidden/>
          </w:rPr>
          <w:fldChar w:fldCharType="separate"/>
        </w:r>
        <w:r w:rsidR="0084338D">
          <w:rPr>
            <w:noProof/>
            <w:webHidden/>
          </w:rPr>
          <w:t>46</w:t>
        </w:r>
        <w:r>
          <w:rPr>
            <w:noProof/>
            <w:webHidden/>
          </w:rPr>
          <w:fldChar w:fldCharType="end"/>
        </w:r>
      </w:hyperlink>
    </w:p>
    <w:p w:rsidR="00CA313E" w:rsidRDefault="00646D05">
      <w:pPr>
        <w:pStyle w:val="Spisilustracji"/>
        <w:tabs>
          <w:tab w:val="right" w:leader="dot" w:pos="9062"/>
        </w:tabs>
        <w:rPr>
          <w:rFonts w:eastAsiaTheme="minorEastAsia"/>
          <w:noProof/>
          <w:sz w:val="24"/>
          <w:szCs w:val="24"/>
          <w:lang w:eastAsia="pl-PL"/>
        </w:rPr>
      </w:pPr>
      <w:hyperlink w:anchor="_Toc196905060" w:history="1">
        <w:r w:rsidR="00CA313E" w:rsidRPr="007B5551">
          <w:rPr>
            <w:rStyle w:val="Hipercze"/>
            <w:noProof/>
          </w:rPr>
          <w:t>Rysunek 2.Rozmieszczenie terminali intermodalnych w 2023 r.</w:t>
        </w:r>
        <w:r w:rsidR="00CA313E">
          <w:rPr>
            <w:noProof/>
            <w:webHidden/>
          </w:rPr>
          <w:tab/>
        </w:r>
        <w:r>
          <w:rPr>
            <w:noProof/>
            <w:webHidden/>
          </w:rPr>
          <w:fldChar w:fldCharType="begin"/>
        </w:r>
        <w:r w:rsidR="00CA313E">
          <w:rPr>
            <w:noProof/>
            <w:webHidden/>
          </w:rPr>
          <w:instrText xml:space="preserve"> PAGEREF _Toc196905060 \h </w:instrText>
        </w:r>
        <w:r>
          <w:rPr>
            <w:noProof/>
            <w:webHidden/>
          </w:rPr>
        </w:r>
        <w:r>
          <w:rPr>
            <w:noProof/>
            <w:webHidden/>
          </w:rPr>
          <w:fldChar w:fldCharType="separate"/>
        </w:r>
        <w:r w:rsidR="0084338D">
          <w:rPr>
            <w:noProof/>
            <w:webHidden/>
          </w:rPr>
          <w:t>48</w:t>
        </w:r>
        <w:r>
          <w:rPr>
            <w:noProof/>
            <w:webHidden/>
          </w:rPr>
          <w:fldChar w:fldCharType="end"/>
        </w:r>
      </w:hyperlink>
    </w:p>
    <w:p w:rsidR="00CA313E" w:rsidRDefault="00646D05">
      <w:pPr>
        <w:pStyle w:val="Spisilustracji"/>
        <w:tabs>
          <w:tab w:val="right" w:leader="dot" w:pos="9062"/>
        </w:tabs>
        <w:rPr>
          <w:rFonts w:eastAsiaTheme="minorEastAsia"/>
          <w:noProof/>
          <w:sz w:val="24"/>
          <w:szCs w:val="24"/>
          <w:lang w:eastAsia="pl-PL"/>
        </w:rPr>
      </w:pPr>
      <w:hyperlink w:anchor="_Toc196905061" w:history="1">
        <w:r w:rsidR="00CA313E" w:rsidRPr="007B5551">
          <w:rPr>
            <w:rStyle w:val="Hipercze"/>
            <w:noProof/>
          </w:rPr>
          <w:t>Rysunek 3. Wyniki prognozy IATA rynku pasażerskiego w scenariuszu bazowym – rok 2030 i 2040</w:t>
        </w:r>
        <w:r w:rsidR="00CA313E">
          <w:rPr>
            <w:noProof/>
            <w:webHidden/>
          </w:rPr>
          <w:tab/>
        </w:r>
        <w:r>
          <w:rPr>
            <w:noProof/>
            <w:webHidden/>
          </w:rPr>
          <w:fldChar w:fldCharType="begin"/>
        </w:r>
        <w:r w:rsidR="00CA313E">
          <w:rPr>
            <w:noProof/>
            <w:webHidden/>
          </w:rPr>
          <w:instrText xml:space="preserve"> PAGEREF _Toc196905061 \h </w:instrText>
        </w:r>
        <w:r>
          <w:rPr>
            <w:noProof/>
            <w:webHidden/>
          </w:rPr>
        </w:r>
        <w:r>
          <w:rPr>
            <w:noProof/>
            <w:webHidden/>
          </w:rPr>
          <w:fldChar w:fldCharType="separate"/>
        </w:r>
        <w:r w:rsidR="0084338D">
          <w:rPr>
            <w:noProof/>
            <w:webHidden/>
          </w:rPr>
          <w:t>50</w:t>
        </w:r>
        <w:r>
          <w:rPr>
            <w:noProof/>
            <w:webHidden/>
          </w:rPr>
          <w:fldChar w:fldCharType="end"/>
        </w:r>
      </w:hyperlink>
    </w:p>
    <w:p w:rsidR="007167ED" w:rsidRPr="007167ED" w:rsidRDefault="00646D05" w:rsidP="007167ED">
      <w:pPr>
        <w:rPr>
          <w:b/>
          <w:bCs/>
          <w:sz w:val="32"/>
          <w:szCs w:val="32"/>
        </w:rPr>
      </w:pPr>
      <w:r>
        <w:fldChar w:fldCharType="end"/>
      </w:r>
      <w:r w:rsidR="007167ED" w:rsidRPr="007167ED">
        <w:rPr>
          <w:b/>
          <w:bCs/>
          <w:sz w:val="32"/>
          <w:szCs w:val="32"/>
        </w:rPr>
        <w:t>Tabele</w:t>
      </w:r>
    </w:p>
    <w:p w:rsidR="00CA313E" w:rsidRDefault="00646D05">
      <w:pPr>
        <w:pStyle w:val="Spisilustracji"/>
        <w:tabs>
          <w:tab w:val="right" w:leader="dot" w:pos="9062"/>
        </w:tabs>
        <w:rPr>
          <w:rFonts w:eastAsiaTheme="minorEastAsia"/>
          <w:noProof/>
          <w:sz w:val="24"/>
          <w:szCs w:val="24"/>
          <w:lang w:eastAsia="pl-PL"/>
        </w:rPr>
      </w:pPr>
      <w:r>
        <w:fldChar w:fldCharType="begin"/>
      </w:r>
      <w:r w:rsidR="007167ED">
        <w:instrText xml:space="preserve"> TOC \h \z \c "Tabela" </w:instrText>
      </w:r>
      <w:r>
        <w:fldChar w:fldCharType="separate"/>
      </w:r>
      <w:hyperlink w:anchor="_Toc196905065" w:history="1">
        <w:r w:rsidR="00CA313E" w:rsidRPr="00312A01">
          <w:rPr>
            <w:rStyle w:val="Hipercze"/>
            <w:noProof/>
          </w:rPr>
          <w:t>Tabela 1. Kierunki interwencji Strategii Demograficznej 2040</w:t>
        </w:r>
        <w:r w:rsidR="00CA313E">
          <w:rPr>
            <w:noProof/>
            <w:webHidden/>
          </w:rPr>
          <w:tab/>
        </w:r>
        <w:r>
          <w:rPr>
            <w:noProof/>
            <w:webHidden/>
          </w:rPr>
          <w:fldChar w:fldCharType="begin"/>
        </w:r>
        <w:r w:rsidR="00CA313E">
          <w:rPr>
            <w:noProof/>
            <w:webHidden/>
          </w:rPr>
          <w:instrText xml:space="preserve"> PAGEREF _Toc196905065 \h </w:instrText>
        </w:r>
        <w:r>
          <w:rPr>
            <w:noProof/>
            <w:webHidden/>
          </w:rPr>
        </w:r>
        <w:r>
          <w:rPr>
            <w:noProof/>
            <w:webHidden/>
          </w:rPr>
          <w:fldChar w:fldCharType="separate"/>
        </w:r>
        <w:r w:rsidR="0084338D">
          <w:rPr>
            <w:noProof/>
            <w:webHidden/>
          </w:rPr>
          <w:t>12</w:t>
        </w:r>
        <w:r>
          <w:rPr>
            <w:noProof/>
            <w:webHidden/>
          </w:rPr>
          <w:fldChar w:fldCharType="end"/>
        </w:r>
      </w:hyperlink>
    </w:p>
    <w:p w:rsidR="00CA313E" w:rsidRDefault="00646D05">
      <w:pPr>
        <w:pStyle w:val="Spisilustracji"/>
        <w:tabs>
          <w:tab w:val="right" w:leader="dot" w:pos="9062"/>
        </w:tabs>
        <w:rPr>
          <w:rFonts w:eastAsiaTheme="minorEastAsia"/>
          <w:noProof/>
          <w:sz w:val="24"/>
          <w:szCs w:val="24"/>
          <w:lang w:eastAsia="pl-PL"/>
        </w:rPr>
      </w:pPr>
      <w:hyperlink w:anchor="_Toc196905066" w:history="1">
        <w:r w:rsidR="00CA313E" w:rsidRPr="00312A01">
          <w:rPr>
            <w:rStyle w:val="Hipercze"/>
            <w:noProof/>
          </w:rPr>
          <w:t>Tabela 2. Kluczowe ustalenia Strategii Migracyjnej Polski na lata 2025–2030</w:t>
        </w:r>
        <w:r w:rsidR="00CA313E">
          <w:rPr>
            <w:noProof/>
            <w:webHidden/>
          </w:rPr>
          <w:tab/>
        </w:r>
        <w:r>
          <w:rPr>
            <w:noProof/>
            <w:webHidden/>
          </w:rPr>
          <w:fldChar w:fldCharType="begin"/>
        </w:r>
        <w:r w:rsidR="00CA313E">
          <w:rPr>
            <w:noProof/>
            <w:webHidden/>
          </w:rPr>
          <w:instrText xml:space="preserve"> PAGEREF _Toc196905066 \h </w:instrText>
        </w:r>
        <w:r>
          <w:rPr>
            <w:noProof/>
            <w:webHidden/>
          </w:rPr>
        </w:r>
        <w:r>
          <w:rPr>
            <w:noProof/>
            <w:webHidden/>
          </w:rPr>
          <w:fldChar w:fldCharType="separate"/>
        </w:r>
        <w:r w:rsidR="0084338D">
          <w:rPr>
            <w:noProof/>
            <w:webHidden/>
          </w:rPr>
          <w:t>20</w:t>
        </w:r>
        <w:r>
          <w:rPr>
            <w:noProof/>
            <w:webHidden/>
          </w:rPr>
          <w:fldChar w:fldCharType="end"/>
        </w:r>
      </w:hyperlink>
    </w:p>
    <w:p w:rsidR="00CA313E" w:rsidRDefault="00646D05">
      <w:pPr>
        <w:pStyle w:val="Spisilustracji"/>
        <w:tabs>
          <w:tab w:val="right" w:leader="dot" w:pos="9062"/>
        </w:tabs>
        <w:rPr>
          <w:rFonts w:eastAsiaTheme="minorEastAsia"/>
          <w:noProof/>
          <w:sz w:val="24"/>
          <w:szCs w:val="24"/>
          <w:lang w:eastAsia="pl-PL"/>
        </w:rPr>
      </w:pPr>
      <w:hyperlink w:anchor="_Toc196905067" w:history="1">
        <w:r w:rsidR="00CA313E" w:rsidRPr="00312A01">
          <w:rPr>
            <w:rStyle w:val="Hipercze"/>
            <w:noProof/>
          </w:rPr>
          <w:t>Tabela 3. Wybrane przyczyny zgonów w 2013 i 2023 r.</w:t>
        </w:r>
        <w:r w:rsidR="00CA313E">
          <w:rPr>
            <w:noProof/>
            <w:webHidden/>
          </w:rPr>
          <w:tab/>
        </w:r>
        <w:r>
          <w:rPr>
            <w:noProof/>
            <w:webHidden/>
          </w:rPr>
          <w:fldChar w:fldCharType="begin"/>
        </w:r>
        <w:r w:rsidR="00CA313E">
          <w:rPr>
            <w:noProof/>
            <w:webHidden/>
          </w:rPr>
          <w:instrText xml:space="preserve"> PAGEREF _Toc196905067 \h </w:instrText>
        </w:r>
        <w:r>
          <w:rPr>
            <w:noProof/>
            <w:webHidden/>
          </w:rPr>
        </w:r>
        <w:r>
          <w:rPr>
            <w:noProof/>
            <w:webHidden/>
          </w:rPr>
          <w:fldChar w:fldCharType="separate"/>
        </w:r>
        <w:r w:rsidR="0084338D">
          <w:rPr>
            <w:noProof/>
            <w:webHidden/>
          </w:rPr>
          <w:t>26</w:t>
        </w:r>
        <w:r>
          <w:rPr>
            <w:noProof/>
            <w:webHidden/>
          </w:rPr>
          <w:fldChar w:fldCharType="end"/>
        </w:r>
      </w:hyperlink>
    </w:p>
    <w:p w:rsidR="00CA313E" w:rsidRDefault="00646D05">
      <w:pPr>
        <w:pStyle w:val="Spisilustracji"/>
        <w:tabs>
          <w:tab w:val="right" w:leader="dot" w:pos="9062"/>
        </w:tabs>
        <w:rPr>
          <w:rFonts w:eastAsiaTheme="minorEastAsia"/>
          <w:noProof/>
          <w:sz w:val="24"/>
          <w:szCs w:val="24"/>
          <w:lang w:eastAsia="pl-PL"/>
        </w:rPr>
      </w:pPr>
      <w:hyperlink w:anchor="_Toc196905068" w:history="1">
        <w:r w:rsidR="00CA313E" w:rsidRPr="00312A01">
          <w:rPr>
            <w:rStyle w:val="Hipercze"/>
            <w:noProof/>
          </w:rPr>
          <w:t>Tabela 4. Główne cele polityki mieszkaniowej państwa w perspektywie do 2030</w:t>
        </w:r>
        <w:r w:rsidR="00CA313E">
          <w:rPr>
            <w:noProof/>
            <w:webHidden/>
          </w:rPr>
          <w:tab/>
        </w:r>
        <w:r>
          <w:rPr>
            <w:noProof/>
            <w:webHidden/>
          </w:rPr>
          <w:fldChar w:fldCharType="begin"/>
        </w:r>
        <w:r w:rsidR="00CA313E">
          <w:rPr>
            <w:noProof/>
            <w:webHidden/>
          </w:rPr>
          <w:instrText xml:space="preserve"> PAGEREF _Toc196905068 \h </w:instrText>
        </w:r>
        <w:r>
          <w:rPr>
            <w:noProof/>
            <w:webHidden/>
          </w:rPr>
        </w:r>
        <w:r>
          <w:rPr>
            <w:noProof/>
            <w:webHidden/>
          </w:rPr>
          <w:fldChar w:fldCharType="separate"/>
        </w:r>
        <w:r w:rsidR="0084338D">
          <w:rPr>
            <w:noProof/>
            <w:webHidden/>
          </w:rPr>
          <w:t>27</w:t>
        </w:r>
        <w:r>
          <w:rPr>
            <w:noProof/>
            <w:webHidden/>
          </w:rPr>
          <w:fldChar w:fldCharType="end"/>
        </w:r>
      </w:hyperlink>
    </w:p>
    <w:p w:rsidR="00CA313E" w:rsidRDefault="00646D05">
      <w:pPr>
        <w:pStyle w:val="Spisilustracji"/>
        <w:tabs>
          <w:tab w:val="right" w:leader="dot" w:pos="9062"/>
        </w:tabs>
        <w:rPr>
          <w:rFonts w:eastAsiaTheme="minorEastAsia"/>
          <w:noProof/>
          <w:sz w:val="24"/>
          <w:szCs w:val="24"/>
          <w:lang w:eastAsia="pl-PL"/>
        </w:rPr>
      </w:pPr>
      <w:hyperlink w:anchor="_Toc196905069" w:history="1">
        <w:r w:rsidR="00CA313E" w:rsidRPr="00312A01">
          <w:rPr>
            <w:rStyle w:val="Hipercze"/>
            <w:noProof/>
          </w:rPr>
          <w:t>Tabela 5. Ramy Strategii Umiejętności OECD w stosunku do Polski</w:t>
        </w:r>
        <w:r w:rsidR="00CA313E">
          <w:rPr>
            <w:noProof/>
            <w:webHidden/>
          </w:rPr>
          <w:tab/>
        </w:r>
        <w:r>
          <w:rPr>
            <w:noProof/>
            <w:webHidden/>
          </w:rPr>
          <w:fldChar w:fldCharType="begin"/>
        </w:r>
        <w:r w:rsidR="00CA313E">
          <w:rPr>
            <w:noProof/>
            <w:webHidden/>
          </w:rPr>
          <w:instrText xml:space="preserve"> PAGEREF _Toc196905069 \h </w:instrText>
        </w:r>
        <w:r>
          <w:rPr>
            <w:noProof/>
            <w:webHidden/>
          </w:rPr>
        </w:r>
        <w:r>
          <w:rPr>
            <w:noProof/>
            <w:webHidden/>
          </w:rPr>
          <w:fldChar w:fldCharType="separate"/>
        </w:r>
        <w:r w:rsidR="0084338D">
          <w:rPr>
            <w:noProof/>
            <w:webHidden/>
          </w:rPr>
          <w:t>31</w:t>
        </w:r>
        <w:r>
          <w:rPr>
            <w:noProof/>
            <w:webHidden/>
          </w:rPr>
          <w:fldChar w:fldCharType="end"/>
        </w:r>
      </w:hyperlink>
    </w:p>
    <w:p w:rsidR="00CA313E" w:rsidRDefault="00646D05">
      <w:pPr>
        <w:pStyle w:val="Spisilustracji"/>
        <w:tabs>
          <w:tab w:val="right" w:leader="dot" w:pos="9062"/>
        </w:tabs>
        <w:rPr>
          <w:rFonts w:eastAsiaTheme="minorEastAsia"/>
          <w:noProof/>
          <w:sz w:val="24"/>
          <w:szCs w:val="24"/>
          <w:lang w:eastAsia="pl-PL"/>
        </w:rPr>
      </w:pPr>
      <w:hyperlink w:anchor="_Toc196905070" w:history="1">
        <w:r w:rsidR="00CA313E" w:rsidRPr="00312A01">
          <w:rPr>
            <w:rStyle w:val="Hipercze"/>
            <w:noProof/>
          </w:rPr>
          <w:t>Tabela 6. Obszary i cele Strategii produktywności 2030</w:t>
        </w:r>
        <w:r w:rsidR="00CA313E">
          <w:rPr>
            <w:noProof/>
            <w:webHidden/>
          </w:rPr>
          <w:tab/>
        </w:r>
        <w:r>
          <w:rPr>
            <w:noProof/>
            <w:webHidden/>
          </w:rPr>
          <w:fldChar w:fldCharType="begin"/>
        </w:r>
        <w:r w:rsidR="00CA313E">
          <w:rPr>
            <w:noProof/>
            <w:webHidden/>
          </w:rPr>
          <w:instrText xml:space="preserve"> PAGEREF _Toc196905070 \h </w:instrText>
        </w:r>
        <w:r>
          <w:rPr>
            <w:noProof/>
            <w:webHidden/>
          </w:rPr>
        </w:r>
        <w:r>
          <w:rPr>
            <w:noProof/>
            <w:webHidden/>
          </w:rPr>
          <w:fldChar w:fldCharType="separate"/>
        </w:r>
        <w:r w:rsidR="0084338D">
          <w:rPr>
            <w:noProof/>
            <w:webHidden/>
          </w:rPr>
          <w:t>34</w:t>
        </w:r>
        <w:r>
          <w:rPr>
            <w:noProof/>
            <w:webHidden/>
          </w:rPr>
          <w:fldChar w:fldCharType="end"/>
        </w:r>
      </w:hyperlink>
    </w:p>
    <w:p w:rsidR="00CA313E" w:rsidRDefault="00646D05">
      <w:pPr>
        <w:pStyle w:val="Spisilustracji"/>
        <w:tabs>
          <w:tab w:val="right" w:leader="dot" w:pos="9062"/>
        </w:tabs>
        <w:rPr>
          <w:rFonts w:eastAsiaTheme="minorEastAsia"/>
          <w:noProof/>
          <w:sz w:val="24"/>
          <w:szCs w:val="24"/>
          <w:lang w:eastAsia="pl-PL"/>
        </w:rPr>
      </w:pPr>
      <w:hyperlink w:anchor="_Toc196905071" w:history="1">
        <w:r w:rsidR="00CA313E" w:rsidRPr="00312A01">
          <w:rPr>
            <w:rStyle w:val="Hipercze"/>
            <w:noProof/>
          </w:rPr>
          <w:t>Tabela 7. Projektowane zmiany Polityki energetycznej Polski do 2040 r.</w:t>
        </w:r>
        <w:r w:rsidR="00CA313E">
          <w:rPr>
            <w:noProof/>
            <w:webHidden/>
          </w:rPr>
          <w:tab/>
        </w:r>
        <w:r>
          <w:rPr>
            <w:noProof/>
            <w:webHidden/>
          </w:rPr>
          <w:fldChar w:fldCharType="begin"/>
        </w:r>
        <w:r w:rsidR="00CA313E">
          <w:rPr>
            <w:noProof/>
            <w:webHidden/>
          </w:rPr>
          <w:instrText xml:space="preserve"> PAGEREF _Toc196905071 \h </w:instrText>
        </w:r>
        <w:r>
          <w:rPr>
            <w:noProof/>
            <w:webHidden/>
          </w:rPr>
        </w:r>
        <w:r>
          <w:rPr>
            <w:noProof/>
            <w:webHidden/>
          </w:rPr>
          <w:fldChar w:fldCharType="separate"/>
        </w:r>
        <w:r w:rsidR="0084338D">
          <w:rPr>
            <w:noProof/>
            <w:webHidden/>
          </w:rPr>
          <w:t>51</w:t>
        </w:r>
        <w:r>
          <w:rPr>
            <w:noProof/>
            <w:webHidden/>
          </w:rPr>
          <w:fldChar w:fldCharType="end"/>
        </w:r>
      </w:hyperlink>
    </w:p>
    <w:p w:rsidR="00CA313E" w:rsidRDefault="00646D05">
      <w:pPr>
        <w:pStyle w:val="Spisilustracji"/>
        <w:tabs>
          <w:tab w:val="right" w:leader="dot" w:pos="9062"/>
        </w:tabs>
        <w:rPr>
          <w:rFonts w:eastAsiaTheme="minorEastAsia"/>
          <w:noProof/>
          <w:sz w:val="24"/>
          <w:szCs w:val="24"/>
          <w:lang w:eastAsia="pl-PL"/>
        </w:rPr>
      </w:pPr>
      <w:hyperlink w:anchor="_Toc196905072" w:history="1">
        <w:r w:rsidR="00CA313E" w:rsidRPr="00312A01">
          <w:rPr>
            <w:rStyle w:val="Hipercze"/>
            <w:noProof/>
          </w:rPr>
          <w:t>Tabela 8. Zmiana liczby ludności w latach 2018 i 2023.</w:t>
        </w:r>
        <w:r w:rsidR="00CA313E">
          <w:rPr>
            <w:noProof/>
            <w:webHidden/>
          </w:rPr>
          <w:tab/>
        </w:r>
        <w:r>
          <w:rPr>
            <w:noProof/>
            <w:webHidden/>
          </w:rPr>
          <w:fldChar w:fldCharType="begin"/>
        </w:r>
        <w:r w:rsidR="00CA313E">
          <w:rPr>
            <w:noProof/>
            <w:webHidden/>
          </w:rPr>
          <w:instrText xml:space="preserve"> PAGEREF _Toc196905072 \h </w:instrText>
        </w:r>
        <w:r>
          <w:rPr>
            <w:noProof/>
            <w:webHidden/>
          </w:rPr>
        </w:r>
        <w:r>
          <w:rPr>
            <w:noProof/>
            <w:webHidden/>
          </w:rPr>
          <w:fldChar w:fldCharType="separate"/>
        </w:r>
        <w:r w:rsidR="0084338D">
          <w:rPr>
            <w:noProof/>
            <w:webHidden/>
          </w:rPr>
          <w:t>92</w:t>
        </w:r>
        <w:r>
          <w:rPr>
            <w:noProof/>
            <w:webHidden/>
          </w:rPr>
          <w:fldChar w:fldCharType="end"/>
        </w:r>
      </w:hyperlink>
    </w:p>
    <w:p w:rsidR="00CA313E" w:rsidRDefault="00646D05">
      <w:pPr>
        <w:pStyle w:val="Spisilustracji"/>
        <w:tabs>
          <w:tab w:val="right" w:leader="dot" w:pos="9062"/>
        </w:tabs>
        <w:rPr>
          <w:rFonts w:eastAsiaTheme="minorEastAsia"/>
          <w:noProof/>
          <w:sz w:val="24"/>
          <w:szCs w:val="24"/>
          <w:lang w:eastAsia="pl-PL"/>
        </w:rPr>
      </w:pPr>
      <w:hyperlink w:anchor="_Toc196905073" w:history="1">
        <w:r w:rsidR="00CA313E" w:rsidRPr="00312A01">
          <w:rPr>
            <w:rStyle w:val="Hipercze"/>
            <w:noProof/>
          </w:rPr>
          <w:t>Tabela 9. Gęstość zaludnienia w latach 2018-2023, os/1km²</w:t>
        </w:r>
        <w:r w:rsidR="00CA313E">
          <w:rPr>
            <w:noProof/>
            <w:webHidden/>
          </w:rPr>
          <w:tab/>
        </w:r>
        <w:r>
          <w:rPr>
            <w:noProof/>
            <w:webHidden/>
          </w:rPr>
          <w:fldChar w:fldCharType="begin"/>
        </w:r>
        <w:r w:rsidR="00CA313E">
          <w:rPr>
            <w:noProof/>
            <w:webHidden/>
          </w:rPr>
          <w:instrText xml:space="preserve"> PAGEREF _Toc196905073 \h </w:instrText>
        </w:r>
        <w:r>
          <w:rPr>
            <w:noProof/>
            <w:webHidden/>
          </w:rPr>
        </w:r>
        <w:r>
          <w:rPr>
            <w:noProof/>
            <w:webHidden/>
          </w:rPr>
          <w:fldChar w:fldCharType="separate"/>
        </w:r>
        <w:r w:rsidR="0084338D">
          <w:rPr>
            <w:noProof/>
            <w:webHidden/>
          </w:rPr>
          <w:t>92</w:t>
        </w:r>
        <w:r>
          <w:rPr>
            <w:noProof/>
            <w:webHidden/>
          </w:rPr>
          <w:fldChar w:fldCharType="end"/>
        </w:r>
      </w:hyperlink>
    </w:p>
    <w:p w:rsidR="00CA313E" w:rsidRDefault="00646D05">
      <w:pPr>
        <w:pStyle w:val="Spisilustracji"/>
        <w:tabs>
          <w:tab w:val="right" w:leader="dot" w:pos="9062"/>
        </w:tabs>
        <w:rPr>
          <w:rFonts w:eastAsiaTheme="minorEastAsia"/>
          <w:noProof/>
          <w:sz w:val="24"/>
          <w:szCs w:val="24"/>
          <w:lang w:eastAsia="pl-PL"/>
        </w:rPr>
      </w:pPr>
      <w:hyperlink w:anchor="_Toc196905074" w:history="1">
        <w:r w:rsidR="00CA313E" w:rsidRPr="00312A01">
          <w:rPr>
            <w:rStyle w:val="Hipercze"/>
            <w:noProof/>
          </w:rPr>
          <w:t>Tabela 10. Prognozy ludności od roku bazowego 2023 do lat 2030, 2040,2050, 2060.</w:t>
        </w:r>
        <w:r w:rsidR="00CA313E">
          <w:rPr>
            <w:noProof/>
            <w:webHidden/>
          </w:rPr>
          <w:tab/>
        </w:r>
        <w:r>
          <w:rPr>
            <w:noProof/>
            <w:webHidden/>
          </w:rPr>
          <w:fldChar w:fldCharType="begin"/>
        </w:r>
        <w:r w:rsidR="00CA313E">
          <w:rPr>
            <w:noProof/>
            <w:webHidden/>
          </w:rPr>
          <w:instrText xml:space="preserve"> PAGEREF _Toc196905074 \h </w:instrText>
        </w:r>
        <w:r>
          <w:rPr>
            <w:noProof/>
            <w:webHidden/>
          </w:rPr>
        </w:r>
        <w:r>
          <w:rPr>
            <w:noProof/>
            <w:webHidden/>
          </w:rPr>
          <w:fldChar w:fldCharType="separate"/>
        </w:r>
        <w:r w:rsidR="0084338D">
          <w:rPr>
            <w:noProof/>
            <w:webHidden/>
          </w:rPr>
          <w:t>93</w:t>
        </w:r>
        <w:r>
          <w:rPr>
            <w:noProof/>
            <w:webHidden/>
          </w:rPr>
          <w:fldChar w:fldCharType="end"/>
        </w:r>
      </w:hyperlink>
    </w:p>
    <w:p w:rsidR="00CA313E" w:rsidRDefault="00646D05">
      <w:pPr>
        <w:pStyle w:val="Spisilustracji"/>
        <w:tabs>
          <w:tab w:val="right" w:leader="dot" w:pos="9062"/>
        </w:tabs>
        <w:rPr>
          <w:rFonts w:eastAsiaTheme="minorEastAsia"/>
          <w:noProof/>
          <w:sz w:val="24"/>
          <w:szCs w:val="24"/>
          <w:lang w:eastAsia="pl-PL"/>
        </w:rPr>
      </w:pPr>
      <w:hyperlink w:anchor="_Toc196905075" w:history="1">
        <w:r w:rsidR="00CA313E" w:rsidRPr="00312A01">
          <w:rPr>
            <w:rStyle w:val="Hipercze"/>
            <w:noProof/>
          </w:rPr>
          <w:t>Tabela 11. Prognoza liczby ludności Miasta Drezna do roku 2040</w:t>
        </w:r>
        <w:r w:rsidR="00CA313E">
          <w:rPr>
            <w:noProof/>
            <w:webHidden/>
          </w:rPr>
          <w:tab/>
        </w:r>
        <w:r>
          <w:rPr>
            <w:noProof/>
            <w:webHidden/>
          </w:rPr>
          <w:fldChar w:fldCharType="begin"/>
        </w:r>
        <w:r w:rsidR="00CA313E">
          <w:rPr>
            <w:noProof/>
            <w:webHidden/>
          </w:rPr>
          <w:instrText xml:space="preserve"> PAGEREF _Toc196905075 \h </w:instrText>
        </w:r>
        <w:r>
          <w:rPr>
            <w:noProof/>
            <w:webHidden/>
          </w:rPr>
        </w:r>
        <w:r>
          <w:rPr>
            <w:noProof/>
            <w:webHidden/>
          </w:rPr>
          <w:fldChar w:fldCharType="separate"/>
        </w:r>
        <w:r w:rsidR="0084338D">
          <w:rPr>
            <w:noProof/>
            <w:webHidden/>
          </w:rPr>
          <w:t>93</w:t>
        </w:r>
        <w:r>
          <w:rPr>
            <w:noProof/>
            <w:webHidden/>
          </w:rPr>
          <w:fldChar w:fldCharType="end"/>
        </w:r>
      </w:hyperlink>
    </w:p>
    <w:p w:rsidR="00CA313E" w:rsidRDefault="00646D05">
      <w:pPr>
        <w:pStyle w:val="Spisilustracji"/>
        <w:tabs>
          <w:tab w:val="right" w:leader="dot" w:pos="9062"/>
        </w:tabs>
        <w:rPr>
          <w:rFonts w:eastAsiaTheme="minorEastAsia"/>
          <w:noProof/>
          <w:sz w:val="24"/>
          <w:szCs w:val="24"/>
          <w:lang w:eastAsia="pl-PL"/>
        </w:rPr>
      </w:pPr>
      <w:hyperlink w:anchor="_Toc196905076" w:history="1">
        <w:r w:rsidR="00CA313E" w:rsidRPr="00312A01">
          <w:rPr>
            <w:rStyle w:val="Hipercze"/>
            <w:noProof/>
          </w:rPr>
          <w:t>Tabela 12. Migracje na pobyt stały wewnętrzne i zagraniczne w latach 2018-2023</w:t>
        </w:r>
        <w:r w:rsidR="00CA313E">
          <w:rPr>
            <w:noProof/>
            <w:webHidden/>
          </w:rPr>
          <w:tab/>
        </w:r>
        <w:r>
          <w:rPr>
            <w:noProof/>
            <w:webHidden/>
          </w:rPr>
          <w:fldChar w:fldCharType="begin"/>
        </w:r>
        <w:r w:rsidR="00CA313E">
          <w:rPr>
            <w:noProof/>
            <w:webHidden/>
          </w:rPr>
          <w:instrText xml:space="preserve"> PAGEREF _Toc196905076 \h </w:instrText>
        </w:r>
        <w:r>
          <w:rPr>
            <w:noProof/>
            <w:webHidden/>
          </w:rPr>
        </w:r>
        <w:r>
          <w:rPr>
            <w:noProof/>
            <w:webHidden/>
          </w:rPr>
          <w:fldChar w:fldCharType="separate"/>
        </w:r>
        <w:r w:rsidR="0084338D">
          <w:rPr>
            <w:noProof/>
            <w:webHidden/>
          </w:rPr>
          <w:t>94</w:t>
        </w:r>
        <w:r>
          <w:rPr>
            <w:noProof/>
            <w:webHidden/>
          </w:rPr>
          <w:fldChar w:fldCharType="end"/>
        </w:r>
      </w:hyperlink>
    </w:p>
    <w:p w:rsidR="00CA313E" w:rsidRDefault="00646D05">
      <w:pPr>
        <w:pStyle w:val="Spisilustracji"/>
        <w:tabs>
          <w:tab w:val="right" w:leader="dot" w:pos="9062"/>
        </w:tabs>
        <w:rPr>
          <w:rFonts w:eastAsiaTheme="minorEastAsia"/>
          <w:noProof/>
          <w:sz w:val="24"/>
          <w:szCs w:val="24"/>
          <w:lang w:eastAsia="pl-PL"/>
        </w:rPr>
      </w:pPr>
      <w:hyperlink w:anchor="_Toc196905077" w:history="1">
        <w:r w:rsidR="00CA313E" w:rsidRPr="00312A01">
          <w:rPr>
            <w:rStyle w:val="Hipercze"/>
            <w:iCs/>
            <w:noProof/>
          </w:rPr>
          <w:t>Tabela 13. Charakterystyka dróg gminnych wg typu nawierzchni.</w:t>
        </w:r>
        <w:r w:rsidR="00CA313E">
          <w:rPr>
            <w:noProof/>
            <w:webHidden/>
          </w:rPr>
          <w:tab/>
        </w:r>
        <w:r>
          <w:rPr>
            <w:noProof/>
            <w:webHidden/>
          </w:rPr>
          <w:fldChar w:fldCharType="begin"/>
        </w:r>
        <w:r w:rsidR="00CA313E">
          <w:rPr>
            <w:noProof/>
            <w:webHidden/>
          </w:rPr>
          <w:instrText xml:space="preserve"> PAGEREF _Toc196905077 \h </w:instrText>
        </w:r>
        <w:r>
          <w:rPr>
            <w:noProof/>
            <w:webHidden/>
          </w:rPr>
        </w:r>
        <w:r>
          <w:rPr>
            <w:noProof/>
            <w:webHidden/>
          </w:rPr>
          <w:fldChar w:fldCharType="separate"/>
        </w:r>
        <w:r w:rsidR="0084338D">
          <w:rPr>
            <w:noProof/>
            <w:webHidden/>
          </w:rPr>
          <w:t>95</w:t>
        </w:r>
        <w:r>
          <w:rPr>
            <w:noProof/>
            <w:webHidden/>
          </w:rPr>
          <w:fldChar w:fldCharType="end"/>
        </w:r>
      </w:hyperlink>
    </w:p>
    <w:p w:rsidR="00CA313E" w:rsidRDefault="00646D05">
      <w:pPr>
        <w:pStyle w:val="Spisilustracji"/>
        <w:tabs>
          <w:tab w:val="right" w:leader="dot" w:pos="9062"/>
        </w:tabs>
        <w:rPr>
          <w:rFonts w:eastAsiaTheme="minorEastAsia"/>
          <w:noProof/>
          <w:sz w:val="24"/>
          <w:szCs w:val="24"/>
          <w:lang w:eastAsia="pl-PL"/>
        </w:rPr>
      </w:pPr>
      <w:hyperlink w:anchor="_Toc196905078" w:history="1">
        <w:r w:rsidR="00CA313E" w:rsidRPr="00312A01">
          <w:rPr>
            <w:rStyle w:val="Hipercze"/>
            <w:noProof/>
          </w:rPr>
          <w:t>Tabela 14. Liczba parkingów P&amp;R i węzłów przesiadkowych w obszarach funkcjonalnych w latach 2018-2023</w:t>
        </w:r>
        <w:r w:rsidR="00CA313E">
          <w:rPr>
            <w:noProof/>
            <w:webHidden/>
          </w:rPr>
          <w:tab/>
        </w:r>
        <w:r>
          <w:rPr>
            <w:noProof/>
            <w:webHidden/>
          </w:rPr>
          <w:fldChar w:fldCharType="begin"/>
        </w:r>
        <w:r w:rsidR="00CA313E">
          <w:rPr>
            <w:noProof/>
            <w:webHidden/>
          </w:rPr>
          <w:instrText xml:space="preserve"> PAGEREF _Toc196905078 \h </w:instrText>
        </w:r>
        <w:r>
          <w:rPr>
            <w:noProof/>
            <w:webHidden/>
          </w:rPr>
        </w:r>
        <w:r>
          <w:rPr>
            <w:noProof/>
            <w:webHidden/>
          </w:rPr>
          <w:fldChar w:fldCharType="separate"/>
        </w:r>
        <w:r w:rsidR="0084338D">
          <w:rPr>
            <w:noProof/>
            <w:webHidden/>
          </w:rPr>
          <w:t>95</w:t>
        </w:r>
        <w:r>
          <w:rPr>
            <w:noProof/>
            <w:webHidden/>
          </w:rPr>
          <w:fldChar w:fldCharType="end"/>
        </w:r>
      </w:hyperlink>
    </w:p>
    <w:p w:rsidR="00CA313E" w:rsidRDefault="00646D05">
      <w:pPr>
        <w:pStyle w:val="Spisilustracji"/>
        <w:tabs>
          <w:tab w:val="right" w:leader="dot" w:pos="9062"/>
        </w:tabs>
        <w:rPr>
          <w:rFonts w:eastAsiaTheme="minorEastAsia"/>
          <w:noProof/>
          <w:sz w:val="24"/>
          <w:szCs w:val="24"/>
          <w:lang w:eastAsia="pl-PL"/>
        </w:rPr>
      </w:pPr>
      <w:hyperlink w:anchor="_Toc196905079" w:history="1">
        <w:r w:rsidR="00CA313E" w:rsidRPr="00312A01">
          <w:rPr>
            <w:rStyle w:val="Hipercze"/>
            <w:noProof/>
          </w:rPr>
          <w:t>Tabela 15. Infrastruktura przystankowa w latach 2018-2023</w:t>
        </w:r>
        <w:r w:rsidR="00CA313E">
          <w:rPr>
            <w:noProof/>
            <w:webHidden/>
          </w:rPr>
          <w:tab/>
        </w:r>
        <w:r>
          <w:rPr>
            <w:noProof/>
            <w:webHidden/>
          </w:rPr>
          <w:fldChar w:fldCharType="begin"/>
        </w:r>
        <w:r w:rsidR="00CA313E">
          <w:rPr>
            <w:noProof/>
            <w:webHidden/>
          </w:rPr>
          <w:instrText xml:space="preserve"> PAGEREF _Toc196905079 \h </w:instrText>
        </w:r>
        <w:r>
          <w:rPr>
            <w:noProof/>
            <w:webHidden/>
          </w:rPr>
        </w:r>
        <w:r>
          <w:rPr>
            <w:noProof/>
            <w:webHidden/>
          </w:rPr>
          <w:fldChar w:fldCharType="separate"/>
        </w:r>
        <w:r w:rsidR="0084338D">
          <w:rPr>
            <w:noProof/>
            <w:webHidden/>
          </w:rPr>
          <w:t>95</w:t>
        </w:r>
        <w:r>
          <w:rPr>
            <w:noProof/>
            <w:webHidden/>
          </w:rPr>
          <w:fldChar w:fldCharType="end"/>
        </w:r>
      </w:hyperlink>
    </w:p>
    <w:p w:rsidR="00CA313E" w:rsidRDefault="00646D05">
      <w:pPr>
        <w:pStyle w:val="Spisilustracji"/>
        <w:tabs>
          <w:tab w:val="right" w:leader="dot" w:pos="9062"/>
        </w:tabs>
        <w:rPr>
          <w:rFonts w:eastAsiaTheme="minorEastAsia"/>
          <w:noProof/>
          <w:sz w:val="24"/>
          <w:szCs w:val="24"/>
          <w:lang w:eastAsia="pl-PL"/>
        </w:rPr>
      </w:pPr>
      <w:hyperlink w:anchor="_Toc196905080" w:history="1">
        <w:r w:rsidR="00CA313E" w:rsidRPr="00312A01">
          <w:rPr>
            <w:rStyle w:val="Hipercze"/>
            <w:noProof/>
          </w:rPr>
          <w:t>Tabela 16. Charakterystyka dróg dla rowerów.</w:t>
        </w:r>
        <w:r w:rsidR="00CA313E">
          <w:rPr>
            <w:noProof/>
            <w:webHidden/>
          </w:rPr>
          <w:tab/>
        </w:r>
        <w:r>
          <w:rPr>
            <w:noProof/>
            <w:webHidden/>
          </w:rPr>
          <w:fldChar w:fldCharType="begin"/>
        </w:r>
        <w:r w:rsidR="00CA313E">
          <w:rPr>
            <w:noProof/>
            <w:webHidden/>
          </w:rPr>
          <w:instrText xml:space="preserve"> PAGEREF _Toc196905080 \h </w:instrText>
        </w:r>
        <w:r>
          <w:rPr>
            <w:noProof/>
            <w:webHidden/>
          </w:rPr>
        </w:r>
        <w:r>
          <w:rPr>
            <w:noProof/>
            <w:webHidden/>
          </w:rPr>
          <w:fldChar w:fldCharType="separate"/>
        </w:r>
        <w:r w:rsidR="0084338D">
          <w:rPr>
            <w:noProof/>
            <w:webHidden/>
          </w:rPr>
          <w:t>96</w:t>
        </w:r>
        <w:r>
          <w:rPr>
            <w:noProof/>
            <w:webHidden/>
          </w:rPr>
          <w:fldChar w:fldCharType="end"/>
        </w:r>
      </w:hyperlink>
    </w:p>
    <w:p w:rsidR="00CA313E" w:rsidRDefault="00646D05">
      <w:pPr>
        <w:pStyle w:val="Spisilustracji"/>
        <w:tabs>
          <w:tab w:val="right" w:leader="dot" w:pos="9062"/>
        </w:tabs>
        <w:rPr>
          <w:rFonts w:eastAsiaTheme="minorEastAsia"/>
          <w:noProof/>
          <w:sz w:val="24"/>
          <w:szCs w:val="24"/>
          <w:lang w:eastAsia="pl-PL"/>
        </w:rPr>
      </w:pPr>
      <w:hyperlink w:anchor="_Toc196905081" w:history="1">
        <w:r w:rsidR="00CA313E" w:rsidRPr="00312A01">
          <w:rPr>
            <w:rStyle w:val="Hipercze"/>
            <w:noProof/>
          </w:rPr>
          <w:t>Tabela 17. Wskaźniki dotyczące potencjału gospodarczego obszarów funkcjonalnych w latach 2018-2023</w:t>
        </w:r>
        <w:r w:rsidR="00CA313E">
          <w:rPr>
            <w:noProof/>
            <w:webHidden/>
          </w:rPr>
          <w:tab/>
        </w:r>
        <w:r>
          <w:rPr>
            <w:noProof/>
            <w:webHidden/>
          </w:rPr>
          <w:fldChar w:fldCharType="begin"/>
        </w:r>
        <w:r w:rsidR="00CA313E">
          <w:rPr>
            <w:noProof/>
            <w:webHidden/>
          </w:rPr>
          <w:instrText xml:space="preserve"> PAGEREF _Toc196905081 \h </w:instrText>
        </w:r>
        <w:r>
          <w:rPr>
            <w:noProof/>
            <w:webHidden/>
          </w:rPr>
        </w:r>
        <w:r>
          <w:rPr>
            <w:noProof/>
            <w:webHidden/>
          </w:rPr>
          <w:fldChar w:fldCharType="separate"/>
        </w:r>
        <w:r w:rsidR="0084338D">
          <w:rPr>
            <w:noProof/>
            <w:webHidden/>
          </w:rPr>
          <w:t>103</w:t>
        </w:r>
        <w:r>
          <w:rPr>
            <w:noProof/>
            <w:webHidden/>
          </w:rPr>
          <w:fldChar w:fldCharType="end"/>
        </w:r>
      </w:hyperlink>
    </w:p>
    <w:p w:rsidR="00CA313E" w:rsidRDefault="00646D05">
      <w:pPr>
        <w:pStyle w:val="Spisilustracji"/>
        <w:tabs>
          <w:tab w:val="right" w:leader="dot" w:pos="9062"/>
        </w:tabs>
        <w:rPr>
          <w:rFonts w:eastAsiaTheme="minorEastAsia"/>
          <w:noProof/>
          <w:sz w:val="24"/>
          <w:szCs w:val="24"/>
          <w:lang w:eastAsia="pl-PL"/>
        </w:rPr>
      </w:pPr>
      <w:hyperlink w:anchor="_Toc196905082" w:history="1">
        <w:r w:rsidR="00CA313E" w:rsidRPr="00312A01">
          <w:rPr>
            <w:rStyle w:val="Hipercze"/>
            <w:noProof/>
          </w:rPr>
          <w:t>Tabela 18. Standard siły nabywczej (PPS, UE27 od 2020 r.) na 1 mieszkańca </w:t>
        </w:r>
        <w:r w:rsidR="00CA313E" w:rsidRPr="00312A01">
          <w:rPr>
            <w:rStyle w:val="Hipercze"/>
            <w:rFonts w:ascii="Arial" w:eastAsia="Times New Roman" w:hAnsi="Arial" w:cs="Arial"/>
            <w:b/>
            <w:bCs/>
            <w:noProof/>
            <w:kern w:val="0"/>
            <w:lang w:eastAsia="pl-PL"/>
          </w:rPr>
          <w:t>.</w:t>
        </w:r>
        <w:r w:rsidR="00CA313E">
          <w:rPr>
            <w:noProof/>
            <w:webHidden/>
          </w:rPr>
          <w:tab/>
        </w:r>
        <w:r>
          <w:rPr>
            <w:noProof/>
            <w:webHidden/>
          </w:rPr>
          <w:fldChar w:fldCharType="begin"/>
        </w:r>
        <w:r w:rsidR="00CA313E">
          <w:rPr>
            <w:noProof/>
            <w:webHidden/>
          </w:rPr>
          <w:instrText xml:space="preserve"> PAGEREF _Toc196905082 \h </w:instrText>
        </w:r>
        <w:r>
          <w:rPr>
            <w:noProof/>
            <w:webHidden/>
          </w:rPr>
        </w:r>
        <w:r>
          <w:rPr>
            <w:noProof/>
            <w:webHidden/>
          </w:rPr>
          <w:fldChar w:fldCharType="separate"/>
        </w:r>
        <w:r w:rsidR="0084338D">
          <w:rPr>
            <w:noProof/>
            <w:webHidden/>
          </w:rPr>
          <w:t>104</w:t>
        </w:r>
        <w:r>
          <w:rPr>
            <w:noProof/>
            <w:webHidden/>
          </w:rPr>
          <w:fldChar w:fldCharType="end"/>
        </w:r>
      </w:hyperlink>
    </w:p>
    <w:p w:rsidR="00CA313E" w:rsidRDefault="00646D05">
      <w:pPr>
        <w:pStyle w:val="Spisilustracji"/>
        <w:tabs>
          <w:tab w:val="right" w:leader="dot" w:pos="9062"/>
        </w:tabs>
        <w:rPr>
          <w:rFonts w:eastAsiaTheme="minorEastAsia"/>
          <w:noProof/>
          <w:sz w:val="24"/>
          <w:szCs w:val="24"/>
          <w:lang w:eastAsia="pl-PL"/>
        </w:rPr>
      </w:pPr>
      <w:hyperlink w:anchor="_Toc196905083" w:history="1">
        <w:r w:rsidR="00CA313E" w:rsidRPr="00312A01">
          <w:rPr>
            <w:rStyle w:val="Hipercze"/>
            <w:noProof/>
          </w:rPr>
          <w:t>Tabela 19. Udział osób bezrobotnych w liczbie ludności ogółem w latach 2018-2023.</w:t>
        </w:r>
        <w:r w:rsidR="00CA313E">
          <w:rPr>
            <w:noProof/>
            <w:webHidden/>
          </w:rPr>
          <w:tab/>
        </w:r>
        <w:r>
          <w:rPr>
            <w:noProof/>
            <w:webHidden/>
          </w:rPr>
          <w:fldChar w:fldCharType="begin"/>
        </w:r>
        <w:r w:rsidR="00CA313E">
          <w:rPr>
            <w:noProof/>
            <w:webHidden/>
          </w:rPr>
          <w:instrText xml:space="preserve"> PAGEREF _Toc196905083 \h </w:instrText>
        </w:r>
        <w:r>
          <w:rPr>
            <w:noProof/>
            <w:webHidden/>
          </w:rPr>
        </w:r>
        <w:r>
          <w:rPr>
            <w:noProof/>
            <w:webHidden/>
          </w:rPr>
          <w:fldChar w:fldCharType="separate"/>
        </w:r>
        <w:r w:rsidR="0084338D">
          <w:rPr>
            <w:noProof/>
            <w:webHidden/>
          </w:rPr>
          <w:t>105</w:t>
        </w:r>
        <w:r>
          <w:rPr>
            <w:noProof/>
            <w:webHidden/>
          </w:rPr>
          <w:fldChar w:fldCharType="end"/>
        </w:r>
      </w:hyperlink>
    </w:p>
    <w:p w:rsidR="00CA313E" w:rsidRDefault="00646D05">
      <w:pPr>
        <w:pStyle w:val="Spisilustracji"/>
        <w:tabs>
          <w:tab w:val="right" w:leader="dot" w:pos="9062"/>
        </w:tabs>
        <w:rPr>
          <w:rFonts w:eastAsiaTheme="minorEastAsia"/>
          <w:noProof/>
          <w:sz w:val="24"/>
          <w:szCs w:val="24"/>
          <w:lang w:eastAsia="pl-PL"/>
        </w:rPr>
      </w:pPr>
      <w:hyperlink w:anchor="_Toc196905084" w:history="1">
        <w:r w:rsidR="00CA313E" w:rsidRPr="00312A01">
          <w:rPr>
            <w:rStyle w:val="Hipercze"/>
            <w:noProof/>
          </w:rPr>
          <w:t>Tabela 20. Stopa bezrobocia (%) wśród osób w wieku 15-74 w latach 2018-2023</w:t>
        </w:r>
        <w:r w:rsidR="00CA313E">
          <w:rPr>
            <w:noProof/>
            <w:webHidden/>
          </w:rPr>
          <w:tab/>
        </w:r>
        <w:r>
          <w:rPr>
            <w:noProof/>
            <w:webHidden/>
          </w:rPr>
          <w:fldChar w:fldCharType="begin"/>
        </w:r>
        <w:r w:rsidR="00CA313E">
          <w:rPr>
            <w:noProof/>
            <w:webHidden/>
          </w:rPr>
          <w:instrText xml:space="preserve"> PAGEREF _Toc196905084 \h </w:instrText>
        </w:r>
        <w:r>
          <w:rPr>
            <w:noProof/>
            <w:webHidden/>
          </w:rPr>
        </w:r>
        <w:r>
          <w:rPr>
            <w:noProof/>
            <w:webHidden/>
          </w:rPr>
          <w:fldChar w:fldCharType="separate"/>
        </w:r>
        <w:r w:rsidR="0084338D">
          <w:rPr>
            <w:noProof/>
            <w:webHidden/>
          </w:rPr>
          <w:t>106</w:t>
        </w:r>
        <w:r>
          <w:rPr>
            <w:noProof/>
            <w:webHidden/>
          </w:rPr>
          <w:fldChar w:fldCharType="end"/>
        </w:r>
      </w:hyperlink>
    </w:p>
    <w:p w:rsidR="00CA313E" w:rsidRDefault="00646D05">
      <w:pPr>
        <w:pStyle w:val="Spisilustracji"/>
        <w:tabs>
          <w:tab w:val="right" w:leader="dot" w:pos="9062"/>
        </w:tabs>
        <w:rPr>
          <w:rFonts w:eastAsiaTheme="minorEastAsia"/>
          <w:noProof/>
          <w:sz w:val="24"/>
          <w:szCs w:val="24"/>
          <w:lang w:eastAsia="pl-PL"/>
        </w:rPr>
      </w:pPr>
      <w:hyperlink w:anchor="_Toc196905085" w:history="1">
        <w:r w:rsidR="00CA313E" w:rsidRPr="00312A01">
          <w:rPr>
            <w:rStyle w:val="Hipercze"/>
            <w:noProof/>
          </w:rPr>
          <w:t>Tabela 21. Analizowane miasta rdzenie w rankingu najbardziej rozwiniętych I innowacyjnych miast</w:t>
        </w:r>
        <w:r w:rsidR="00CA313E">
          <w:rPr>
            <w:noProof/>
            <w:webHidden/>
          </w:rPr>
          <w:tab/>
        </w:r>
        <w:r>
          <w:rPr>
            <w:noProof/>
            <w:webHidden/>
          </w:rPr>
          <w:fldChar w:fldCharType="begin"/>
        </w:r>
        <w:r w:rsidR="00CA313E">
          <w:rPr>
            <w:noProof/>
            <w:webHidden/>
          </w:rPr>
          <w:instrText xml:space="preserve"> PAGEREF _Toc196905085 \h </w:instrText>
        </w:r>
        <w:r>
          <w:rPr>
            <w:noProof/>
            <w:webHidden/>
          </w:rPr>
        </w:r>
        <w:r>
          <w:rPr>
            <w:noProof/>
            <w:webHidden/>
          </w:rPr>
          <w:fldChar w:fldCharType="separate"/>
        </w:r>
        <w:r w:rsidR="0084338D">
          <w:rPr>
            <w:noProof/>
            <w:webHidden/>
          </w:rPr>
          <w:t>107</w:t>
        </w:r>
        <w:r>
          <w:rPr>
            <w:noProof/>
            <w:webHidden/>
          </w:rPr>
          <w:fldChar w:fldCharType="end"/>
        </w:r>
      </w:hyperlink>
    </w:p>
    <w:p w:rsidR="00CA313E" w:rsidRDefault="00646D05">
      <w:pPr>
        <w:pStyle w:val="Spisilustracji"/>
        <w:tabs>
          <w:tab w:val="right" w:leader="dot" w:pos="9062"/>
        </w:tabs>
        <w:rPr>
          <w:rFonts w:eastAsiaTheme="minorEastAsia"/>
          <w:noProof/>
          <w:sz w:val="24"/>
          <w:szCs w:val="24"/>
          <w:lang w:eastAsia="pl-PL"/>
        </w:rPr>
      </w:pPr>
      <w:hyperlink w:anchor="_Toc196905086" w:history="1">
        <w:r w:rsidR="00CA313E" w:rsidRPr="00312A01">
          <w:rPr>
            <w:rStyle w:val="Hipercze"/>
            <w:noProof/>
          </w:rPr>
          <w:t>Tabela 22. Ranking Uczelni Akademickich 2024.</w:t>
        </w:r>
        <w:r w:rsidR="00CA313E">
          <w:rPr>
            <w:noProof/>
            <w:webHidden/>
          </w:rPr>
          <w:tab/>
        </w:r>
        <w:r>
          <w:rPr>
            <w:noProof/>
            <w:webHidden/>
          </w:rPr>
          <w:fldChar w:fldCharType="begin"/>
        </w:r>
        <w:r w:rsidR="00CA313E">
          <w:rPr>
            <w:noProof/>
            <w:webHidden/>
          </w:rPr>
          <w:instrText xml:space="preserve"> PAGEREF _Toc196905086 \h </w:instrText>
        </w:r>
        <w:r>
          <w:rPr>
            <w:noProof/>
            <w:webHidden/>
          </w:rPr>
        </w:r>
        <w:r>
          <w:rPr>
            <w:noProof/>
            <w:webHidden/>
          </w:rPr>
          <w:fldChar w:fldCharType="separate"/>
        </w:r>
        <w:r w:rsidR="0084338D">
          <w:rPr>
            <w:noProof/>
            <w:webHidden/>
          </w:rPr>
          <w:t>108</w:t>
        </w:r>
        <w:r>
          <w:rPr>
            <w:noProof/>
            <w:webHidden/>
          </w:rPr>
          <w:fldChar w:fldCharType="end"/>
        </w:r>
      </w:hyperlink>
    </w:p>
    <w:p w:rsidR="00CA313E" w:rsidRDefault="00646D05">
      <w:pPr>
        <w:pStyle w:val="Spisilustracji"/>
        <w:tabs>
          <w:tab w:val="right" w:leader="dot" w:pos="9062"/>
        </w:tabs>
        <w:rPr>
          <w:rFonts w:eastAsiaTheme="minorEastAsia"/>
          <w:noProof/>
          <w:sz w:val="24"/>
          <w:szCs w:val="24"/>
          <w:lang w:eastAsia="pl-PL"/>
        </w:rPr>
      </w:pPr>
      <w:hyperlink w:anchor="_Toc196905087" w:history="1">
        <w:r w:rsidR="00CA313E" w:rsidRPr="00312A01">
          <w:rPr>
            <w:rStyle w:val="Hipercze"/>
            <w:noProof/>
          </w:rPr>
          <w:t>Tabela 23. Rankingi uniwersytetów QS World</w:t>
        </w:r>
        <w:r w:rsidR="00CA313E">
          <w:rPr>
            <w:noProof/>
            <w:webHidden/>
          </w:rPr>
          <w:tab/>
        </w:r>
        <w:r>
          <w:rPr>
            <w:noProof/>
            <w:webHidden/>
          </w:rPr>
          <w:fldChar w:fldCharType="begin"/>
        </w:r>
        <w:r w:rsidR="00CA313E">
          <w:rPr>
            <w:noProof/>
            <w:webHidden/>
          </w:rPr>
          <w:instrText xml:space="preserve"> PAGEREF _Toc196905087 \h </w:instrText>
        </w:r>
        <w:r>
          <w:rPr>
            <w:noProof/>
            <w:webHidden/>
          </w:rPr>
        </w:r>
        <w:r>
          <w:rPr>
            <w:noProof/>
            <w:webHidden/>
          </w:rPr>
          <w:fldChar w:fldCharType="separate"/>
        </w:r>
        <w:r w:rsidR="0084338D">
          <w:rPr>
            <w:noProof/>
            <w:webHidden/>
          </w:rPr>
          <w:t>110</w:t>
        </w:r>
        <w:r>
          <w:rPr>
            <w:noProof/>
            <w:webHidden/>
          </w:rPr>
          <w:fldChar w:fldCharType="end"/>
        </w:r>
      </w:hyperlink>
    </w:p>
    <w:p w:rsidR="00CA313E" w:rsidRDefault="00646D05">
      <w:pPr>
        <w:pStyle w:val="Spisilustracji"/>
        <w:tabs>
          <w:tab w:val="right" w:leader="dot" w:pos="9062"/>
        </w:tabs>
        <w:rPr>
          <w:rFonts w:eastAsiaTheme="minorEastAsia"/>
          <w:noProof/>
          <w:sz w:val="24"/>
          <w:szCs w:val="24"/>
          <w:lang w:eastAsia="pl-PL"/>
        </w:rPr>
      </w:pPr>
      <w:hyperlink w:anchor="_Toc196905088" w:history="1">
        <w:r w:rsidR="00CA313E" w:rsidRPr="00312A01">
          <w:rPr>
            <w:rStyle w:val="Hipercze"/>
            <w:noProof/>
          </w:rPr>
          <w:t>Tabela 24. Wskaźniki opisujące liczbę studentów i absolwentów uczelni wyższych w latach 2020-2023</w:t>
        </w:r>
        <w:r w:rsidR="00CA313E">
          <w:rPr>
            <w:noProof/>
            <w:webHidden/>
          </w:rPr>
          <w:tab/>
        </w:r>
        <w:r>
          <w:rPr>
            <w:noProof/>
            <w:webHidden/>
          </w:rPr>
          <w:fldChar w:fldCharType="begin"/>
        </w:r>
        <w:r w:rsidR="00CA313E">
          <w:rPr>
            <w:noProof/>
            <w:webHidden/>
          </w:rPr>
          <w:instrText xml:space="preserve"> PAGEREF _Toc196905088 \h </w:instrText>
        </w:r>
        <w:r>
          <w:rPr>
            <w:noProof/>
            <w:webHidden/>
          </w:rPr>
        </w:r>
        <w:r>
          <w:rPr>
            <w:noProof/>
            <w:webHidden/>
          </w:rPr>
          <w:fldChar w:fldCharType="separate"/>
        </w:r>
        <w:r w:rsidR="0084338D">
          <w:rPr>
            <w:noProof/>
            <w:webHidden/>
          </w:rPr>
          <w:t>111</w:t>
        </w:r>
        <w:r>
          <w:rPr>
            <w:noProof/>
            <w:webHidden/>
          </w:rPr>
          <w:fldChar w:fldCharType="end"/>
        </w:r>
      </w:hyperlink>
    </w:p>
    <w:p w:rsidR="00CA313E" w:rsidRDefault="00646D05">
      <w:pPr>
        <w:pStyle w:val="Spisilustracji"/>
        <w:tabs>
          <w:tab w:val="right" w:leader="dot" w:pos="9062"/>
        </w:tabs>
        <w:rPr>
          <w:rFonts w:eastAsiaTheme="minorEastAsia"/>
          <w:noProof/>
          <w:sz w:val="24"/>
          <w:szCs w:val="24"/>
          <w:lang w:eastAsia="pl-PL"/>
        </w:rPr>
      </w:pPr>
      <w:hyperlink w:anchor="_Toc196905089" w:history="1">
        <w:r w:rsidR="00CA313E" w:rsidRPr="00312A01">
          <w:rPr>
            <w:rStyle w:val="Hipercze"/>
            <w:noProof/>
          </w:rPr>
          <w:t>Tabela 25. Pokrycie obszarów miejskich drzewami w km2 i % w miastach rdzeniach w 2024 r.</w:t>
        </w:r>
        <w:r w:rsidR="00CA313E">
          <w:rPr>
            <w:noProof/>
            <w:webHidden/>
          </w:rPr>
          <w:tab/>
        </w:r>
        <w:r>
          <w:rPr>
            <w:noProof/>
            <w:webHidden/>
          </w:rPr>
          <w:fldChar w:fldCharType="begin"/>
        </w:r>
        <w:r w:rsidR="00CA313E">
          <w:rPr>
            <w:noProof/>
            <w:webHidden/>
          </w:rPr>
          <w:instrText xml:space="preserve"> PAGEREF _Toc196905089 \h </w:instrText>
        </w:r>
        <w:r>
          <w:rPr>
            <w:noProof/>
            <w:webHidden/>
          </w:rPr>
        </w:r>
        <w:r>
          <w:rPr>
            <w:noProof/>
            <w:webHidden/>
          </w:rPr>
          <w:fldChar w:fldCharType="separate"/>
        </w:r>
        <w:r w:rsidR="0084338D">
          <w:rPr>
            <w:noProof/>
            <w:webHidden/>
          </w:rPr>
          <w:t>111</w:t>
        </w:r>
        <w:r>
          <w:rPr>
            <w:noProof/>
            <w:webHidden/>
          </w:rPr>
          <w:fldChar w:fldCharType="end"/>
        </w:r>
      </w:hyperlink>
    </w:p>
    <w:p w:rsidR="00CA313E" w:rsidRDefault="00646D05">
      <w:pPr>
        <w:pStyle w:val="Spisilustracji"/>
        <w:tabs>
          <w:tab w:val="right" w:leader="dot" w:pos="9062"/>
        </w:tabs>
        <w:rPr>
          <w:rFonts w:eastAsiaTheme="minorEastAsia"/>
          <w:noProof/>
          <w:sz w:val="24"/>
          <w:szCs w:val="24"/>
          <w:lang w:eastAsia="pl-PL"/>
        </w:rPr>
      </w:pPr>
      <w:hyperlink w:anchor="_Toc196905090" w:history="1">
        <w:r w:rsidR="00CA313E" w:rsidRPr="00312A01">
          <w:rPr>
            <w:rStyle w:val="Hipercze"/>
            <w:noProof/>
          </w:rPr>
          <w:t>Tabela 26. Charakterystyka obszarów chronionych.</w:t>
        </w:r>
        <w:r w:rsidR="00CA313E">
          <w:rPr>
            <w:noProof/>
            <w:webHidden/>
          </w:rPr>
          <w:tab/>
        </w:r>
        <w:r>
          <w:rPr>
            <w:noProof/>
            <w:webHidden/>
          </w:rPr>
          <w:fldChar w:fldCharType="begin"/>
        </w:r>
        <w:r w:rsidR="00CA313E">
          <w:rPr>
            <w:noProof/>
            <w:webHidden/>
          </w:rPr>
          <w:instrText xml:space="preserve"> PAGEREF _Toc196905090 \h </w:instrText>
        </w:r>
        <w:r>
          <w:rPr>
            <w:noProof/>
            <w:webHidden/>
          </w:rPr>
        </w:r>
        <w:r>
          <w:rPr>
            <w:noProof/>
            <w:webHidden/>
          </w:rPr>
          <w:fldChar w:fldCharType="separate"/>
        </w:r>
        <w:r w:rsidR="0084338D">
          <w:rPr>
            <w:noProof/>
            <w:webHidden/>
          </w:rPr>
          <w:t>112</w:t>
        </w:r>
        <w:r>
          <w:rPr>
            <w:noProof/>
            <w:webHidden/>
          </w:rPr>
          <w:fldChar w:fldCharType="end"/>
        </w:r>
      </w:hyperlink>
    </w:p>
    <w:p w:rsidR="00CA313E" w:rsidRDefault="00646D05">
      <w:pPr>
        <w:pStyle w:val="Spisilustracji"/>
        <w:tabs>
          <w:tab w:val="right" w:leader="dot" w:pos="9062"/>
        </w:tabs>
        <w:rPr>
          <w:rFonts w:eastAsiaTheme="minorEastAsia"/>
          <w:noProof/>
          <w:sz w:val="24"/>
          <w:szCs w:val="24"/>
          <w:lang w:eastAsia="pl-PL"/>
        </w:rPr>
      </w:pPr>
      <w:hyperlink w:anchor="_Toc196905091" w:history="1">
        <w:r w:rsidR="00CA313E" w:rsidRPr="00312A01">
          <w:rPr>
            <w:rStyle w:val="Hipercze"/>
            <w:noProof/>
          </w:rPr>
          <w:t>Tabela 27. Odpady komunalne zebrane ogółem i przypadające na 1 mieszkańca w latach 2028-2023 (w tonach).</w:t>
        </w:r>
        <w:r w:rsidR="00CA313E">
          <w:rPr>
            <w:noProof/>
            <w:webHidden/>
          </w:rPr>
          <w:tab/>
        </w:r>
        <w:r>
          <w:rPr>
            <w:noProof/>
            <w:webHidden/>
          </w:rPr>
          <w:fldChar w:fldCharType="begin"/>
        </w:r>
        <w:r w:rsidR="00CA313E">
          <w:rPr>
            <w:noProof/>
            <w:webHidden/>
          </w:rPr>
          <w:instrText xml:space="preserve"> PAGEREF _Toc196905091 \h </w:instrText>
        </w:r>
        <w:r>
          <w:rPr>
            <w:noProof/>
            <w:webHidden/>
          </w:rPr>
        </w:r>
        <w:r>
          <w:rPr>
            <w:noProof/>
            <w:webHidden/>
          </w:rPr>
          <w:fldChar w:fldCharType="separate"/>
        </w:r>
        <w:r w:rsidR="0084338D">
          <w:rPr>
            <w:noProof/>
            <w:webHidden/>
          </w:rPr>
          <w:t>115</w:t>
        </w:r>
        <w:r>
          <w:rPr>
            <w:noProof/>
            <w:webHidden/>
          </w:rPr>
          <w:fldChar w:fldCharType="end"/>
        </w:r>
      </w:hyperlink>
    </w:p>
    <w:p w:rsidR="00CA313E" w:rsidRDefault="00646D05">
      <w:pPr>
        <w:pStyle w:val="Spisilustracji"/>
        <w:tabs>
          <w:tab w:val="right" w:leader="dot" w:pos="9062"/>
        </w:tabs>
        <w:rPr>
          <w:rFonts w:eastAsiaTheme="minorEastAsia"/>
          <w:noProof/>
          <w:sz w:val="24"/>
          <w:szCs w:val="24"/>
          <w:lang w:eastAsia="pl-PL"/>
        </w:rPr>
      </w:pPr>
      <w:hyperlink w:anchor="_Toc196905092" w:history="1">
        <w:r w:rsidR="00CA313E" w:rsidRPr="00312A01">
          <w:rPr>
            <w:rStyle w:val="Hipercze"/>
            <w:noProof/>
          </w:rPr>
          <w:t>Tabela 28. Odpady zebrane selektywnie w ciągu roku w t w latach 2028-2023.</w:t>
        </w:r>
        <w:r w:rsidR="00CA313E">
          <w:rPr>
            <w:noProof/>
            <w:webHidden/>
          </w:rPr>
          <w:tab/>
        </w:r>
        <w:r>
          <w:rPr>
            <w:noProof/>
            <w:webHidden/>
          </w:rPr>
          <w:fldChar w:fldCharType="begin"/>
        </w:r>
        <w:r w:rsidR="00CA313E">
          <w:rPr>
            <w:noProof/>
            <w:webHidden/>
          </w:rPr>
          <w:instrText xml:space="preserve"> PAGEREF _Toc196905092 \h </w:instrText>
        </w:r>
        <w:r>
          <w:rPr>
            <w:noProof/>
            <w:webHidden/>
          </w:rPr>
        </w:r>
        <w:r>
          <w:rPr>
            <w:noProof/>
            <w:webHidden/>
          </w:rPr>
          <w:fldChar w:fldCharType="separate"/>
        </w:r>
        <w:r w:rsidR="0084338D">
          <w:rPr>
            <w:noProof/>
            <w:webHidden/>
          </w:rPr>
          <w:t>116</w:t>
        </w:r>
        <w:r>
          <w:rPr>
            <w:noProof/>
            <w:webHidden/>
          </w:rPr>
          <w:fldChar w:fldCharType="end"/>
        </w:r>
      </w:hyperlink>
    </w:p>
    <w:p w:rsidR="00CA313E" w:rsidRDefault="00646D05">
      <w:pPr>
        <w:pStyle w:val="Spisilustracji"/>
        <w:tabs>
          <w:tab w:val="right" w:leader="dot" w:pos="9062"/>
        </w:tabs>
        <w:rPr>
          <w:rFonts w:eastAsiaTheme="minorEastAsia"/>
          <w:noProof/>
          <w:sz w:val="24"/>
          <w:szCs w:val="24"/>
          <w:lang w:eastAsia="pl-PL"/>
        </w:rPr>
      </w:pPr>
      <w:hyperlink w:anchor="_Toc196905093" w:history="1">
        <w:r w:rsidR="00CA313E" w:rsidRPr="00312A01">
          <w:rPr>
            <w:rStyle w:val="Hipercze"/>
            <w:noProof/>
          </w:rPr>
          <w:t>Tabela 29. Turystyczne obiekty noclegowe i miejsca noclegowe w latach 2018-2023</w:t>
        </w:r>
        <w:r w:rsidR="00CA313E">
          <w:rPr>
            <w:noProof/>
            <w:webHidden/>
          </w:rPr>
          <w:tab/>
        </w:r>
        <w:r>
          <w:rPr>
            <w:noProof/>
            <w:webHidden/>
          </w:rPr>
          <w:fldChar w:fldCharType="begin"/>
        </w:r>
        <w:r w:rsidR="00CA313E">
          <w:rPr>
            <w:noProof/>
            <w:webHidden/>
          </w:rPr>
          <w:instrText xml:space="preserve"> PAGEREF _Toc196905093 \h </w:instrText>
        </w:r>
        <w:r>
          <w:rPr>
            <w:noProof/>
            <w:webHidden/>
          </w:rPr>
        </w:r>
        <w:r>
          <w:rPr>
            <w:noProof/>
            <w:webHidden/>
          </w:rPr>
          <w:fldChar w:fldCharType="separate"/>
        </w:r>
        <w:r w:rsidR="0084338D">
          <w:rPr>
            <w:noProof/>
            <w:webHidden/>
          </w:rPr>
          <w:t>117</w:t>
        </w:r>
        <w:r>
          <w:rPr>
            <w:noProof/>
            <w:webHidden/>
          </w:rPr>
          <w:fldChar w:fldCharType="end"/>
        </w:r>
      </w:hyperlink>
    </w:p>
    <w:p w:rsidR="00E0667B" w:rsidRDefault="00646D05" w:rsidP="007167ED">
      <w:pPr>
        <w:rPr>
          <w:noProof/>
        </w:rPr>
      </w:pPr>
      <w:r>
        <w:fldChar w:fldCharType="end"/>
      </w:r>
      <w:r w:rsidR="007167ED">
        <w:rPr>
          <w:b/>
          <w:bCs/>
          <w:sz w:val="32"/>
          <w:szCs w:val="32"/>
        </w:rPr>
        <w:t>Wykres</w:t>
      </w:r>
      <w:r w:rsidR="00680BAF">
        <w:rPr>
          <w:b/>
          <w:bCs/>
          <w:sz w:val="32"/>
          <w:szCs w:val="32"/>
        </w:rPr>
        <w:t>y</w:t>
      </w:r>
      <w:r>
        <w:fldChar w:fldCharType="begin"/>
      </w:r>
      <w:r w:rsidR="007167ED">
        <w:instrText xml:space="preserve"> TOC \h \z \c "Wykres" </w:instrText>
      </w:r>
      <w:r>
        <w:fldChar w:fldCharType="separate"/>
      </w:r>
    </w:p>
    <w:p w:rsidR="00E0667B" w:rsidRDefault="00646D05">
      <w:pPr>
        <w:pStyle w:val="Spisilustracji"/>
        <w:tabs>
          <w:tab w:val="right" w:leader="dot" w:pos="9062"/>
        </w:tabs>
        <w:rPr>
          <w:rFonts w:eastAsiaTheme="minorEastAsia"/>
          <w:noProof/>
          <w:sz w:val="24"/>
          <w:szCs w:val="24"/>
          <w:lang w:eastAsia="pl-PL"/>
        </w:rPr>
      </w:pPr>
      <w:hyperlink w:anchor="_Toc197678815" w:history="1">
        <w:r w:rsidR="00E0667B" w:rsidRPr="00227F96">
          <w:rPr>
            <w:rStyle w:val="Hipercze"/>
            <w:noProof/>
          </w:rPr>
          <w:t>Wykres 1. Prognozowana liczba ludności rezydującej (w mln) według ekonomicznych grup wieku w poszczególnych latach w Polsce</w:t>
        </w:r>
        <w:r w:rsidR="00E0667B">
          <w:rPr>
            <w:noProof/>
            <w:webHidden/>
          </w:rPr>
          <w:tab/>
        </w:r>
        <w:r>
          <w:rPr>
            <w:noProof/>
            <w:webHidden/>
          </w:rPr>
          <w:fldChar w:fldCharType="begin"/>
        </w:r>
        <w:r w:rsidR="00E0667B">
          <w:rPr>
            <w:noProof/>
            <w:webHidden/>
          </w:rPr>
          <w:instrText xml:space="preserve"> PAGEREF _Toc197678815 \h </w:instrText>
        </w:r>
        <w:r>
          <w:rPr>
            <w:noProof/>
            <w:webHidden/>
          </w:rPr>
        </w:r>
        <w:r>
          <w:rPr>
            <w:noProof/>
            <w:webHidden/>
          </w:rPr>
          <w:fldChar w:fldCharType="separate"/>
        </w:r>
        <w:r w:rsidR="0084338D">
          <w:rPr>
            <w:noProof/>
            <w:webHidden/>
          </w:rPr>
          <w:t>11</w:t>
        </w:r>
        <w:r>
          <w:rPr>
            <w:noProof/>
            <w:webHidden/>
          </w:rPr>
          <w:fldChar w:fldCharType="end"/>
        </w:r>
      </w:hyperlink>
    </w:p>
    <w:p w:rsidR="00E0667B" w:rsidRDefault="00646D05">
      <w:pPr>
        <w:pStyle w:val="Spisilustracji"/>
        <w:tabs>
          <w:tab w:val="right" w:leader="dot" w:pos="9062"/>
        </w:tabs>
        <w:rPr>
          <w:rFonts w:eastAsiaTheme="minorEastAsia"/>
          <w:noProof/>
          <w:sz w:val="24"/>
          <w:szCs w:val="24"/>
          <w:lang w:eastAsia="pl-PL"/>
        </w:rPr>
      </w:pPr>
      <w:hyperlink w:anchor="_Toc197678816" w:history="1">
        <w:r w:rsidR="00E0667B" w:rsidRPr="00227F96">
          <w:rPr>
            <w:rStyle w:val="Hipercze"/>
            <w:noProof/>
          </w:rPr>
          <w:t>Wykres 2. Prognoza liczby urodzeń oraz zgonów (w tys. w poszczególnych latach)</w:t>
        </w:r>
        <w:r w:rsidR="00E0667B">
          <w:rPr>
            <w:noProof/>
            <w:webHidden/>
          </w:rPr>
          <w:tab/>
        </w:r>
        <w:r>
          <w:rPr>
            <w:noProof/>
            <w:webHidden/>
          </w:rPr>
          <w:fldChar w:fldCharType="begin"/>
        </w:r>
        <w:r w:rsidR="00E0667B">
          <w:rPr>
            <w:noProof/>
            <w:webHidden/>
          </w:rPr>
          <w:instrText xml:space="preserve"> PAGEREF _Toc197678816 \h </w:instrText>
        </w:r>
        <w:r>
          <w:rPr>
            <w:noProof/>
            <w:webHidden/>
          </w:rPr>
        </w:r>
        <w:r>
          <w:rPr>
            <w:noProof/>
            <w:webHidden/>
          </w:rPr>
          <w:fldChar w:fldCharType="separate"/>
        </w:r>
        <w:r w:rsidR="0084338D">
          <w:rPr>
            <w:noProof/>
            <w:webHidden/>
          </w:rPr>
          <w:t>11</w:t>
        </w:r>
        <w:r>
          <w:rPr>
            <w:noProof/>
            <w:webHidden/>
          </w:rPr>
          <w:fldChar w:fldCharType="end"/>
        </w:r>
      </w:hyperlink>
    </w:p>
    <w:p w:rsidR="00E0667B" w:rsidRDefault="00646D05">
      <w:pPr>
        <w:pStyle w:val="Spisilustracji"/>
        <w:tabs>
          <w:tab w:val="right" w:leader="dot" w:pos="9062"/>
        </w:tabs>
        <w:rPr>
          <w:rFonts w:eastAsiaTheme="minorEastAsia"/>
          <w:noProof/>
          <w:sz w:val="24"/>
          <w:szCs w:val="24"/>
          <w:lang w:eastAsia="pl-PL"/>
        </w:rPr>
      </w:pPr>
      <w:hyperlink w:anchor="_Toc197678817" w:history="1">
        <w:r w:rsidR="00E0667B" w:rsidRPr="00227F96">
          <w:rPr>
            <w:rStyle w:val="Hipercze"/>
            <w:noProof/>
          </w:rPr>
          <w:t>Wykres 3. Prognoza demograficzna WrOF – piramida wieku – wariant optymistyczny</w:t>
        </w:r>
        <w:r w:rsidR="00E0667B">
          <w:rPr>
            <w:noProof/>
            <w:webHidden/>
          </w:rPr>
          <w:tab/>
        </w:r>
        <w:r>
          <w:rPr>
            <w:noProof/>
            <w:webHidden/>
          </w:rPr>
          <w:fldChar w:fldCharType="begin"/>
        </w:r>
        <w:r w:rsidR="00E0667B">
          <w:rPr>
            <w:noProof/>
            <w:webHidden/>
          </w:rPr>
          <w:instrText xml:space="preserve"> PAGEREF _Toc197678817 \h </w:instrText>
        </w:r>
        <w:r>
          <w:rPr>
            <w:noProof/>
            <w:webHidden/>
          </w:rPr>
        </w:r>
        <w:r>
          <w:rPr>
            <w:noProof/>
            <w:webHidden/>
          </w:rPr>
          <w:fldChar w:fldCharType="separate"/>
        </w:r>
        <w:r w:rsidR="0084338D">
          <w:rPr>
            <w:noProof/>
            <w:webHidden/>
          </w:rPr>
          <w:t>15</w:t>
        </w:r>
        <w:r>
          <w:rPr>
            <w:noProof/>
            <w:webHidden/>
          </w:rPr>
          <w:fldChar w:fldCharType="end"/>
        </w:r>
      </w:hyperlink>
    </w:p>
    <w:p w:rsidR="00E0667B" w:rsidRDefault="00646D05">
      <w:pPr>
        <w:pStyle w:val="Spisilustracji"/>
        <w:tabs>
          <w:tab w:val="right" w:leader="dot" w:pos="9062"/>
        </w:tabs>
        <w:rPr>
          <w:rFonts w:eastAsiaTheme="minorEastAsia"/>
          <w:noProof/>
          <w:sz w:val="24"/>
          <w:szCs w:val="24"/>
          <w:lang w:eastAsia="pl-PL"/>
        </w:rPr>
      </w:pPr>
      <w:hyperlink w:anchor="_Toc197678818" w:history="1">
        <w:r w:rsidR="00E0667B" w:rsidRPr="00227F96">
          <w:rPr>
            <w:rStyle w:val="Hipercze"/>
            <w:noProof/>
          </w:rPr>
          <w:t>Wykres 4. Prognoza demograficzna WrOF – liczebność wybranych grup wieku – wariant optymistyczny</w:t>
        </w:r>
        <w:r w:rsidR="00E0667B">
          <w:rPr>
            <w:noProof/>
            <w:webHidden/>
          </w:rPr>
          <w:tab/>
        </w:r>
        <w:r>
          <w:rPr>
            <w:noProof/>
            <w:webHidden/>
          </w:rPr>
          <w:fldChar w:fldCharType="begin"/>
        </w:r>
        <w:r w:rsidR="00E0667B">
          <w:rPr>
            <w:noProof/>
            <w:webHidden/>
          </w:rPr>
          <w:instrText xml:space="preserve"> PAGEREF _Toc197678818 \h </w:instrText>
        </w:r>
        <w:r>
          <w:rPr>
            <w:noProof/>
            <w:webHidden/>
          </w:rPr>
        </w:r>
        <w:r>
          <w:rPr>
            <w:noProof/>
            <w:webHidden/>
          </w:rPr>
          <w:fldChar w:fldCharType="separate"/>
        </w:r>
        <w:r w:rsidR="0084338D">
          <w:rPr>
            <w:noProof/>
            <w:webHidden/>
          </w:rPr>
          <w:t>16</w:t>
        </w:r>
        <w:r>
          <w:rPr>
            <w:noProof/>
            <w:webHidden/>
          </w:rPr>
          <w:fldChar w:fldCharType="end"/>
        </w:r>
      </w:hyperlink>
    </w:p>
    <w:p w:rsidR="00E0667B" w:rsidRDefault="00646D05">
      <w:pPr>
        <w:pStyle w:val="Spisilustracji"/>
        <w:tabs>
          <w:tab w:val="right" w:leader="dot" w:pos="9062"/>
        </w:tabs>
        <w:rPr>
          <w:rFonts w:eastAsiaTheme="minorEastAsia"/>
          <w:noProof/>
          <w:sz w:val="24"/>
          <w:szCs w:val="24"/>
          <w:lang w:eastAsia="pl-PL"/>
        </w:rPr>
      </w:pPr>
      <w:hyperlink w:anchor="_Toc197678819" w:history="1">
        <w:r w:rsidR="00E0667B" w:rsidRPr="00227F96">
          <w:rPr>
            <w:rStyle w:val="Hipercze"/>
            <w:noProof/>
          </w:rPr>
          <w:t>Wykres 5. Prognoza demograficzna WrOF – piramida wieku – wariant realny</w:t>
        </w:r>
        <w:r w:rsidR="00E0667B">
          <w:rPr>
            <w:noProof/>
            <w:webHidden/>
          </w:rPr>
          <w:tab/>
        </w:r>
        <w:r>
          <w:rPr>
            <w:noProof/>
            <w:webHidden/>
          </w:rPr>
          <w:fldChar w:fldCharType="begin"/>
        </w:r>
        <w:r w:rsidR="00E0667B">
          <w:rPr>
            <w:noProof/>
            <w:webHidden/>
          </w:rPr>
          <w:instrText xml:space="preserve"> PAGEREF _Toc197678819 \h </w:instrText>
        </w:r>
        <w:r>
          <w:rPr>
            <w:noProof/>
            <w:webHidden/>
          </w:rPr>
        </w:r>
        <w:r>
          <w:rPr>
            <w:noProof/>
            <w:webHidden/>
          </w:rPr>
          <w:fldChar w:fldCharType="separate"/>
        </w:r>
        <w:r w:rsidR="0084338D">
          <w:rPr>
            <w:noProof/>
            <w:webHidden/>
          </w:rPr>
          <w:t>16</w:t>
        </w:r>
        <w:r>
          <w:rPr>
            <w:noProof/>
            <w:webHidden/>
          </w:rPr>
          <w:fldChar w:fldCharType="end"/>
        </w:r>
      </w:hyperlink>
    </w:p>
    <w:p w:rsidR="00E0667B" w:rsidRDefault="00646D05">
      <w:pPr>
        <w:pStyle w:val="Spisilustracji"/>
        <w:tabs>
          <w:tab w:val="right" w:leader="dot" w:pos="9062"/>
        </w:tabs>
        <w:rPr>
          <w:rFonts w:eastAsiaTheme="minorEastAsia"/>
          <w:noProof/>
          <w:sz w:val="24"/>
          <w:szCs w:val="24"/>
          <w:lang w:eastAsia="pl-PL"/>
        </w:rPr>
      </w:pPr>
      <w:hyperlink w:anchor="_Toc197678820" w:history="1">
        <w:r w:rsidR="00E0667B" w:rsidRPr="00227F96">
          <w:rPr>
            <w:rStyle w:val="Hipercze"/>
            <w:noProof/>
          </w:rPr>
          <w:t>Wykres 6. Prognoza demograficzna WrOF – liczebność wybranych grup wieku – wariant realny</w:t>
        </w:r>
        <w:r w:rsidR="00E0667B">
          <w:rPr>
            <w:noProof/>
            <w:webHidden/>
          </w:rPr>
          <w:tab/>
        </w:r>
        <w:r>
          <w:rPr>
            <w:noProof/>
            <w:webHidden/>
          </w:rPr>
          <w:fldChar w:fldCharType="begin"/>
        </w:r>
        <w:r w:rsidR="00E0667B">
          <w:rPr>
            <w:noProof/>
            <w:webHidden/>
          </w:rPr>
          <w:instrText xml:space="preserve"> PAGEREF _Toc197678820 \h </w:instrText>
        </w:r>
        <w:r>
          <w:rPr>
            <w:noProof/>
            <w:webHidden/>
          </w:rPr>
        </w:r>
        <w:r>
          <w:rPr>
            <w:noProof/>
            <w:webHidden/>
          </w:rPr>
          <w:fldChar w:fldCharType="separate"/>
        </w:r>
        <w:r w:rsidR="0084338D">
          <w:rPr>
            <w:noProof/>
            <w:webHidden/>
          </w:rPr>
          <w:t>17</w:t>
        </w:r>
        <w:r>
          <w:rPr>
            <w:noProof/>
            <w:webHidden/>
          </w:rPr>
          <w:fldChar w:fldCharType="end"/>
        </w:r>
      </w:hyperlink>
    </w:p>
    <w:p w:rsidR="00E0667B" w:rsidRDefault="00646D05">
      <w:pPr>
        <w:pStyle w:val="Spisilustracji"/>
        <w:tabs>
          <w:tab w:val="right" w:leader="dot" w:pos="9062"/>
        </w:tabs>
        <w:rPr>
          <w:rFonts w:eastAsiaTheme="minorEastAsia"/>
          <w:noProof/>
          <w:sz w:val="24"/>
          <w:szCs w:val="24"/>
          <w:lang w:eastAsia="pl-PL"/>
        </w:rPr>
      </w:pPr>
      <w:hyperlink w:anchor="_Toc197678821" w:history="1">
        <w:r w:rsidR="00E0667B" w:rsidRPr="00227F96">
          <w:rPr>
            <w:rStyle w:val="Hipercze"/>
            <w:noProof/>
          </w:rPr>
          <w:t>Wykres 7. Prognoza migracji zagranicznych w Polsce (w tys.) w poszczególnych latach</w:t>
        </w:r>
        <w:r w:rsidR="00E0667B">
          <w:rPr>
            <w:noProof/>
            <w:webHidden/>
          </w:rPr>
          <w:tab/>
        </w:r>
        <w:r>
          <w:rPr>
            <w:noProof/>
            <w:webHidden/>
          </w:rPr>
          <w:fldChar w:fldCharType="begin"/>
        </w:r>
        <w:r w:rsidR="00E0667B">
          <w:rPr>
            <w:noProof/>
            <w:webHidden/>
          </w:rPr>
          <w:instrText xml:space="preserve"> PAGEREF _Toc197678821 \h </w:instrText>
        </w:r>
        <w:r>
          <w:rPr>
            <w:noProof/>
            <w:webHidden/>
          </w:rPr>
        </w:r>
        <w:r>
          <w:rPr>
            <w:noProof/>
            <w:webHidden/>
          </w:rPr>
          <w:fldChar w:fldCharType="separate"/>
        </w:r>
        <w:r w:rsidR="0084338D">
          <w:rPr>
            <w:noProof/>
            <w:webHidden/>
          </w:rPr>
          <w:t>19</w:t>
        </w:r>
        <w:r>
          <w:rPr>
            <w:noProof/>
            <w:webHidden/>
          </w:rPr>
          <w:fldChar w:fldCharType="end"/>
        </w:r>
      </w:hyperlink>
    </w:p>
    <w:p w:rsidR="00E0667B" w:rsidRDefault="00646D05">
      <w:pPr>
        <w:pStyle w:val="Spisilustracji"/>
        <w:tabs>
          <w:tab w:val="right" w:leader="dot" w:pos="9062"/>
        </w:tabs>
        <w:rPr>
          <w:rFonts w:eastAsiaTheme="minorEastAsia"/>
          <w:noProof/>
          <w:sz w:val="24"/>
          <w:szCs w:val="24"/>
          <w:lang w:eastAsia="pl-PL"/>
        </w:rPr>
      </w:pPr>
      <w:hyperlink w:anchor="_Toc197678822" w:history="1">
        <w:r w:rsidR="00E0667B" w:rsidRPr="00227F96">
          <w:rPr>
            <w:rStyle w:val="Hipercze"/>
            <w:noProof/>
          </w:rPr>
          <w:t>Wykres 8. Prognoza liczby osób pow. 60, 70 i 80 roku życia we WrOF</w:t>
        </w:r>
        <w:r w:rsidR="00E0667B">
          <w:rPr>
            <w:noProof/>
            <w:webHidden/>
          </w:rPr>
          <w:tab/>
        </w:r>
        <w:r>
          <w:rPr>
            <w:noProof/>
            <w:webHidden/>
          </w:rPr>
          <w:fldChar w:fldCharType="begin"/>
        </w:r>
        <w:r w:rsidR="00E0667B">
          <w:rPr>
            <w:noProof/>
            <w:webHidden/>
          </w:rPr>
          <w:instrText xml:space="preserve"> PAGEREF _Toc197678822 \h </w:instrText>
        </w:r>
        <w:r>
          <w:rPr>
            <w:noProof/>
            <w:webHidden/>
          </w:rPr>
        </w:r>
        <w:r>
          <w:rPr>
            <w:noProof/>
            <w:webHidden/>
          </w:rPr>
          <w:fldChar w:fldCharType="separate"/>
        </w:r>
        <w:r w:rsidR="0084338D">
          <w:rPr>
            <w:noProof/>
            <w:webHidden/>
          </w:rPr>
          <w:t>24</w:t>
        </w:r>
        <w:r>
          <w:rPr>
            <w:noProof/>
            <w:webHidden/>
          </w:rPr>
          <w:fldChar w:fldCharType="end"/>
        </w:r>
      </w:hyperlink>
    </w:p>
    <w:p w:rsidR="00E0667B" w:rsidRDefault="00646D05">
      <w:pPr>
        <w:pStyle w:val="Spisilustracji"/>
        <w:tabs>
          <w:tab w:val="right" w:leader="dot" w:pos="9062"/>
        </w:tabs>
        <w:rPr>
          <w:rFonts w:eastAsiaTheme="minorEastAsia"/>
          <w:noProof/>
          <w:sz w:val="24"/>
          <w:szCs w:val="24"/>
          <w:lang w:eastAsia="pl-PL"/>
        </w:rPr>
      </w:pPr>
      <w:hyperlink w:anchor="_Toc197678823" w:history="1">
        <w:r w:rsidR="00E0667B" w:rsidRPr="00227F96">
          <w:rPr>
            <w:rStyle w:val="Hipercze"/>
            <w:noProof/>
          </w:rPr>
          <w:t>Wykres 9. Prognoza liczby wybranych grup wieku we WrOF</w:t>
        </w:r>
        <w:r w:rsidR="00E0667B">
          <w:rPr>
            <w:noProof/>
            <w:webHidden/>
          </w:rPr>
          <w:tab/>
        </w:r>
        <w:r>
          <w:rPr>
            <w:noProof/>
            <w:webHidden/>
          </w:rPr>
          <w:fldChar w:fldCharType="begin"/>
        </w:r>
        <w:r w:rsidR="00E0667B">
          <w:rPr>
            <w:noProof/>
            <w:webHidden/>
          </w:rPr>
          <w:instrText xml:space="preserve"> PAGEREF _Toc197678823 \h </w:instrText>
        </w:r>
        <w:r>
          <w:rPr>
            <w:noProof/>
            <w:webHidden/>
          </w:rPr>
        </w:r>
        <w:r>
          <w:rPr>
            <w:noProof/>
            <w:webHidden/>
          </w:rPr>
          <w:fldChar w:fldCharType="separate"/>
        </w:r>
        <w:r w:rsidR="0084338D">
          <w:rPr>
            <w:noProof/>
            <w:webHidden/>
          </w:rPr>
          <w:t>24</w:t>
        </w:r>
        <w:r>
          <w:rPr>
            <w:noProof/>
            <w:webHidden/>
          </w:rPr>
          <w:fldChar w:fldCharType="end"/>
        </w:r>
      </w:hyperlink>
    </w:p>
    <w:p w:rsidR="00E0667B" w:rsidRDefault="00646D05">
      <w:pPr>
        <w:pStyle w:val="Spisilustracji"/>
        <w:tabs>
          <w:tab w:val="right" w:leader="dot" w:pos="9062"/>
        </w:tabs>
        <w:rPr>
          <w:rFonts w:eastAsiaTheme="minorEastAsia"/>
          <w:noProof/>
          <w:sz w:val="24"/>
          <w:szCs w:val="24"/>
          <w:lang w:eastAsia="pl-PL"/>
        </w:rPr>
      </w:pPr>
      <w:hyperlink w:anchor="_Toc197678824" w:history="1">
        <w:r w:rsidR="00E0667B" w:rsidRPr="00227F96">
          <w:rPr>
            <w:rStyle w:val="Hipercze"/>
            <w:noProof/>
          </w:rPr>
          <w:t>Wykres 10. Transakcje rynkowe na rynku nieruchomości – cena zakupu m</w:t>
        </w:r>
        <w:r w:rsidR="00E0667B" w:rsidRPr="00227F96">
          <w:rPr>
            <w:rStyle w:val="Hipercze"/>
            <w:noProof/>
            <w:vertAlign w:val="superscript"/>
          </w:rPr>
          <w:t>2</w:t>
        </w:r>
        <w:r w:rsidR="00E0667B" w:rsidRPr="00227F96">
          <w:rPr>
            <w:rStyle w:val="Hipercze"/>
            <w:noProof/>
          </w:rPr>
          <w:t xml:space="preserve"> powierzchni mieszkaniowej</w:t>
        </w:r>
        <w:r w:rsidR="00E0667B">
          <w:rPr>
            <w:noProof/>
            <w:webHidden/>
          </w:rPr>
          <w:tab/>
        </w:r>
        <w:r>
          <w:rPr>
            <w:noProof/>
            <w:webHidden/>
          </w:rPr>
          <w:fldChar w:fldCharType="begin"/>
        </w:r>
        <w:r w:rsidR="00E0667B">
          <w:rPr>
            <w:noProof/>
            <w:webHidden/>
          </w:rPr>
          <w:instrText xml:space="preserve"> PAGEREF _Toc197678824 \h </w:instrText>
        </w:r>
        <w:r>
          <w:rPr>
            <w:noProof/>
            <w:webHidden/>
          </w:rPr>
        </w:r>
        <w:r>
          <w:rPr>
            <w:noProof/>
            <w:webHidden/>
          </w:rPr>
          <w:fldChar w:fldCharType="separate"/>
        </w:r>
        <w:r w:rsidR="0084338D">
          <w:rPr>
            <w:noProof/>
            <w:webHidden/>
          </w:rPr>
          <w:t>29</w:t>
        </w:r>
        <w:r>
          <w:rPr>
            <w:noProof/>
            <w:webHidden/>
          </w:rPr>
          <w:fldChar w:fldCharType="end"/>
        </w:r>
      </w:hyperlink>
    </w:p>
    <w:p w:rsidR="00E0667B" w:rsidRDefault="00646D05">
      <w:pPr>
        <w:pStyle w:val="Spisilustracji"/>
        <w:tabs>
          <w:tab w:val="right" w:leader="dot" w:pos="9062"/>
        </w:tabs>
        <w:rPr>
          <w:rFonts w:eastAsiaTheme="minorEastAsia"/>
          <w:noProof/>
          <w:sz w:val="24"/>
          <w:szCs w:val="24"/>
          <w:lang w:eastAsia="pl-PL"/>
        </w:rPr>
      </w:pPr>
      <w:hyperlink w:anchor="_Toc197678825" w:history="1">
        <w:r w:rsidR="00E0667B" w:rsidRPr="00227F96">
          <w:rPr>
            <w:rStyle w:val="Hipercze"/>
            <w:noProof/>
          </w:rPr>
          <w:t>Wykres 11. Transakcje rynkowe na rynku nieruchomości – cena zakupu m</w:t>
        </w:r>
        <w:r w:rsidR="00E0667B" w:rsidRPr="00227F96">
          <w:rPr>
            <w:rStyle w:val="Hipercze"/>
            <w:noProof/>
            <w:vertAlign w:val="superscript"/>
          </w:rPr>
          <w:t>2</w:t>
        </w:r>
        <w:r w:rsidR="00E0667B" w:rsidRPr="00227F96">
          <w:rPr>
            <w:rStyle w:val="Hipercze"/>
            <w:noProof/>
          </w:rPr>
          <w:t xml:space="preserve"> powierzchni mieszkaniowej na rynku wtórnym</w:t>
        </w:r>
        <w:r w:rsidR="00E0667B">
          <w:rPr>
            <w:noProof/>
            <w:webHidden/>
          </w:rPr>
          <w:tab/>
        </w:r>
        <w:r>
          <w:rPr>
            <w:noProof/>
            <w:webHidden/>
          </w:rPr>
          <w:fldChar w:fldCharType="begin"/>
        </w:r>
        <w:r w:rsidR="00E0667B">
          <w:rPr>
            <w:noProof/>
            <w:webHidden/>
          </w:rPr>
          <w:instrText xml:space="preserve"> PAGEREF _Toc197678825 \h </w:instrText>
        </w:r>
        <w:r>
          <w:rPr>
            <w:noProof/>
            <w:webHidden/>
          </w:rPr>
        </w:r>
        <w:r>
          <w:rPr>
            <w:noProof/>
            <w:webHidden/>
          </w:rPr>
          <w:fldChar w:fldCharType="separate"/>
        </w:r>
        <w:r w:rsidR="0084338D">
          <w:rPr>
            <w:noProof/>
            <w:webHidden/>
          </w:rPr>
          <w:t>30</w:t>
        </w:r>
        <w:r>
          <w:rPr>
            <w:noProof/>
            <w:webHidden/>
          </w:rPr>
          <w:fldChar w:fldCharType="end"/>
        </w:r>
      </w:hyperlink>
    </w:p>
    <w:p w:rsidR="00E0667B" w:rsidRDefault="00646D05">
      <w:pPr>
        <w:pStyle w:val="Spisilustracji"/>
        <w:tabs>
          <w:tab w:val="right" w:leader="dot" w:pos="9062"/>
        </w:tabs>
        <w:rPr>
          <w:rFonts w:eastAsiaTheme="minorEastAsia"/>
          <w:noProof/>
          <w:sz w:val="24"/>
          <w:szCs w:val="24"/>
          <w:lang w:eastAsia="pl-PL"/>
        </w:rPr>
      </w:pPr>
      <w:hyperlink w:anchor="_Toc197678826" w:history="1">
        <w:r w:rsidR="00E0667B" w:rsidRPr="00227F96">
          <w:rPr>
            <w:rStyle w:val="Hipercze"/>
            <w:noProof/>
          </w:rPr>
          <w:t>Wykres 12. Osoby fizyczne prowadzące działalność gospodarczą na 1 tys. mieszkańców w wybranych powiatach, w których położone są gminy WrOF</w:t>
        </w:r>
        <w:r w:rsidR="00E0667B">
          <w:rPr>
            <w:noProof/>
            <w:webHidden/>
          </w:rPr>
          <w:tab/>
        </w:r>
        <w:r>
          <w:rPr>
            <w:noProof/>
            <w:webHidden/>
          </w:rPr>
          <w:fldChar w:fldCharType="begin"/>
        </w:r>
        <w:r w:rsidR="00E0667B">
          <w:rPr>
            <w:noProof/>
            <w:webHidden/>
          </w:rPr>
          <w:instrText xml:space="preserve"> PAGEREF _Toc197678826 \h </w:instrText>
        </w:r>
        <w:r>
          <w:rPr>
            <w:noProof/>
            <w:webHidden/>
          </w:rPr>
        </w:r>
        <w:r>
          <w:rPr>
            <w:noProof/>
            <w:webHidden/>
          </w:rPr>
          <w:fldChar w:fldCharType="separate"/>
        </w:r>
        <w:r w:rsidR="0084338D">
          <w:rPr>
            <w:noProof/>
            <w:webHidden/>
          </w:rPr>
          <w:t>36</w:t>
        </w:r>
        <w:r>
          <w:rPr>
            <w:noProof/>
            <w:webHidden/>
          </w:rPr>
          <w:fldChar w:fldCharType="end"/>
        </w:r>
      </w:hyperlink>
    </w:p>
    <w:p w:rsidR="00E0667B" w:rsidRDefault="00646D05">
      <w:pPr>
        <w:pStyle w:val="Spisilustracji"/>
        <w:tabs>
          <w:tab w:val="right" w:leader="dot" w:pos="9062"/>
        </w:tabs>
        <w:rPr>
          <w:rFonts w:eastAsiaTheme="minorEastAsia"/>
          <w:noProof/>
          <w:sz w:val="24"/>
          <w:szCs w:val="24"/>
          <w:lang w:eastAsia="pl-PL"/>
        </w:rPr>
      </w:pPr>
      <w:hyperlink w:anchor="_Toc197678827" w:history="1">
        <w:r w:rsidR="00E0667B" w:rsidRPr="00227F96">
          <w:rPr>
            <w:rStyle w:val="Hipercze"/>
            <w:noProof/>
          </w:rPr>
          <w:t>Wykres 13. Podmioty gospodarcze w usługach wyższego rzędu (sekcje J-R) na 1000 ludności</w:t>
        </w:r>
        <w:r w:rsidR="00E0667B">
          <w:rPr>
            <w:noProof/>
            <w:webHidden/>
          </w:rPr>
          <w:tab/>
        </w:r>
        <w:r>
          <w:rPr>
            <w:noProof/>
            <w:webHidden/>
          </w:rPr>
          <w:fldChar w:fldCharType="begin"/>
        </w:r>
        <w:r w:rsidR="00E0667B">
          <w:rPr>
            <w:noProof/>
            <w:webHidden/>
          </w:rPr>
          <w:instrText xml:space="preserve"> PAGEREF _Toc197678827 \h </w:instrText>
        </w:r>
        <w:r>
          <w:rPr>
            <w:noProof/>
            <w:webHidden/>
          </w:rPr>
        </w:r>
        <w:r>
          <w:rPr>
            <w:noProof/>
            <w:webHidden/>
          </w:rPr>
          <w:fldChar w:fldCharType="separate"/>
        </w:r>
        <w:r w:rsidR="0084338D">
          <w:rPr>
            <w:noProof/>
            <w:webHidden/>
          </w:rPr>
          <w:t>37</w:t>
        </w:r>
        <w:r>
          <w:rPr>
            <w:noProof/>
            <w:webHidden/>
          </w:rPr>
          <w:fldChar w:fldCharType="end"/>
        </w:r>
      </w:hyperlink>
    </w:p>
    <w:p w:rsidR="00E0667B" w:rsidRDefault="00646D05">
      <w:pPr>
        <w:pStyle w:val="Spisilustracji"/>
        <w:tabs>
          <w:tab w:val="right" w:leader="dot" w:pos="9062"/>
        </w:tabs>
        <w:rPr>
          <w:rFonts w:eastAsiaTheme="minorEastAsia"/>
          <w:noProof/>
          <w:sz w:val="24"/>
          <w:szCs w:val="24"/>
          <w:lang w:eastAsia="pl-PL"/>
        </w:rPr>
      </w:pPr>
      <w:hyperlink w:anchor="_Toc197678828" w:history="1">
        <w:r w:rsidR="00E0667B" w:rsidRPr="00227F96">
          <w:rPr>
            <w:rStyle w:val="Hipercze"/>
            <w:noProof/>
          </w:rPr>
          <w:t>Wykres 14. Podmioty gospodarcze w usługach wyższego rzędu (sekcje J-R) na 1000 ludności w dużych miastach w Polsce</w:t>
        </w:r>
        <w:r w:rsidR="00E0667B">
          <w:rPr>
            <w:noProof/>
            <w:webHidden/>
          </w:rPr>
          <w:tab/>
        </w:r>
        <w:r>
          <w:rPr>
            <w:noProof/>
            <w:webHidden/>
          </w:rPr>
          <w:fldChar w:fldCharType="begin"/>
        </w:r>
        <w:r w:rsidR="00E0667B">
          <w:rPr>
            <w:noProof/>
            <w:webHidden/>
          </w:rPr>
          <w:instrText xml:space="preserve"> PAGEREF _Toc197678828 \h </w:instrText>
        </w:r>
        <w:r>
          <w:rPr>
            <w:noProof/>
            <w:webHidden/>
          </w:rPr>
        </w:r>
        <w:r>
          <w:rPr>
            <w:noProof/>
            <w:webHidden/>
          </w:rPr>
          <w:fldChar w:fldCharType="separate"/>
        </w:r>
        <w:r w:rsidR="0084338D">
          <w:rPr>
            <w:noProof/>
            <w:webHidden/>
          </w:rPr>
          <w:t>38</w:t>
        </w:r>
        <w:r>
          <w:rPr>
            <w:noProof/>
            <w:webHidden/>
          </w:rPr>
          <w:fldChar w:fldCharType="end"/>
        </w:r>
      </w:hyperlink>
    </w:p>
    <w:p w:rsidR="00E0667B" w:rsidRDefault="00646D05">
      <w:pPr>
        <w:pStyle w:val="Spisilustracji"/>
        <w:tabs>
          <w:tab w:val="right" w:leader="dot" w:pos="9062"/>
        </w:tabs>
        <w:rPr>
          <w:rFonts w:eastAsiaTheme="minorEastAsia"/>
          <w:noProof/>
          <w:sz w:val="24"/>
          <w:szCs w:val="24"/>
          <w:lang w:eastAsia="pl-PL"/>
        </w:rPr>
      </w:pPr>
      <w:hyperlink w:anchor="_Toc197678829" w:history="1">
        <w:r w:rsidR="00E0667B" w:rsidRPr="00227F96">
          <w:rPr>
            <w:rStyle w:val="Hipercze"/>
            <w:noProof/>
          </w:rPr>
          <w:t>Wykres 15. Miejsca noclegowe na 1000 ludności</w:t>
        </w:r>
        <w:r w:rsidR="00E0667B">
          <w:rPr>
            <w:noProof/>
            <w:webHidden/>
          </w:rPr>
          <w:tab/>
        </w:r>
        <w:r>
          <w:rPr>
            <w:noProof/>
            <w:webHidden/>
          </w:rPr>
          <w:fldChar w:fldCharType="begin"/>
        </w:r>
        <w:r w:rsidR="00E0667B">
          <w:rPr>
            <w:noProof/>
            <w:webHidden/>
          </w:rPr>
          <w:instrText xml:space="preserve"> PAGEREF _Toc197678829 \h </w:instrText>
        </w:r>
        <w:r>
          <w:rPr>
            <w:noProof/>
            <w:webHidden/>
          </w:rPr>
        </w:r>
        <w:r>
          <w:rPr>
            <w:noProof/>
            <w:webHidden/>
          </w:rPr>
          <w:fldChar w:fldCharType="separate"/>
        </w:r>
        <w:r w:rsidR="0084338D">
          <w:rPr>
            <w:noProof/>
            <w:webHidden/>
          </w:rPr>
          <w:t>41</w:t>
        </w:r>
        <w:r>
          <w:rPr>
            <w:noProof/>
            <w:webHidden/>
          </w:rPr>
          <w:fldChar w:fldCharType="end"/>
        </w:r>
      </w:hyperlink>
    </w:p>
    <w:p w:rsidR="00E0667B" w:rsidRDefault="00646D05">
      <w:pPr>
        <w:pStyle w:val="Spisilustracji"/>
        <w:tabs>
          <w:tab w:val="right" w:leader="dot" w:pos="9062"/>
        </w:tabs>
        <w:rPr>
          <w:rFonts w:eastAsiaTheme="minorEastAsia"/>
          <w:noProof/>
          <w:sz w:val="24"/>
          <w:szCs w:val="24"/>
          <w:lang w:eastAsia="pl-PL"/>
        </w:rPr>
      </w:pPr>
      <w:hyperlink w:anchor="_Toc197678830" w:history="1">
        <w:r w:rsidR="00E0667B" w:rsidRPr="00227F96">
          <w:rPr>
            <w:rStyle w:val="Hipercze"/>
            <w:noProof/>
          </w:rPr>
          <w:t>Wykres 16. Turyści korzystających z noclegów na 1000 ludności</w:t>
        </w:r>
        <w:r w:rsidR="00E0667B">
          <w:rPr>
            <w:noProof/>
            <w:webHidden/>
          </w:rPr>
          <w:tab/>
        </w:r>
        <w:r>
          <w:rPr>
            <w:noProof/>
            <w:webHidden/>
          </w:rPr>
          <w:fldChar w:fldCharType="begin"/>
        </w:r>
        <w:r w:rsidR="00E0667B">
          <w:rPr>
            <w:noProof/>
            <w:webHidden/>
          </w:rPr>
          <w:instrText xml:space="preserve"> PAGEREF _Toc197678830 \h </w:instrText>
        </w:r>
        <w:r>
          <w:rPr>
            <w:noProof/>
            <w:webHidden/>
          </w:rPr>
        </w:r>
        <w:r>
          <w:rPr>
            <w:noProof/>
            <w:webHidden/>
          </w:rPr>
          <w:fldChar w:fldCharType="separate"/>
        </w:r>
        <w:r w:rsidR="0084338D">
          <w:rPr>
            <w:noProof/>
            <w:webHidden/>
          </w:rPr>
          <w:t>42</w:t>
        </w:r>
        <w:r>
          <w:rPr>
            <w:noProof/>
            <w:webHidden/>
          </w:rPr>
          <w:fldChar w:fldCharType="end"/>
        </w:r>
      </w:hyperlink>
    </w:p>
    <w:p w:rsidR="00E0667B" w:rsidRDefault="00646D05">
      <w:pPr>
        <w:pStyle w:val="Spisilustracji"/>
        <w:tabs>
          <w:tab w:val="right" w:leader="dot" w:pos="9062"/>
        </w:tabs>
        <w:rPr>
          <w:rFonts w:eastAsiaTheme="minorEastAsia"/>
          <w:noProof/>
          <w:sz w:val="24"/>
          <w:szCs w:val="24"/>
          <w:lang w:eastAsia="pl-PL"/>
        </w:rPr>
      </w:pPr>
      <w:hyperlink w:anchor="_Toc197678831" w:history="1">
        <w:r w:rsidR="00E0667B" w:rsidRPr="00227F96">
          <w:rPr>
            <w:rStyle w:val="Hipercze"/>
            <w:noProof/>
          </w:rPr>
          <w:t>Wykres 17. Turyści korzystający z noclegów na 1000 ludności w dużych miastach w Polsce</w:t>
        </w:r>
        <w:r w:rsidR="00E0667B">
          <w:rPr>
            <w:noProof/>
            <w:webHidden/>
          </w:rPr>
          <w:tab/>
        </w:r>
        <w:r>
          <w:rPr>
            <w:noProof/>
            <w:webHidden/>
          </w:rPr>
          <w:fldChar w:fldCharType="begin"/>
        </w:r>
        <w:r w:rsidR="00E0667B">
          <w:rPr>
            <w:noProof/>
            <w:webHidden/>
          </w:rPr>
          <w:instrText xml:space="preserve"> PAGEREF _Toc197678831 \h </w:instrText>
        </w:r>
        <w:r>
          <w:rPr>
            <w:noProof/>
            <w:webHidden/>
          </w:rPr>
        </w:r>
        <w:r>
          <w:rPr>
            <w:noProof/>
            <w:webHidden/>
          </w:rPr>
          <w:fldChar w:fldCharType="separate"/>
        </w:r>
        <w:r w:rsidR="0084338D">
          <w:rPr>
            <w:noProof/>
            <w:webHidden/>
          </w:rPr>
          <w:t>43</w:t>
        </w:r>
        <w:r>
          <w:rPr>
            <w:noProof/>
            <w:webHidden/>
          </w:rPr>
          <w:fldChar w:fldCharType="end"/>
        </w:r>
      </w:hyperlink>
    </w:p>
    <w:p w:rsidR="00E0667B" w:rsidRDefault="00646D05">
      <w:pPr>
        <w:pStyle w:val="Spisilustracji"/>
        <w:tabs>
          <w:tab w:val="right" w:leader="dot" w:pos="9062"/>
        </w:tabs>
        <w:rPr>
          <w:rFonts w:eastAsiaTheme="minorEastAsia"/>
          <w:noProof/>
          <w:sz w:val="24"/>
          <w:szCs w:val="24"/>
          <w:lang w:eastAsia="pl-PL"/>
        </w:rPr>
      </w:pPr>
      <w:hyperlink w:anchor="_Toc197678832" w:history="1">
        <w:r w:rsidR="00E0667B" w:rsidRPr="00227F96">
          <w:rPr>
            <w:rStyle w:val="Hipercze"/>
            <w:noProof/>
          </w:rPr>
          <w:t>Wykres 18. Udzielone noclegi turystom zagranicznym na 10 tys. ludności</w:t>
        </w:r>
        <w:r w:rsidR="00E0667B">
          <w:rPr>
            <w:noProof/>
            <w:webHidden/>
          </w:rPr>
          <w:tab/>
        </w:r>
        <w:r>
          <w:rPr>
            <w:noProof/>
            <w:webHidden/>
          </w:rPr>
          <w:fldChar w:fldCharType="begin"/>
        </w:r>
        <w:r w:rsidR="00E0667B">
          <w:rPr>
            <w:noProof/>
            <w:webHidden/>
          </w:rPr>
          <w:instrText xml:space="preserve"> PAGEREF _Toc197678832 \h </w:instrText>
        </w:r>
        <w:r>
          <w:rPr>
            <w:noProof/>
            <w:webHidden/>
          </w:rPr>
        </w:r>
        <w:r>
          <w:rPr>
            <w:noProof/>
            <w:webHidden/>
          </w:rPr>
          <w:fldChar w:fldCharType="separate"/>
        </w:r>
        <w:r w:rsidR="0084338D">
          <w:rPr>
            <w:noProof/>
            <w:webHidden/>
          </w:rPr>
          <w:t>44</w:t>
        </w:r>
        <w:r>
          <w:rPr>
            <w:noProof/>
            <w:webHidden/>
          </w:rPr>
          <w:fldChar w:fldCharType="end"/>
        </w:r>
      </w:hyperlink>
    </w:p>
    <w:p w:rsidR="00E0667B" w:rsidRDefault="00646D05">
      <w:pPr>
        <w:pStyle w:val="Spisilustracji"/>
        <w:tabs>
          <w:tab w:val="right" w:leader="dot" w:pos="9062"/>
        </w:tabs>
        <w:rPr>
          <w:rFonts w:eastAsiaTheme="minorEastAsia"/>
          <w:noProof/>
          <w:sz w:val="24"/>
          <w:szCs w:val="24"/>
          <w:lang w:eastAsia="pl-PL"/>
        </w:rPr>
      </w:pPr>
      <w:hyperlink w:anchor="_Toc197678833" w:history="1">
        <w:r w:rsidR="00E0667B" w:rsidRPr="00227F96">
          <w:rPr>
            <w:rStyle w:val="Hipercze"/>
            <w:noProof/>
          </w:rPr>
          <w:t>Wykres 19. Liczba ludności w polskich obszarach funkcjonalnych w latach 2018-2023</w:t>
        </w:r>
        <w:r w:rsidR="00E0667B">
          <w:rPr>
            <w:noProof/>
            <w:webHidden/>
          </w:rPr>
          <w:tab/>
        </w:r>
        <w:r>
          <w:rPr>
            <w:noProof/>
            <w:webHidden/>
          </w:rPr>
          <w:fldChar w:fldCharType="begin"/>
        </w:r>
        <w:r w:rsidR="00E0667B">
          <w:rPr>
            <w:noProof/>
            <w:webHidden/>
          </w:rPr>
          <w:instrText xml:space="preserve"> PAGEREF _Toc197678833 \h </w:instrText>
        </w:r>
        <w:r>
          <w:rPr>
            <w:noProof/>
            <w:webHidden/>
          </w:rPr>
        </w:r>
        <w:r>
          <w:rPr>
            <w:noProof/>
            <w:webHidden/>
          </w:rPr>
          <w:fldChar w:fldCharType="separate"/>
        </w:r>
        <w:r w:rsidR="0084338D">
          <w:rPr>
            <w:noProof/>
            <w:webHidden/>
          </w:rPr>
          <w:t>91</w:t>
        </w:r>
        <w:r>
          <w:rPr>
            <w:noProof/>
            <w:webHidden/>
          </w:rPr>
          <w:fldChar w:fldCharType="end"/>
        </w:r>
      </w:hyperlink>
    </w:p>
    <w:p w:rsidR="00E0667B" w:rsidRDefault="00646D05">
      <w:pPr>
        <w:pStyle w:val="Spisilustracji"/>
        <w:tabs>
          <w:tab w:val="right" w:leader="dot" w:pos="9062"/>
        </w:tabs>
        <w:rPr>
          <w:rFonts w:eastAsiaTheme="minorEastAsia"/>
          <w:noProof/>
          <w:sz w:val="24"/>
          <w:szCs w:val="24"/>
          <w:lang w:eastAsia="pl-PL"/>
        </w:rPr>
      </w:pPr>
      <w:hyperlink w:anchor="_Toc197678834" w:history="1">
        <w:r w:rsidR="00E0667B" w:rsidRPr="00227F96">
          <w:rPr>
            <w:rStyle w:val="Hipercze"/>
            <w:noProof/>
          </w:rPr>
          <w:t>Wykres 20. Liczba osób bezrobotnych zarejestrowanych w latach 2018-2023</w:t>
        </w:r>
        <w:r w:rsidR="00E0667B">
          <w:rPr>
            <w:noProof/>
            <w:webHidden/>
          </w:rPr>
          <w:tab/>
        </w:r>
        <w:r>
          <w:rPr>
            <w:noProof/>
            <w:webHidden/>
          </w:rPr>
          <w:fldChar w:fldCharType="begin"/>
        </w:r>
        <w:r w:rsidR="00E0667B">
          <w:rPr>
            <w:noProof/>
            <w:webHidden/>
          </w:rPr>
          <w:instrText xml:space="preserve"> PAGEREF _Toc197678834 \h </w:instrText>
        </w:r>
        <w:r>
          <w:rPr>
            <w:noProof/>
            <w:webHidden/>
          </w:rPr>
        </w:r>
        <w:r>
          <w:rPr>
            <w:noProof/>
            <w:webHidden/>
          </w:rPr>
          <w:fldChar w:fldCharType="separate"/>
        </w:r>
        <w:r w:rsidR="0084338D">
          <w:rPr>
            <w:noProof/>
            <w:webHidden/>
          </w:rPr>
          <w:t>104</w:t>
        </w:r>
        <w:r>
          <w:rPr>
            <w:noProof/>
            <w:webHidden/>
          </w:rPr>
          <w:fldChar w:fldCharType="end"/>
        </w:r>
      </w:hyperlink>
    </w:p>
    <w:p w:rsidR="00E0667B" w:rsidRDefault="00646D05">
      <w:pPr>
        <w:pStyle w:val="Spisilustracji"/>
        <w:tabs>
          <w:tab w:val="right" w:leader="dot" w:pos="9062"/>
        </w:tabs>
        <w:rPr>
          <w:rFonts w:eastAsiaTheme="minorEastAsia"/>
          <w:noProof/>
          <w:sz w:val="24"/>
          <w:szCs w:val="24"/>
          <w:lang w:eastAsia="pl-PL"/>
        </w:rPr>
      </w:pPr>
      <w:hyperlink w:anchor="_Toc197678835" w:history="1">
        <w:r w:rsidR="00E0667B" w:rsidRPr="00227F96">
          <w:rPr>
            <w:rStyle w:val="Hipercze"/>
            <w:noProof/>
          </w:rPr>
          <w:t>Wykres 21. Bezrobotni zarejestrowani do 30 roku życia w latach 2018-2023</w:t>
        </w:r>
        <w:r w:rsidR="00E0667B">
          <w:rPr>
            <w:noProof/>
            <w:webHidden/>
          </w:rPr>
          <w:tab/>
        </w:r>
        <w:r>
          <w:rPr>
            <w:noProof/>
            <w:webHidden/>
          </w:rPr>
          <w:fldChar w:fldCharType="begin"/>
        </w:r>
        <w:r w:rsidR="00E0667B">
          <w:rPr>
            <w:noProof/>
            <w:webHidden/>
          </w:rPr>
          <w:instrText xml:space="preserve"> PAGEREF _Toc197678835 \h </w:instrText>
        </w:r>
        <w:r>
          <w:rPr>
            <w:noProof/>
            <w:webHidden/>
          </w:rPr>
        </w:r>
        <w:r>
          <w:rPr>
            <w:noProof/>
            <w:webHidden/>
          </w:rPr>
          <w:fldChar w:fldCharType="separate"/>
        </w:r>
        <w:r w:rsidR="0084338D">
          <w:rPr>
            <w:noProof/>
            <w:webHidden/>
          </w:rPr>
          <w:t>105</w:t>
        </w:r>
        <w:r>
          <w:rPr>
            <w:noProof/>
            <w:webHidden/>
          </w:rPr>
          <w:fldChar w:fldCharType="end"/>
        </w:r>
      </w:hyperlink>
    </w:p>
    <w:p w:rsidR="00E0667B" w:rsidRDefault="00646D05">
      <w:pPr>
        <w:pStyle w:val="Spisilustracji"/>
        <w:tabs>
          <w:tab w:val="right" w:leader="dot" w:pos="9062"/>
        </w:tabs>
        <w:rPr>
          <w:rFonts w:eastAsiaTheme="minorEastAsia"/>
          <w:noProof/>
          <w:sz w:val="24"/>
          <w:szCs w:val="24"/>
          <w:lang w:eastAsia="pl-PL"/>
        </w:rPr>
      </w:pPr>
      <w:hyperlink w:anchor="_Toc197678836" w:history="1">
        <w:r w:rsidR="00E0667B" w:rsidRPr="00227F96">
          <w:rPr>
            <w:rStyle w:val="Hipercze"/>
            <w:noProof/>
          </w:rPr>
          <w:t>Wykres 22. Długotrwale bezrobotni w latach 2018-2023.</w:t>
        </w:r>
        <w:r w:rsidR="00E0667B">
          <w:rPr>
            <w:noProof/>
            <w:webHidden/>
          </w:rPr>
          <w:tab/>
        </w:r>
        <w:r>
          <w:rPr>
            <w:noProof/>
            <w:webHidden/>
          </w:rPr>
          <w:fldChar w:fldCharType="begin"/>
        </w:r>
        <w:r w:rsidR="00E0667B">
          <w:rPr>
            <w:noProof/>
            <w:webHidden/>
          </w:rPr>
          <w:instrText xml:space="preserve"> PAGEREF _Toc197678836 \h </w:instrText>
        </w:r>
        <w:r>
          <w:rPr>
            <w:noProof/>
            <w:webHidden/>
          </w:rPr>
        </w:r>
        <w:r>
          <w:rPr>
            <w:noProof/>
            <w:webHidden/>
          </w:rPr>
          <w:fldChar w:fldCharType="separate"/>
        </w:r>
        <w:r w:rsidR="0084338D">
          <w:rPr>
            <w:noProof/>
            <w:webHidden/>
          </w:rPr>
          <w:t>106</w:t>
        </w:r>
        <w:r>
          <w:rPr>
            <w:noProof/>
            <w:webHidden/>
          </w:rPr>
          <w:fldChar w:fldCharType="end"/>
        </w:r>
      </w:hyperlink>
    </w:p>
    <w:p w:rsidR="00E0667B" w:rsidRDefault="00646D05">
      <w:pPr>
        <w:pStyle w:val="Spisilustracji"/>
        <w:tabs>
          <w:tab w:val="right" w:leader="dot" w:pos="9062"/>
        </w:tabs>
        <w:rPr>
          <w:rFonts w:eastAsiaTheme="minorEastAsia"/>
          <w:noProof/>
          <w:sz w:val="24"/>
          <w:szCs w:val="24"/>
          <w:lang w:eastAsia="pl-PL"/>
        </w:rPr>
      </w:pPr>
      <w:hyperlink w:anchor="_Toc197678837" w:history="1">
        <w:r w:rsidR="00E0667B" w:rsidRPr="00227F96">
          <w:rPr>
            <w:rStyle w:val="Hipercze"/>
            <w:noProof/>
          </w:rPr>
          <w:t>Wykres 23. Powierzchnia terenów zieleni ogółem na 1 mieszkańca.</w:t>
        </w:r>
        <w:r w:rsidR="00E0667B">
          <w:rPr>
            <w:noProof/>
            <w:webHidden/>
          </w:rPr>
          <w:tab/>
        </w:r>
        <w:r>
          <w:rPr>
            <w:noProof/>
            <w:webHidden/>
          </w:rPr>
          <w:fldChar w:fldCharType="begin"/>
        </w:r>
        <w:r w:rsidR="00E0667B">
          <w:rPr>
            <w:noProof/>
            <w:webHidden/>
          </w:rPr>
          <w:instrText xml:space="preserve"> PAGEREF _Toc197678837 \h </w:instrText>
        </w:r>
        <w:r>
          <w:rPr>
            <w:noProof/>
            <w:webHidden/>
          </w:rPr>
        </w:r>
        <w:r>
          <w:rPr>
            <w:noProof/>
            <w:webHidden/>
          </w:rPr>
          <w:fldChar w:fldCharType="separate"/>
        </w:r>
        <w:r w:rsidR="0084338D">
          <w:rPr>
            <w:noProof/>
            <w:webHidden/>
          </w:rPr>
          <w:t>112</w:t>
        </w:r>
        <w:r>
          <w:rPr>
            <w:noProof/>
            <w:webHidden/>
          </w:rPr>
          <w:fldChar w:fldCharType="end"/>
        </w:r>
      </w:hyperlink>
    </w:p>
    <w:p w:rsidR="00E0667B" w:rsidRDefault="00646D05">
      <w:pPr>
        <w:pStyle w:val="Spisilustracji"/>
        <w:tabs>
          <w:tab w:val="right" w:leader="dot" w:pos="9062"/>
        </w:tabs>
        <w:rPr>
          <w:rFonts w:eastAsiaTheme="minorEastAsia"/>
          <w:noProof/>
          <w:sz w:val="24"/>
          <w:szCs w:val="24"/>
          <w:lang w:eastAsia="pl-PL"/>
        </w:rPr>
      </w:pPr>
      <w:hyperlink w:anchor="_Toc197678838" w:history="1">
        <w:r w:rsidR="00E0667B" w:rsidRPr="00227F96">
          <w:rPr>
            <w:rStyle w:val="Hipercze"/>
            <w:noProof/>
          </w:rPr>
          <w:t xml:space="preserve">Wykres 24. </w:t>
        </w:r>
        <w:r w:rsidR="00E0667B" w:rsidRPr="00227F96">
          <w:rPr>
            <w:rStyle w:val="Hipercze"/>
            <w:noProof/>
            <w:lang w:eastAsia="pl-PL"/>
          </w:rPr>
          <w:t>Powierzchnia parków, zieleńców i terenów zieleni osiedlowej na 1 mieszkańca</w:t>
        </w:r>
        <w:r w:rsidR="00E0667B">
          <w:rPr>
            <w:noProof/>
            <w:webHidden/>
          </w:rPr>
          <w:tab/>
        </w:r>
        <w:r>
          <w:rPr>
            <w:noProof/>
            <w:webHidden/>
          </w:rPr>
          <w:fldChar w:fldCharType="begin"/>
        </w:r>
        <w:r w:rsidR="00E0667B">
          <w:rPr>
            <w:noProof/>
            <w:webHidden/>
          </w:rPr>
          <w:instrText xml:space="preserve"> PAGEREF _Toc197678838 \h </w:instrText>
        </w:r>
        <w:r>
          <w:rPr>
            <w:noProof/>
            <w:webHidden/>
          </w:rPr>
        </w:r>
        <w:r>
          <w:rPr>
            <w:noProof/>
            <w:webHidden/>
          </w:rPr>
          <w:fldChar w:fldCharType="separate"/>
        </w:r>
        <w:r w:rsidR="0084338D">
          <w:rPr>
            <w:noProof/>
            <w:webHidden/>
          </w:rPr>
          <w:t>113</w:t>
        </w:r>
        <w:r>
          <w:rPr>
            <w:noProof/>
            <w:webHidden/>
          </w:rPr>
          <w:fldChar w:fldCharType="end"/>
        </w:r>
      </w:hyperlink>
    </w:p>
    <w:p w:rsidR="00E0667B" w:rsidRDefault="00646D05">
      <w:pPr>
        <w:pStyle w:val="Spisilustracji"/>
        <w:tabs>
          <w:tab w:val="right" w:leader="dot" w:pos="9062"/>
        </w:tabs>
        <w:rPr>
          <w:rFonts w:eastAsiaTheme="minorEastAsia"/>
          <w:noProof/>
          <w:sz w:val="24"/>
          <w:szCs w:val="24"/>
          <w:lang w:eastAsia="pl-PL"/>
        </w:rPr>
      </w:pPr>
      <w:hyperlink w:anchor="_Toc197678839" w:history="1">
        <w:r w:rsidR="00E0667B" w:rsidRPr="00227F96">
          <w:rPr>
            <w:rStyle w:val="Hipercze"/>
            <w:noProof/>
          </w:rPr>
          <w:t>Wykres 25. Odpady komunalne wytworzone w ciągu roku z gospodarstw domowych w latach 2018-2023</w:t>
        </w:r>
        <w:r w:rsidR="00E0667B">
          <w:rPr>
            <w:noProof/>
            <w:webHidden/>
          </w:rPr>
          <w:tab/>
        </w:r>
        <w:r>
          <w:rPr>
            <w:noProof/>
            <w:webHidden/>
          </w:rPr>
          <w:fldChar w:fldCharType="begin"/>
        </w:r>
        <w:r w:rsidR="00E0667B">
          <w:rPr>
            <w:noProof/>
            <w:webHidden/>
          </w:rPr>
          <w:instrText xml:space="preserve"> PAGEREF _Toc197678839 \h </w:instrText>
        </w:r>
        <w:r>
          <w:rPr>
            <w:noProof/>
            <w:webHidden/>
          </w:rPr>
        </w:r>
        <w:r>
          <w:rPr>
            <w:noProof/>
            <w:webHidden/>
          </w:rPr>
          <w:fldChar w:fldCharType="separate"/>
        </w:r>
        <w:r w:rsidR="0084338D">
          <w:rPr>
            <w:noProof/>
            <w:webHidden/>
          </w:rPr>
          <w:t>115</w:t>
        </w:r>
        <w:r>
          <w:rPr>
            <w:noProof/>
            <w:webHidden/>
          </w:rPr>
          <w:fldChar w:fldCharType="end"/>
        </w:r>
      </w:hyperlink>
    </w:p>
    <w:p w:rsidR="007167ED" w:rsidRPr="007167ED" w:rsidRDefault="00646D05" w:rsidP="007167ED">
      <w:r>
        <w:fldChar w:fldCharType="end"/>
      </w:r>
    </w:p>
    <w:sectPr w:rsidR="007167ED" w:rsidRPr="007167ED" w:rsidSect="00572FBC">
      <w:footerReference w:type="default" r:id="rId49"/>
      <w:footerReference w:type="first" r:id="rId50"/>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338D" w:rsidRDefault="0084338D" w:rsidP="00171F89">
      <w:pPr>
        <w:spacing w:after="0" w:line="240" w:lineRule="auto"/>
      </w:pPr>
      <w:r>
        <w:separator/>
      </w:r>
    </w:p>
  </w:endnote>
  <w:endnote w:type="continuationSeparator" w:id="0">
    <w:p w:rsidR="0084338D" w:rsidRDefault="0084338D" w:rsidP="00171F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ptos">
    <w:altName w:val="Calibri"/>
    <w:charset w:val="00"/>
    <w:family w:val="swiss"/>
    <w:pitch w:val="variable"/>
    <w:sig w:usb0="00000001" w:usb1="00000003" w:usb2="00000000" w:usb3="00000000" w:csb0="0000019F" w:csb1="00000000"/>
  </w:font>
  <w:font w:name="Aptos Display">
    <w:altName w:val="Calibri"/>
    <w:charset w:val="00"/>
    <w:family w:val="swiss"/>
    <w:pitch w:val="variable"/>
    <w:sig w:usb0="00000001"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4002EFF" w:usb1="C2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6750363"/>
      <w:docPartObj>
        <w:docPartGallery w:val="Page Numbers (Bottom of Page)"/>
        <w:docPartUnique/>
      </w:docPartObj>
    </w:sdtPr>
    <w:sdtContent>
      <w:p w:rsidR="0084338D" w:rsidRDefault="0084338D" w:rsidP="00383A2E">
        <w:pPr>
          <w:pStyle w:val="Stopka"/>
          <w:jc w:val="center"/>
        </w:pPr>
        <w:fldSimple w:instr="PAGE   \* MERGEFORMAT">
          <w:r w:rsidR="00127259">
            <w:rPr>
              <w:noProof/>
            </w:rPr>
            <w:t>2</w:t>
          </w:r>
        </w:fldSimple>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38D" w:rsidRDefault="0084338D">
    <w:pPr>
      <w:pStyle w:val="Stopka"/>
    </w:pPr>
    <w:r>
      <w:rPr>
        <w:noProof/>
        <w:lang w:eastAsia="pl-PL"/>
      </w:rPr>
      <w:drawing>
        <wp:inline distT="0" distB="0" distL="0" distR="0">
          <wp:extent cx="5760720" cy="607060"/>
          <wp:effectExtent l="0" t="0" r="0" b="2540"/>
          <wp:docPr id="101212888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128881" name="Obraz 101212888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60720" cy="607060"/>
                  </a:xfrm>
                  <a:prstGeom prst="rect">
                    <a:avLst/>
                  </a:prstGeom>
                </pic:spPr>
              </pic:pic>
            </a:graphicData>
          </a:graphic>
        </wp:inline>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4211088"/>
      <w:docPartObj>
        <w:docPartGallery w:val="Page Numbers (Bottom of Page)"/>
        <w:docPartUnique/>
      </w:docPartObj>
    </w:sdtPr>
    <w:sdtContent>
      <w:p w:rsidR="0084338D" w:rsidRDefault="0084338D" w:rsidP="00383A2E">
        <w:pPr>
          <w:pStyle w:val="Stopka"/>
          <w:jc w:val="center"/>
        </w:pPr>
        <w:fldSimple w:instr="PAGE   \* MERGEFORMAT">
          <w:r w:rsidR="00127259">
            <w:rPr>
              <w:noProof/>
            </w:rPr>
            <w:t>131</w:t>
          </w:r>
        </w:fldSimple>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38D" w:rsidRDefault="0084338D">
    <w:pPr>
      <w:pStyle w:val="Stopka"/>
    </w:pPr>
    <w:r>
      <w:rPr>
        <w:noProof/>
        <w:lang w:eastAsia="pl-PL"/>
      </w:rPr>
      <w:drawing>
        <wp:inline distT="0" distB="0" distL="0" distR="0">
          <wp:extent cx="5760720" cy="607060"/>
          <wp:effectExtent l="0" t="0" r="0" b="2540"/>
          <wp:docPr id="179658219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128881" name="Obraz 101212888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60720" cy="607060"/>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338D" w:rsidRDefault="0084338D" w:rsidP="00171F89">
      <w:pPr>
        <w:spacing w:after="0" w:line="240" w:lineRule="auto"/>
      </w:pPr>
      <w:r>
        <w:separator/>
      </w:r>
    </w:p>
  </w:footnote>
  <w:footnote w:type="continuationSeparator" w:id="0">
    <w:p w:rsidR="0084338D" w:rsidRDefault="0084338D" w:rsidP="00171F89">
      <w:pPr>
        <w:spacing w:after="0" w:line="240" w:lineRule="auto"/>
      </w:pPr>
      <w:r>
        <w:continuationSeparator/>
      </w:r>
    </w:p>
  </w:footnote>
  <w:footnote w:id="1">
    <w:p w:rsidR="0084338D" w:rsidRPr="00D62CBB" w:rsidRDefault="0084338D">
      <w:pPr>
        <w:pStyle w:val="Tekstprzypisudolnego"/>
      </w:pPr>
      <w:r w:rsidRPr="00D62CBB">
        <w:rPr>
          <w:rStyle w:val="Odwoanieprzypisudolnego"/>
        </w:rPr>
        <w:footnoteRef/>
      </w:r>
      <w:r w:rsidRPr="00D62CBB">
        <w:t xml:space="preserve"> Wyjaśnienie: Plan zagospodarowania przestrzennego województwa dolnośląskiego przyjęty </w:t>
      </w:r>
      <w:hyperlink r:id="rId1" w:tooltip="Uchwała Sejmiku Województwa Dolnośląskiego nr XIX/482/20" w:history="1">
        <w:r w:rsidRPr="00D62CBB">
          <w:rPr>
            <w:rStyle w:val="Hipercze"/>
            <w:color w:val="auto"/>
            <w:u w:val="none"/>
          </w:rPr>
          <w:t>uchwałą nr XIX/482/20 Sejmiku Województwa Dolnośląskiego z dnia 16 czerwca 2020 r.</w:t>
        </w:r>
      </w:hyperlink>
      <w:r w:rsidRPr="00D62CBB">
        <w:t> opublikowaną w </w:t>
      </w:r>
      <w:hyperlink r:id="rId2" w:tooltip="Dziennik Urzędowy Województwa Dolnośląskiego 2020 poz. 4036" w:history="1">
        <w:r w:rsidRPr="00D62CBB">
          <w:rPr>
            <w:rStyle w:val="Hipercze"/>
            <w:color w:val="auto"/>
            <w:u w:val="none"/>
          </w:rPr>
          <w:t>Dzienniku Urzędowym Województwa Dolnośląskiego z dnia 30 czerwca 2020 r. pod poz. 4036</w:t>
        </w:r>
      </w:hyperlink>
      <w:r w:rsidRPr="00D62CBB">
        <w:t>.</w:t>
      </w:r>
    </w:p>
  </w:footnote>
  <w:footnote w:id="2">
    <w:p w:rsidR="0084338D" w:rsidRDefault="0084338D" w:rsidP="0070438F">
      <w:pPr>
        <w:pStyle w:val="Tekstprzypisudolnego"/>
      </w:pPr>
      <w:r>
        <w:rPr>
          <w:rStyle w:val="Odwoanieprzypisudolnego"/>
        </w:rPr>
        <w:footnoteRef/>
      </w:r>
      <w:r>
        <w:t xml:space="preserve"> Opracowanego przez Ośrodek Przetwarzania Informacji Państwowy Instytut Badawczy oraz Ministerstwo Nauki i Szkolnictwa Wyższego</w:t>
      </w:r>
    </w:p>
  </w:footnote>
  <w:footnote w:id="3">
    <w:p w:rsidR="0084338D" w:rsidRDefault="0084338D">
      <w:pPr>
        <w:pStyle w:val="Tekstprzypisudolnego"/>
      </w:pPr>
      <w:r>
        <w:rPr>
          <w:rStyle w:val="Odwoanieprzypisudolnego"/>
        </w:rPr>
        <w:footnoteRef/>
      </w:r>
      <w:r>
        <w:t xml:space="preserve"> Źródło: Z</w:t>
      </w:r>
      <w:r w:rsidRPr="00715133">
        <w:t>drowa przyszłość ramy strategiczne rozwoju systemu ochrony zdrowia na lata 2021–2027, z</w:t>
      </w:r>
      <w:r>
        <w:t> </w:t>
      </w:r>
      <w:r w:rsidRPr="00715133">
        <w:t>perspektywą do 2030 r</w:t>
      </w:r>
    </w:p>
  </w:footnote>
  <w:footnote w:id="4">
    <w:p w:rsidR="0084338D" w:rsidRDefault="0084338D">
      <w:pPr>
        <w:pStyle w:val="Tekstprzypisudolnego"/>
      </w:pPr>
      <w:r>
        <w:rPr>
          <w:rStyle w:val="Odwoanieprzypisudolnego"/>
        </w:rPr>
        <w:footnoteRef/>
      </w:r>
      <w:r>
        <w:t xml:space="preserve"> Na podstawie R</w:t>
      </w:r>
      <w:r w:rsidRPr="004A600C">
        <w:t>aportu Organizacji Współpracy Gospodarczej i Rozwoju „</w:t>
      </w:r>
      <w:r w:rsidRPr="00D62CBB">
        <w:t>Strategia umiejętności OECD</w:t>
      </w:r>
      <w:r w:rsidRPr="004A600C">
        <w:t>: </w:t>
      </w:r>
      <w:r w:rsidRPr="00D62CBB">
        <w:t>Polska</w:t>
      </w:r>
      <w:r>
        <w:t>:, 2019 rok</w:t>
      </w:r>
    </w:p>
  </w:footnote>
  <w:footnote w:id="5">
    <w:p w:rsidR="0084338D" w:rsidRDefault="0084338D">
      <w:pPr>
        <w:pStyle w:val="Tekstprzypisudolnego"/>
      </w:pPr>
      <w:r>
        <w:rPr>
          <w:rStyle w:val="Odwoanieprzypisudolnego"/>
        </w:rPr>
        <w:footnoteRef/>
      </w:r>
      <w:r>
        <w:t xml:space="preserve"> Za: </w:t>
      </w:r>
      <w:hyperlink r:id="rId3" w:history="1">
        <w:r w:rsidRPr="004A600C">
          <w:rPr>
            <w:rStyle w:val="Hipercze"/>
          </w:rPr>
          <w:t>Strategia Produktywności 2030 - Ministerstwo Rozwoju i Technologii - Portal Gov.pl</w:t>
        </w:r>
      </w:hyperlink>
      <w:r>
        <w:t>, dostęp 29.01.2025 r.</w:t>
      </w:r>
    </w:p>
  </w:footnote>
  <w:footnote w:id="6">
    <w:p w:rsidR="0084338D" w:rsidRDefault="0084338D">
      <w:pPr>
        <w:pStyle w:val="Tekstprzypisudolnego"/>
      </w:pPr>
      <w:r>
        <w:rPr>
          <w:rStyle w:val="Odwoanieprzypisudolnego"/>
        </w:rPr>
        <w:footnoteRef/>
      </w:r>
      <w:r>
        <w:t xml:space="preserve"> Źródło: </w:t>
      </w:r>
      <w:r w:rsidRPr="00912947">
        <w:t>Strategia produktywności 2030</w:t>
      </w:r>
    </w:p>
  </w:footnote>
  <w:footnote w:id="7">
    <w:p w:rsidR="0084338D" w:rsidRDefault="0084338D" w:rsidP="00AD3564">
      <w:pPr>
        <w:pStyle w:val="Tekstprzypisudolnego"/>
      </w:pPr>
      <w:r>
        <w:rPr>
          <w:rStyle w:val="Odwoanieprzypisudolnego"/>
        </w:rPr>
        <w:footnoteRef/>
      </w:r>
      <w:r>
        <w:t xml:space="preserve"> </w:t>
      </w:r>
      <w:r w:rsidRPr="00F35A11">
        <w:t xml:space="preserve">MICE to skrót od słów </w:t>
      </w:r>
      <w:proofErr w:type="spellStart"/>
      <w:r w:rsidRPr="00F35A11">
        <w:t>Meetings</w:t>
      </w:r>
      <w:proofErr w:type="spellEnd"/>
      <w:r w:rsidRPr="00F35A11">
        <w:t xml:space="preserve">, </w:t>
      </w:r>
      <w:proofErr w:type="spellStart"/>
      <w:r w:rsidRPr="00F35A11">
        <w:t>Incentives</w:t>
      </w:r>
      <w:proofErr w:type="spellEnd"/>
      <w:r w:rsidRPr="00F35A11">
        <w:t xml:space="preserve">, </w:t>
      </w:r>
      <w:proofErr w:type="spellStart"/>
      <w:r w:rsidRPr="00F35A11">
        <w:t>Conferences</w:t>
      </w:r>
      <w:proofErr w:type="spellEnd"/>
      <w:r w:rsidRPr="00F35A11">
        <w:t xml:space="preserve">, </w:t>
      </w:r>
      <w:proofErr w:type="spellStart"/>
      <w:r w:rsidRPr="00F35A11">
        <w:t>Exhibitions</w:t>
      </w:r>
      <w:proofErr w:type="spellEnd"/>
      <w:r w:rsidRPr="00F35A11">
        <w:t>. Oznacza to zbiór eventów – zarówno spotkania biznesowe, imprezy motywacyjne, oficjalne konferencje, imprezy targowe, jak również imprezy branżowe.</w:t>
      </w:r>
    </w:p>
  </w:footnote>
  <w:footnote w:id="8">
    <w:p w:rsidR="0084338D" w:rsidRPr="00DF1B82" w:rsidRDefault="0084338D" w:rsidP="00797D2E">
      <w:pPr>
        <w:pStyle w:val="Tekstprzypisudolnego"/>
        <w:rPr>
          <w:lang w:val="en-US"/>
        </w:rPr>
      </w:pPr>
      <w:r>
        <w:rPr>
          <w:rStyle w:val="Odwoanieprzypisudolnego"/>
        </w:rPr>
        <w:footnoteRef/>
      </w:r>
      <w:r w:rsidRPr="00DF1B82">
        <w:rPr>
          <w:lang w:val="en-US"/>
        </w:rPr>
        <w:t xml:space="preserve"> </w:t>
      </w:r>
      <w:proofErr w:type="spellStart"/>
      <w:r w:rsidRPr="00DF1B82">
        <w:rPr>
          <w:lang w:val="en-US"/>
        </w:rPr>
        <w:t>Źródło</w:t>
      </w:r>
      <w:proofErr w:type="spellEnd"/>
      <w:r w:rsidRPr="00DF1B82">
        <w:rPr>
          <w:lang w:val="en-US"/>
        </w:rPr>
        <w:t xml:space="preserve">: </w:t>
      </w:r>
      <w:hyperlink r:id="rId4" w:anchor="nights-spent" w:history="1">
        <w:r w:rsidRPr="00DF1B82">
          <w:rPr>
            <w:rStyle w:val="Hipercze"/>
            <w:lang w:val="en-US"/>
          </w:rPr>
          <w:t>Regions in Europe – 2024 edition - Interactive publications - Eurostat</w:t>
        </w:r>
      </w:hyperlink>
      <w:r w:rsidRPr="00DF1B82">
        <w:rPr>
          <w:lang w:val="en-US"/>
        </w:rPr>
        <w:t>, dostęp 29.04.2025 r.</w:t>
      </w:r>
    </w:p>
  </w:footnote>
  <w:footnote w:id="9">
    <w:p w:rsidR="0084338D" w:rsidRDefault="0084338D" w:rsidP="001314EE">
      <w:pPr>
        <w:pStyle w:val="Tekstprzypisudolnego"/>
      </w:pPr>
      <w:r>
        <w:rPr>
          <w:rStyle w:val="Odwoanieprzypisudolnego"/>
        </w:rPr>
        <w:footnoteRef/>
      </w:r>
      <w:r>
        <w:t xml:space="preserve"> Źródło: </w:t>
      </w:r>
      <w:r w:rsidRPr="00FE27E9">
        <w:t>https://www.cpk.pl/</w:t>
      </w:r>
    </w:p>
  </w:footnote>
  <w:footnote w:id="10">
    <w:p w:rsidR="0084338D" w:rsidRDefault="0084338D" w:rsidP="004A5F21">
      <w:pPr>
        <w:pStyle w:val="Tekstprzypisudolnego"/>
      </w:pPr>
      <w:r>
        <w:rPr>
          <w:rStyle w:val="Odwoanieprzypisudolnego"/>
        </w:rPr>
        <w:footnoteRef/>
      </w:r>
      <w:r>
        <w:t xml:space="preserve"> Polityka rozwoju lotnictwa cywilnego w Polsce </w:t>
      </w:r>
      <w:r w:rsidRPr="00800D2A">
        <w:t>do 2030 r. (z perspektywą do 2040 r.</w:t>
      </w:r>
      <w:r>
        <w:t xml:space="preserve">) opracowana została przez Ministerstwo Infrastruktury i przyjęta została przez </w:t>
      </w:r>
      <w:r w:rsidRPr="00800D2A">
        <w:t>Rad</w:t>
      </w:r>
      <w:r>
        <w:t>ę</w:t>
      </w:r>
      <w:r w:rsidRPr="00800D2A">
        <w:t xml:space="preserve"> Ministrów w dniu 21 listopada 2023 r. uchwał</w:t>
      </w:r>
      <w:r>
        <w:t>ą</w:t>
      </w:r>
      <w:r w:rsidRPr="00800D2A">
        <w:t xml:space="preserve"> nr 228/2023</w:t>
      </w:r>
      <w:r>
        <w:t>.</w:t>
      </w:r>
    </w:p>
  </w:footnote>
  <w:footnote w:id="11">
    <w:p w:rsidR="0084338D" w:rsidRDefault="0084338D">
      <w:pPr>
        <w:pStyle w:val="Tekstprzypisudolnego"/>
      </w:pPr>
      <w:r>
        <w:rPr>
          <w:rStyle w:val="Odwoanieprzypisudolnego"/>
        </w:rPr>
        <w:footnoteRef/>
      </w:r>
      <w:r>
        <w:t xml:space="preserve"> Tamże, s. 93</w:t>
      </w:r>
    </w:p>
  </w:footnote>
  <w:footnote w:id="12">
    <w:p w:rsidR="0084338D" w:rsidRDefault="0084338D">
      <w:pPr>
        <w:pStyle w:val="Tekstprzypisudolnego"/>
      </w:pPr>
      <w:r>
        <w:rPr>
          <w:rStyle w:val="Odwoanieprzypisudolnego"/>
        </w:rPr>
        <w:footnoteRef/>
      </w:r>
      <w:r>
        <w:t xml:space="preserve"> Źródło: </w:t>
      </w:r>
      <w:r w:rsidRPr="00015001">
        <w:t>Unijna Strategia na rzecz bioróżnorodności 2030</w:t>
      </w:r>
    </w:p>
  </w:footnote>
  <w:footnote w:id="13">
    <w:p w:rsidR="0084338D" w:rsidRDefault="0084338D">
      <w:pPr>
        <w:pStyle w:val="Tekstprzypisudolnego"/>
      </w:pPr>
      <w:r>
        <w:rPr>
          <w:rStyle w:val="Odwoanieprzypisudolnego"/>
        </w:rPr>
        <w:footnoteRef/>
      </w:r>
      <w:r>
        <w:t xml:space="preserve"> Źródło: informacje umieszczone na profilu internetowym Ministerstwa Obrony Narodowej w zakładce Koncepcja obronna kraju/. Środowisko bezpieczeństwa RP; </w:t>
      </w:r>
      <w:hyperlink r:id="rId5" w:history="1">
        <w:r w:rsidRPr="00134419">
          <w:rPr>
            <w:rStyle w:val="Hipercze"/>
          </w:rPr>
          <w:t>https://www.gov.pl/web/obrona-narodowa/rodowisko-bezpieczenstwa-rp</w:t>
        </w:r>
      </w:hyperlink>
      <w:r>
        <w:t>, dostęp 29.01.2025 r.</w:t>
      </w:r>
    </w:p>
  </w:footnote>
  <w:footnote w:id="14">
    <w:p w:rsidR="0084338D" w:rsidRDefault="0084338D">
      <w:pPr>
        <w:pStyle w:val="Tekstprzypisudolnego"/>
      </w:pPr>
      <w:r>
        <w:rPr>
          <w:rStyle w:val="Odwoanieprzypisudolnego"/>
        </w:rPr>
        <w:footnoteRef/>
      </w:r>
      <w:r>
        <w:t xml:space="preserve"> Źródło: </w:t>
      </w:r>
      <w:hyperlink r:id="rId6" w:history="1">
        <w:r w:rsidRPr="00C347A6">
          <w:rPr>
            <w:rStyle w:val="Hipercze"/>
          </w:rPr>
          <w:t>https://commission.europa.eu/priorities-2024-2029</w:t>
        </w:r>
      </w:hyperlink>
    </w:p>
  </w:footnote>
  <w:footnote w:id="15">
    <w:p w:rsidR="0084338D" w:rsidRPr="00EB66A7" w:rsidRDefault="0084338D" w:rsidP="003F2B0C">
      <w:pPr>
        <w:pStyle w:val="Tekstprzypisudolnego"/>
        <w:jc w:val="left"/>
        <w:rPr>
          <w:i/>
          <w:iCs/>
          <w:sz w:val="18"/>
          <w:szCs w:val="18"/>
        </w:rPr>
      </w:pPr>
      <w:r w:rsidRPr="00EB66A7">
        <w:rPr>
          <w:rStyle w:val="Odwoanieprzypisudolnego"/>
          <w:i/>
          <w:iCs/>
          <w:color w:val="000000" w:themeColor="text1"/>
          <w:sz w:val="18"/>
          <w:szCs w:val="18"/>
        </w:rPr>
        <w:footnoteRef/>
      </w:r>
      <w:r w:rsidRPr="00EB66A7">
        <w:rPr>
          <w:i/>
          <w:iCs/>
          <w:color w:val="000000" w:themeColor="text1"/>
          <w:sz w:val="18"/>
          <w:szCs w:val="18"/>
        </w:rPr>
        <w:t xml:space="preserve"> </w:t>
      </w:r>
      <w:hyperlink r:id="rId7" w:history="1">
        <w:r w:rsidRPr="00EB66A7">
          <w:rPr>
            <w:rStyle w:val="Hipercze"/>
            <w:i/>
            <w:iCs/>
            <w:color w:val="000000" w:themeColor="text1"/>
            <w:sz w:val="18"/>
            <w:szCs w:val="18"/>
          </w:rPr>
          <w:t>https://www.eog.gov.pl/strony/aktualnosci/nowy-fundusz-spoleczenstwa-obywatelskiego-w-ramach-funduszy-norweskich-i-eog/</w:t>
        </w:r>
      </w:hyperlink>
      <w:r w:rsidRPr="00EB66A7">
        <w:rPr>
          <w:i/>
          <w:iCs/>
          <w:color w:val="000000" w:themeColor="text1"/>
          <w:sz w:val="18"/>
          <w:szCs w:val="18"/>
        </w:rPr>
        <w:t>, dostęp 21.02.2025</w:t>
      </w:r>
    </w:p>
  </w:footnote>
  <w:footnote w:id="16">
    <w:p w:rsidR="0084338D" w:rsidRDefault="0084338D" w:rsidP="003F2B0C">
      <w:pPr>
        <w:pStyle w:val="Tekstprzypisudolnego"/>
      </w:pPr>
      <w:r>
        <w:rPr>
          <w:rStyle w:val="Odwoanieprzypisudolnego"/>
        </w:rPr>
        <w:footnoteRef/>
      </w:r>
      <w:r>
        <w:t xml:space="preserve"> </w:t>
      </w:r>
      <w:hyperlink r:id="rId8" w:history="1">
        <w:r w:rsidRPr="00DA079B">
          <w:rPr>
            <w:rStyle w:val="Hipercze"/>
          </w:rPr>
          <w:t>https://www.gov.pl/web/rozwoj-technologia/program-wspolpracy-z-organizacjami-pozarzadowymi-i-innymi-interesariuszami-na-lata-2025-2026</w:t>
        </w:r>
      </w:hyperlink>
      <w:r>
        <w:t>, dostęp 19.02.2025</w:t>
      </w:r>
    </w:p>
  </w:footnote>
  <w:footnote w:id="17">
    <w:p w:rsidR="0084338D" w:rsidRPr="009565FD" w:rsidRDefault="0084338D" w:rsidP="003F2B0C">
      <w:pPr>
        <w:pStyle w:val="Tekstprzypisudolnego"/>
        <w:jc w:val="left"/>
        <w:rPr>
          <w:i/>
          <w:iCs/>
          <w:sz w:val="18"/>
          <w:szCs w:val="18"/>
        </w:rPr>
      </w:pPr>
      <w:r w:rsidRPr="009565FD">
        <w:rPr>
          <w:rStyle w:val="Odwoanieprzypisudolnego"/>
          <w:i/>
          <w:iCs/>
          <w:color w:val="000000" w:themeColor="text1"/>
          <w:sz w:val="18"/>
          <w:szCs w:val="18"/>
        </w:rPr>
        <w:footnoteRef/>
      </w:r>
      <w:r w:rsidRPr="009565FD">
        <w:rPr>
          <w:i/>
          <w:iCs/>
          <w:color w:val="000000" w:themeColor="text1"/>
          <w:sz w:val="18"/>
          <w:szCs w:val="18"/>
        </w:rPr>
        <w:t xml:space="preserve"> </w:t>
      </w:r>
      <w:hyperlink r:id="rId9" w:history="1">
        <w:r w:rsidRPr="009565FD">
          <w:rPr>
            <w:rStyle w:val="Hipercze"/>
            <w:i/>
            <w:iCs/>
            <w:color w:val="000000" w:themeColor="text1"/>
            <w:sz w:val="18"/>
            <w:szCs w:val="18"/>
          </w:rPr>
          <w:t>https://www.gov.pl/web/rozwoj-technologia/pomoc-publiczna-na-realizacje-projektow-inwestycyjnych-o-znaczeniu-strategicznym-dla-przejscia-na-gospodarke-o-zerowej-emisji-netto</w:t>
        </w:r>
      </w:hyperlink>
      <w:r w:rsidRPr="009565FD">
        <w:rPr>
          <w:i/>
          <w:iCs/>
          <w:color w:val="000000" w:themeColor="text1"/>
          <w:sz w:val="18"/>
          <w:szCs w:val="18"/>
        </w:rPr>
        <w:t>, dostęp 19.02.2025</w:t>
      </w:r>
    </w:p>
  </w:footnote>
  <w:footnote w:id="18">
    <w:p w:rsidR="0084338D" w:rsidRDefault="0084338D" w:rsidP="003F2B0C">
      <w:pPr>
        <w:pStyle w:val="Tekstprzypisudolnego"/>
      </w:pPr>
      <w:r>
        <w:rPr>
          <w:rStyle w:val="Odwoanieprzypisudolnego"/>
        </w:rPr>
        <w:footnoteRef/>
      </w:r>
      <w:r>
        <w:t xml:space="preserve"> </w:t>
      </w:r>
      <w:hyperlink r:id="rId10" w:history="1">
        <w:r w:rsidRPr="00901F52">
          <w:rPr>
            <w:rStyle w:val="Hipercze"/>
          </w:rPr>
          <w:t>https://irt.wroc.pl/strona-317-plan_wojewodztwa.html</w:t>
        </w:r>
      </w:hyperlink>
      <w:r>
        <w:t>, dostęp 7.02.2025</w:t>
      </w:r>
    </w:p>
  </w:footnote>
  <w:footnote w:id="19">
    <w:p w:rsidR="0084338D" w:rsidRDefault="0084338D" w:rsidP="003F2B0C">
      <w:pPr>
        <w:pStyle w:val="Tekstprzypisudolnego"/>
      </w:pPr>
      <w:r>
        <w:rPr>
          <w:rStyle w:val="Odwoanieprzypisudolnego"/>
        </w:rPr>
        <w:footnoteRef/>
      </w:r>
      <w:r w:rsidRPr="00504C41">
        <w:rPr>
          <w:i/>
          <w:iCs/>
          <w:sz w:val="18"/>
          <w:szCs w:val="18"/>
        </w:rPr>
        <w:t>Walczewski W., Zathey M., Wybrane aspekty funkcjonowania miejskich obszarów funkcjonalnych na przykładzie Polski, Niemiec i Czech, str. 110</w:t>
      </w:r>
    </w:p>
  </w:footnote>
  <w:footnote w:id="20">
    <w:p w:rsidR="0084338D" w:rsidRPr="00E86243" w:rsidRDefault="0084338D" w:rsidP="003F2B0C">
      <w:pPr>
        <w:pStyle w:val="Tekstprzypisudolnego"/>
      </w:pPr>
      <w:r>
        <w:rPr>
          <w:rStyle w:val="Odwoanieprzypisudolnego"/>
        </w:rPr>
        <w:footnoteRef/>
      </w:r>
      <w:r w:rsidRPr="00E86243">
        <w:t xml:space="preserve"> </w:t>
      </w:r>
      <w:hyperlink r:id="rId11" w:history="1">
        <w:r w:rsidRPr="00E86243">
          <w:rPr>
            <w:rStyle w:val="Hipercze"/>
            <w:i/>
            <w:iCs/>
            <w:color w:val="000000" w:themeColor="text1"/>
            <w:sz w:val="18"/>
            <w:szCs w:val="18"/>
          </w:rPr>
          <w:t>https://metropolitni.brno.cz/en/book/populacni-prognoza-brna-a-odhad-populacniho-vyvoje-bmo-do-roku-2071/</w:t>
        </w:r>
      </w:hyperlink>
      <w:r w:rsidRPr="00E86243">
        <w:rPr>
          <w:i/>
          <w:iCs/>
          <w:color w:val="000000" w:themeColor="text1"/>
          <w:sz w:val="18"/>
          <w:szCs w:val="18"/>
        </w:rPr>
        <w:t>, dostęp 20.02.2025</w:t>
      </w:r>
    </w:p>
  </w:footnote>
  <w:footnote w:id="21">
    <w:p w:rsidR="0084338D" w:rsidRDefault="0084338D" w:rsidP="003F2B0C">
      <w:pPr>
        <w:pStyle w:val="Tekstprzypisudolnego"/>
      </w:pPr>
      <w:r>
        <w:rPr>
          <w:rStyle w:val="Odwoanieprzypisudolnego"/>
        </w:rPr>
        <w:footnoteRef/>
      </w:r>
      <w:r>
        <w:t xml:space="preserve"> Dane za rok 2023 dostępne są w bazie danych Eurostat jedynie w podziale na jednostki NUTS 2. </w:t>
      </w:r>
    </w:p>
  </w:footnote>
  <w:footnote w:id="22">
    <w:p w:rsidR="0084338D" w:rsidRPr="007A41E6" w:rsidRDefault="0084338D" w:rsidP="003F2B0C">
      <w:pPr>
        <w:pStyle w:val="Tekstprzypisudolnego"/>
        <w:jc w:val="left"/>
      </w:pPr>
      <w:r>
        <w:rPr>
          <w:rStyle w:val="Odwoanieprzypisudolnego"/>
        </w:rPr>
        <w:footnoteRef/>
      </w:r>
      <w:r w:rsidRPr="007A41E6">
        <w:t xml:space="preserve"> </w:t>
      </w:r>
      <w:hyperlink r:id="rId12" w:anchor="data_s=id%3AdataSource_42-193a0cd5f26-layer-16%3A184%2Cid%3AdataSource_67-19294adb767-layer-3%3A182" w:history="1">
        <w:r w:rsidRPr="007A41E6">
          <w:rPr>
            <w:noProof/>
            <w:sz w:val="18"/>
            <w:szCs w:val="18"/>
            <w:lang w:eastAsia="pl-PL"/>
          </w:rPr>
          <w:t>https://experience.arcgis.com/experience/eb1f02f8fa1641e5829fa1d88a6ebd8f/page/Po%C4%8Det-uchaze%C4%8D%C5%AF-o-zam%C4%9Bstn%C3%A1n%C3%AD?views=Zobrazen%C3%AD%2CZobrazen%C3%AD-12#data_s=id%3AdataSource_42-193a0cd5f26-layer-16%3A184%2Cid%3AdataSource_67-19294adb767-layer-3%3A182</w:t>
        </w:r>
      </w:hyperlink>
      <w:r w:rsidRPr="007A41E6">
        <w:rPr>
          <w:noProof/>
          <w:sz w:val="18"/>
          <w:szCs w:val="18"/>
          <w:lang w:eastAsia="pl-PL"/>
        </w:rPr>
        <w:t>, dostęp 24.03.2025</w:t>
      </w:r>
    </w:p>
  </w:footnote>
  <w:footnote w:id="23">
    <w:p w:rsidR="0084338D" w:rsidRPr="000E2D55" w:rsidRDefault="0084338D" w:rsidP="003F2B0C">
      <w:pPr>
        <w:pStyle w:val="Tekstprzypisudolnego"/>
        <w:rPr>
          <w:lang w:val="en-US"/>
        </w:rPr>
      </w:pPr>
      <w:r>
        <w:rPr>
          <w:rStyle w:val="Odwoanieprzypisudolnego"/>
        </w:rPr>
        <w:footnoteRef/>
      </w:r>
      <w:hyperlink r:id="rId13" w:history="1">
        <w:r w:rsidRPr="000E2D55">
          <w:rPr>
            <w:rStyle w:val="Hipercze"/>
            <w:lang w:val="en-US"/>
          </w:rPr>
          <w:t>Innovation Cities™ Index 2022-2023 : Europe - Most Developed and Innovative cities</w:t>
        </w:r>
      </w:hyperlink>
    </w:p>
  </w:footnote>
  <w:footnote w:id="24">
    <w:p w:rsidR="0084338D" w:rsidRPr="00C303FD" w:rsidRDefault="0084338D" w:rsidP="003F2B0C">
      <w:pPr>
        <w:pStyle w:val="Tekstprzypisudolnego"/>
      </w:pPr>
      <w:r>
        <w:rPr>
          <w:rStyle w:val="Odwoanieprzypisudolnego"/>
        </w:rPr>
        <w:footnoteRef/>
      </w:r>
      <w:r w:rsidRPr="00C303FD">
        <w:t xml:space="preserve"> </w:t>
      </w:r>
      <w:hyperlink r:id="rId14" w:anchor="abreadcrumb" w:history="1">
        <w:r w:rsidRPr="00C303FD">
          <w:rPr>
            <w:rStyle w:val="Hipercze"/>
          </w:rPr>
          <w:t>https://www.statistik.sachsen.de/genonline/online?operation=abruftabelleBearbeiten&amp;levelindex=1&amp;levelid=1743765356061&amp;auswahloperation=abruftabelleAuspraegungAuswaehlen&amp;auswahlverzeichnis=ordnungsstruktur&amp;auswahlziel=werteabruf&amp;code=32121-002K&amp;auswahltext=&amp;nummer=4&amp;variable=4&amp;name=KRS50P&amp;werteabruf=Werteabruf#abreadcrumb</w:t>
        </w:r>
      </w:hyperlink>
      <w:r w:rsidRPr="00C303FD">
        <w:t>, do</w:t>
      </w:r>
      <w:r>
        <w:t>stęp 26.03.2025</w:t>
      </w:r>
    </w:p>
  </w:footnote>
  <w:footnote w:id="25">
    <w:p w:rsidR="0084338D" w:rsidRPr="00371679" w:rsidRDefault="0084338D" w:rsidP="003F2B0C">
      <w:pPr>
        <w:pStyle w:val="Tekstprzypisudolnego"/>
      </w:pPr>
      <w:r w:rsidRPr="00371679">
        <w:rPr>
          <w:rStyle w:val="Odwoanieprzypisudolnego"/>
          <w:sz w:val="18"/>
          <w:szCs w:val="18"/>
        </w:rPr>
        <w:footnoteRef/>
      </w:r>
      <w:hyperlink r:id="rId15" w:history="1">
        <w:r w:rsidRPr="00371679">
          <w:rPr>
            <w:rStyle w:val="Hipercze"/>
            <w:i/>
            <w:iCs/>
            <w:sz w:val="18"/>
            <w:szCs w:val="18"/>
          </w:rPr>
          <w:t>https://www.erlebnisregion-dresden.de/startseite.html</w:t>
        </w:r>
      </w:hyperlink>
      <w:r w:rsidRPr="00371679">
        <w:rPr>
          <w:rStyle w:val="Hipercze"/>
          <w:i/>
          <w:iCs/>
          <w:color w:val="000000" w:themeColor="text1"/>
          <w:sz w:val="18"/>
          <w:szCs w:val="18"/>
        </w:rPr>
        <w:t>, dostęp 27.01.2025</w:t>
      </w:r>
    </w:p>
  </w:footnote>
  <w:footnote w:id="26">
    <w:p w:rsidR="0084338D" w:rsidRDefault="0084338D" w:rsidP="003F2B0C">
      <w:pPr>
        <w:pStyle w:val="Tekstprzypisudolnego"/>
      </w:pPr>
      <w:r>
        <w:rPr>
          <w:rStyle w:val="Odwoanieprzypisudolnego"/>
        </w:rPr>
        <w:footnoteRef/>
      </w:r>
      <w:r>
        <w:t xml:space="preserve"> </w:t>
      </w:r>
      <w:hyperlink r:id="rId16" w:history="1">
        <w:r w:rsidRPr="00B90F02">
          <w:rPr>
            <w:rStyle w:val="Hipercze"/>
          </w:rPr>
          <w:t>https://metropolitni.brno.cz/en/o-bmo/strategy/</w:t>
        </w:r>
      </w:hyperlink>
      <w:r>
        <w:t>, dostęp 17.03.2025</w:t>
      </w:r>
    </w:p>
  </w:footnote>
  <w:footnote w:id="27">
    <w:p w:rsidR="0084338D" w:rsidRDefault="0084338D" w:rsidP="003F2B0C">
      <w:pPr>
        <w:pStyle w:val="Tekstprzypisudolnego"/>
        <w:jc w:val="left"/>
      </w:pPr>
      <w:r>
        <w:rPr>
          <w:rStyle w:val="Odwoanieprzypisudolnego"/>
        </w:rPr>
        <w:footnoteRef/>
      </w:r>
      <w:r>
        <w:t xml:space="preserve"> </w:t>
      </w:r>
      <w:hyperlink r:id="rId17" w:history="1">
        <w:r w:rsidRPr="00B22BC0">
          <w:rPr>
            <w:rStyle w:val="Hipercze"/>
            <w:i/>
            <w:iCs/>
            <w:color w:val="000000" w:themeColor="text1"/>
            <w:sz w:val="18"/>
            <w:szCs w:val="18"/>
          </w:rPr>
          <w:t>https://www.dresden.de/de/stadtraum/planen/stadtentwicklung/stadtentwicklung/integrierte-stadtentwicklungsplanung.php</w:t>
        </w:r>
      </w:hyperlink>
      <w:r w:rsidRPr="00B22BC0">
        <w:rPr>
          <w:i/>
          <w:iCs/>
          <w:color w:val="000000" w:themeColor="text1"/>
          <w:sz w:val="18"/>
          <w:szCs w:val="18"/>
        </w:rPr>
        <w:t>, dostęp 20.02.2025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D5351"/>
    <w:multiLevelType w:val="hybridMultilevel"/>
    <w:tmpl w:val="369A15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88450E0"/>
    <w:multiLevelType w:val="hybridMultilevel"/>
    <w:tmpl w:val="B728EB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E0F7E3B"/>
    <w:multiLevelType w:val="hybridMultilevel"/>
    <w:tmpl w:val="FA5C3C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057112E"/>
    <w:multiLevelType w:val="hybridMultilevel"/>
    <w:tmpl w:val="9A0E93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12382CE7"/>
    <w:multiLevelType w:val="hybridMultilevel"/>
    <w:tmpl w:val="9418D5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179C6260"/>
    <w:multiLevelType w:val="hybridMultilevel"/>
    <w:tmpl w:val="9398AF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9B15D49"/>
    <w:multiLevelType w:val="hybridMultilevel"/>
    <w:tmpl w:val="FCDAE6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A71154B"/>
    <w:multiLevelType w:val="hybridMultilevel"/>
    <w:tmpl w:val="1F9E45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C4C44BD"/>
    <w:multiLevelType w:val="hybridMultilevel"/>
    <w:tmpl w:val="970664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C911BCA"/>
    <w:multiLevelType w:val="hybridMultilevel"/>
    <w:tmpl w:val="B8540E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01A471D"/>
    <w:multiLevelType w:val="multilevel"/>
    <w:tmpl w:val="B6E4D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2F83301"/>
    <w:multiLevelType w:val="hybridMultilevel"/>
    <w:tmpl w:val="BF2809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49E088F"/>
    <w:multiLevelType w:val="multilevel"/>
    <w:tmpl w:val="21E6C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6CB7670"/>
    <w:multiLevelType w:val="multilevel"/>
    <w:tmpl w:val="13A29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6F82607"/>
    <w:multiLevelType w:val="hybridMultilevel"/>
    <w:tmpl w:val="1F1263F8"/>
    <w:lvl w:ilvl="0" w:tplc="808882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9F31585"/>
    <w:multiLevelType w:val="hybridMultilevel"/>
    <w:tmpl w:val="7D5811BE"/>
    <w:lvl w:ilvl="0" w:tplc="808882F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2B4F432C"/>
    <w:multiLevelType w:val="hybridMultilevel"/>
    <w:tmpl w:val="5948B7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1D87A36"/>
    <w:multiLevelType w:val="hybridMultilevel"/>
    <w:tmpl w:val="6854D8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1F42B02"/>
    <w:multiLevelType w:val="hybridMultilevel"/>
    <w:tmpl w:val="5CE67C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35345B22"/>
    <w:multiLevelType w:val="multilevel"/>
    <w:tmpl w:val="18361F7C"/>
    <w:lvl w:ilvl="0">
      <w:start w:val="1"/>
      <w:numFmt w:val="decimal"/>
      <w:lvlText w:val="%1."/>
      <w:lvlJc w:val="left"/>
      <w:pPr>
        <w:ind w:left="360" w:hanging="360"/>
      </w:pPr>
      <w:rPr>
        <w:rFonts w:hint="default"/>
      </w:rPr>
    </w:lvl>
    <w:lvl w:ilvl="1">
      <w:start w:val="1"/>
      <w:numFmt w:val="decimal"/>
      <w:lvlText w:val="4.%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5DD0ED7"/>
    <w:multiLevelType w:val="hybridMultilevel"/>
    <w:tmpl w:val="EBB061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39D84BBE"/>
    <w:multiLevelType w:val="hybridMultilevel"/>
    <w:tmpl w:val="D52CA2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3A38486D"/>
    <w:multiLevelType w:val="hybridMultilevel"/>
    <w:tmpl w:val="DBF84B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3A422F09"/>
    <w:multiLevelType w:val="multilevel"/>
    <w:tmpl w:val="18361F7C"/>
    <w:lvl w:ilvl="0">
      <w:start w:val="1"/>
      <w:numFmt w:val="decimal"/>
      <w:lvlText w:val="%1."/>
      <w:lvlJc w:val="left"/>
      <w:pPr>
        <w:ind w:left="360" w:hanging="360"/>
      </w:pPr>
      <w:rPr>
        <w:rFonts w:hint="default"/>
      </w:rPr>
    </w:lvl>
    <w:lvl w:ilvl="1">
      <w:start w:val="1"/>
      <w:numFmt w:val="decimal"/>
      <w:lvlText w:val="4.%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3AA171AA"/>
    <w:multiLevelType w:val="hybridMultilevel"/>
    <w:tmpl w:val="CC84A2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3B975E13"/>
    <w:multiLevelType w:val="hybridMultilevel"/>
    <w:tmpl w:val="D64E113C"/>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nsid w:val="3C223447"/>
    <w:multiLevelType w:val="hybridMultilevel"/>
    <w:tmpl w:val="9D3E0038"/>
    <w:lvl w:ilvl="0" w:tplc="6A76B54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F804A83"/>
    <w:multiLevelType w:val="hybridMultilevel"/>
    <w:tmpl w:val="90908B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3FF73432"/>
    <w:multiLevelType w:val="hybridMultilevel"/>
    <w:tmpl w:val="58B0D4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40C45AE0"/>
    <w:multiLevelType w:val="hybridMultilevel"/>
    <w:tmpl w:val="4288B9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46555C43"/>
    <w:multiLevelType w:val="hybridMultilevel"/>
    <w:tmpl w:val="ECF4E7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48B57998"/>
    <w:multiLevelType w:val="hybridMultilevel"/>
    <w:tmpl w:val="EA74ECA4"/>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nsid w:val="4C122266"/>
    <w:multiLevelType w:val="hybridMultilevel"/>
    <w:tmpl w:val="927AD2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638061B2"/>
    <w:multiLevelType w:val="multilevel"/>
    <w:tmpl w:val="9FAC225C"/>
    <w:lvl w:ilvl="0">
      <w:start w:val="1"/>
      <w:numFmt w:val="decimal"/>
      <w:pStyle w:val="Nagwek1"/>
      <w:lvlText w:val="%1."/>
      <w:lvlJc w:val="left"/>
      <w:pPr>
        <w:ind w:left="720" w:hanging="360"/>
      </w:pPr>
    </w:lvl>
    <w:lvl w:ilvl="1">
      <w:start w:val="1"/>
      <w:numFmt w:val="decimal"/>
      <w:pStyle w:val="Nagwek2"/>
      <w:isLgl/>
      <w:lvlText w:val="%1.%2."/>
      <w:lvlJc w:val="left"/>
      <w:pPr>
        <w:ind w:left="1080" w:hanging="720"/>
      </w:pPr>
      <w:rPr>
        <w:rFonts w:hint="default"/>
      </w:rPr>
    </w:lvl>
    <w:lvl w:ilvl="2">
      <w:start w:val="1"/>
      <w:numFmt w:val="decimal"/>
      <w:pStyle w:val="Nagwek3"/>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4">
    <w:nsid w:val="679E6BC5"/>
    <w:multiLevelType w:val="hybridMultilevel"/>
    <w:tmpl w:val="9544ED82"/>
    <w:lvl w:ilvl="0" w:tplc="FFFFFFFF">
      <w:start w:val="1"/>
      <w:numFmt w:val="bullet"/>
      <w:lvlText w:val=""/>
      <w:lvlJc w:val="left"/>
      <w:pPr>
        <w:ind w:left="720" w:hanging="360"/>
      </w:pPr>
      <w:rPr>
        <w:rFonts w:ascii="Symbol" w:hAnsi="Symbol" w:hint="default"/>
      </w:rPr>
    </w:lvl>
    <w:lvl w:ilvl="1" w:tplc="808882F2">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nsid w:val="6BB0174A"/>
    <w:multiLevelType w:val="hybridMultilevel"/>
    <w:tmpl w:val="3C7818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6BCC41B4"/>
    <w:multiLevelType w:val="multilevel"/>
    <w:tmpl w:val="CF103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6BF43FCE"/>
    <w:multiLevelType w:val="hybridMultilevel"/>
    <w:tmpl w:val="F692DF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6E1F7A2A"/>
    <w:multiLevelType w:val="hybridMultilevel"/>
    <w:tmpl w:val="CC103F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6FB13495"/>
    <w:multiLevelType w:val="hybridMultilevel"/>
    <w:tmpl w:val="ECF034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70B46844"/>
    <w:multiLevelType w:val="hybridMultilevel"/>
    <w:tmpl w:val="8DD0DA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7659139B"/>
    <w:multiLevelType w:val="hybridMultilevel"/>
    <w:tmpl w:val="B4A471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770F3D22"/>
    <w:multiLevelType w:val="hybridMultilevel"/>
    <w:tmpl w:val="4AA295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78AA59D0"/>
    <w:multiLevelType w:val="hybridMultilevel"/>
    <w:tmpl w:val="934652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3"/>
  </w:num>
  <w:num w:numId="2">
    <w:abstractNumId w:val="31"/>
  </w:num>
  <w:num w:numId="3">
    <w:abstractNumId w:val="32"/>
  </w:num>
  <w:num w:numId="4">
    <w:abstractNumId w:val="20"/>
  </w:num>
  <w:num w:numId="5">
    <w:abstractNumId w:val="17"/>
  </w:num>
  <w:num w:numId="6">
    <w:abstractNumId w:val="42"/>
  </w:num>
  <w:num w:numId="7">
    <w:abstractNumId w:val="27"/>
  </w:num>
  <w:num w:numId="8">
    <w:abstractNumId w:val="25"/>
  </w:num>
  <w:num w:numId="9">
    <w:abstractNumId w:val="36"/>
  </w:num>
  <w:num w:numId="10">
    <w:abstractNumId w:val="13"/>
  </w:num>
  <w:num w:numId="11">
    <w:abstractNumId w:val="28"/>
  </w:num>
  <w:num w:numId="12">
    <w:abstractNumId w:val="41"/>
  </w:num>
  <w:num w:numId="13">
    <w:abstractNumId w:val="3"/>
  </w:num>
  <w:num w:numId="14">
    <w:abstractNumId w:val="9"/>
  </w:num>
  <w:num w:numId="15">
    <w:abstractNumId w:val="35"/>
  </w:num>
  <w:num w:numId="16">
    <w:abstractNumId w:val="37"/>
  </w:num>
  <w:num w:numId="17">
    <w:abstractNumId w:val="16"/>
  </w:num>
  <w:num w:numId="18">
    <w:abstractNumId w:val="40"/>
  </w:num>
  <w:num w:numId="19">
    <w:abstractNumId w:val="7"/>
  </w:num>
  <w:num w:numId="20">
    <w:abstractNumId w:val="10"/>
  </w:num>
  <w:num w:numId="21">
    <w:abstractNumId w:val="26"/>
  </w:num>
  <w:num w:numId="22">
    <w:abstractNumId w:val="18"/>
  </w:num>
  <w:num w:numId="23">
    <w:abstractNumId w:val="4"/>
  </w:num>
  <w:num w:numId="24">
    <w:abstractNumId w:val="8"/>
  </w:num>
  <w:num w:numId="25">
    <w:abstractNumId w:val="0"/>
  </w:num>
  <w:num w:numId="26">
    <w:abstractNumId w:val="2"/>
  </w:num>
  <w:num w:numId="27">
    <w:abstractNumId w:val="38"/>
  </w:num>
  <w:num w:numId="28">
    <w:abstractNumId w:val="5"/>
  </w:num>
  <w:num w:numId="29">
    <w:abstractNumId w:val="24"/>
  </w:num>
  <w:num w:numId="30">
    <w:abstractNumId w:val="6"/>
  </w:num>
  <w:num w:numId="31">
    <w:abstractNumId w:val="11"/>
  </w:num>
  <w:num w:numId="32">
    <w:abstractNumId w:val="29"/>
  </w:num>
  <w:num w:numId="33">
    <w:abstractNumId w:val="30"/>
  </w:num>
  <w:num w:numId="34">
    <w:abstractNumId w:val="21"/>
  </w:num>
  <w:num w:numId="35">
    <w:abstractNumId w:val="1"/>
  </w:num>
  <w:num w:numId="36">
    <w:abstractNumId w:val="22"/>
  </w:num>
  <w:num w:numId="37">
    <w:abstractNumId w:val="19"/>
  </w:num>
  <w:num w:numId="38">
    <w:abstractNumId w:val="39"/>
  </w:num>
  <w:num w:numId="39">
    <w:abstractNumId w:val="12"/>
  </w:num>
  <w:num w:numId="40">
    <w:abstractNumId w:val="14"/>
  </w:num>
  <w:num w:numId="41">
    <w:abstractNumId w:val="34"/>
  </w:num>
  <w:num w:numId="42">
    <w:abstractNumId w:val="15"/>
  </w:num>
  <w:num w:numId="43">
    <w:abstractNumId w:val="43"/>
  </w:num>
  <w:num w:numId="44">
    <w:abstractNumId w:val="23"/>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rsids>
    <w:rsidRoot w:val="0061444C"/>
    <w:rsid w:val="00000782"/>
    <w:rsid w:val="00001AFF"/>
    <w:rsid w:val="00001EFB"/>
    <w:rsid w:val="000055C4"/>
    <w:rsid w:val="0000760F"/>
    <w:rsid w:val="0000799F"/>
    <w:rsid w:val="00015001"/>
    <w:rsid w:val="00020520"/>
    <w:rsid w:val="0002730D"/>
    <w:rsid w:val="0003066B"/>
    <w:rsid w:val="00034CBF"/>
    <w:rsid w:val="00042854"/>
    <w:rsid w:val="00052EED"/>
    <w:rsid w:val="00054E60"/>
    <w:rsid w:val="000567DA"/>
    <w:rsid w:val="00057B1A"/>
    <w:rsid w:val="000608EA"/>
    <w:rsid w:val="00062C09"/>
    <w:rsid w:val="00075CE7"/>
    <w:rsid w:val="00077B8F"/>
    <w:rsid w:val="00081C23"/>
    <w:rsid w:val="00087A30"/>
    <w:rsid w:val="0009144B"/>
    <w:rsid w:val="000922EF"/>
    <w:rsid w:val="00093BFF"/>
    <w:rsid w:val="00094C36"/>
    <w:rsid w:val="000A1F66"/>
    <w:rsid w:val="000A7FD2"/>
    <w:rsid w:val="000B007C"/>
    <w:rsid w:val="000B0FA4"/>
    <w:rsid w:val="000B5749"/>
    <w:rsid w:val="000B5BE5"/>
    <w:rsid w:val="000B5EB8"/>
    <w:rsid w:val="000C0EB2"/>
    <w:rsid w:val="000D3A28"/>
    <w:rsid w:val="000D53F7"/>
    <w:rsid w:val="000D6BA9"/>
    <w:rsid w:val="000E1B79"/>
    <w:rsid w:val="000E1FC8"/>
    <w:rsid w:val="000E2D55"/>
    <w:rsid w:val="000E3372"/>
    <w:rsid w:val="000E3B87"/>
    <w:rsid w:val="000E5D9A"/>
    <w:rsid w:val="000E6712"/>
    <w:rsid w:val="000F3EAF"/>
    <w:rsid w:val="000F64C7"/>
    <w:rsid w:val="00100999"/>
    <w:rsid w:val="00102B2A"/>
    <w:rsid w:val="00104B17"/>
    <w:rsid w:val="00105B22"/>
    <w:rsid w:val="0011262D"/>
    <w:rsid w:val="00113728"/>
    <w:rsid w:val="001143BB"/>
    <w:rsid w:val="00115797"/>
    <w:rsid w:val="00116D1E"/>
    <w:rsid w:val="00117176"/>
    <w:rsid w:val="00127259"/>
    <w:rsid w:val="001314EE"/>
    <w:rsid w:val="001340C9"/>
    <w:rsid w:val="001358A4"/>
    <w:rsid w:val="001358B1"/>
    <w:rsid w:val="0013615C"/>
    <w:rsid w:val="00137506"/>
    <w:rsid w:val="00137AED"/>
    <w:rsid w:val="00145426"/>
    <w:rsid w:val="00147ED2"/>
    <w:rsid w:val="00171F89"/>
    <w:rsid w:val="001775E6"/>
    <w:rsid w:val="00180022"/>
    <w:rsid w:val="00184532"/>
    <w:rsid w:val="00184BBF"/>
    <w:rsid w:val="00185B1B"/>
    <w:rsid w:val="00186AF9"/>
    <w:rsid w:val="00190219"/>
    <w:rsid w:val="00190902"/>
    <w:rsid w:val="001963B5"/>
    <w:rsid w:val="001A697E"/>
    <w:rsid w:val="001B0C2D"/>
    <w:rsid w:val="001B1103"/>
    <w:rsid w:val="001B3842"/>
    <w:rsid w:val="001B5941"/>
    <w:rsid w:val="001C4A42"/>
    <w:rsid w:val="001C5A28"/>
    <w:rsid w:val="001D3719"/>
    <w:rsid w:val="001D673A"/>
    <w:rsid w:val="001D6CC8"/>
    <w:rsid w:val="001D7DC9"/>
    <w:rsid w:val="001E00A3"/>
    <w:rsid w:val="001E0ABF"/>
    <w:rsid w:val="001E11EB"/>
    <w:rsid w:val="001E3163"/>
    <w:rsid w:val="001F53C1"/>
    <w:rsid w:val="001F5E36"/>
    <w:rsid w:val="00203437"/>
    <w:rsid w:val="00205B33"/>
    <w:rsid w:val="00211199"/>
    <w:rsid w:val="002116E0"/>
    <w:rsid w:val="002125A7"/>
    <w:rsid w:val="00220F9D"/>
    <w:rsid w:val="002308CF"/>
    <w:rsid w:val="00230F87"/>
    <w:rsid w:val="002366A4"/>
    <w:rsid w:val="0024154B"/>
    <w:rsid w:val="00241A0F"/>
    <w:rsid w:val="00244259"/>
    <w:rsid w:val="0024677F"/>
    <w:rsid w:val="002504BA"/>
    <w:rsid w:val="00251487"/>
    <w:rsid w:val="0025440B"/>
    <w:rsid w:val="0026298A"/>
    <w:rsid w:val="00264D56"/>
    <w:rsid w:val="002706B5"/>
    <w:rsid w:val="0027258C"/>
    <w:rsid w:val="0027283F"/>
    <w:rsid w:val="00272C85"/>
    <w:rsid w:val="00272FFE"/>
    <w:rsid w:val="00273783"/>
    <w:rsid w:val="002737CB"/>
    <w:rsid w:val="00274F5E"/>
    <w:rsid w:val="00276167"/>
    <w:rsid w:val="00282855"/>
    <w:rsid w:val="00287E2E"/>
    <w:rsid w:val="0029258A"/>
    <w:rsid w:val="002A19EE"/>
    <w:rsid w:val="002A54BE"/>
    <w:rsid w:val="002A63FF"/>
    <w:rsid w:val="002B4316"/>
    <w:rsid w:val="002B54F2"/>
    <w:rsid w:val="002C2800"/>
    <w:rsid w:val="002C2BC3"/>
    <w:rsid w:val="002C315B"/>
    <w:rsid w:val="002C429F"/>
    <w:rsid w:val="002D11D9"/>
    <w:rsid w:val="002E18C3"/>
    <w:rsid w:val="002E486D"/>
    <w:rsid w:val="002E7B3E"/>
    <w:rsid w:val="002F1BDE"/>
    <w:rsid w:val="002F6A87"/>
    <w:rsid w:val="00301DA2"/>
    <w:rsid w:val="003031B6"/>
    <w:rsid w:val="00305126"/>
    <w:rsid w:val="00307BB0"/>
    <w:rsid w:val="003164CD"/>
    <w:rsid w:val="003211A1"/>
    <w:rsid w:val="0033178A"/>
    <w:rsid w:val="00333EB6"/>
    <w:rsid w:val="00336C8C"/>
    <w:rsid w:val="00336DE0"/>
    <w:rsid w:val="00337E8B"/>
    <w:rsid w:val="00340541"/>
    <w:rsid w:val="003405A0"/>
    <w:rsid w:val="00343E38"/>
    <w:rsid w:val="003444F0"/>
    <w:rsid w:val="00344BD8"/>
    <w:rsid w:val="00355C5D"/>
    <w:rsid w:val="00365B07"/>
    <w:rsid w:val="0036674F"/>
    <w:rsid w:val="00371679"/>
    <w:rsid w:val="00371B57"/>
    <w:rsid w:val="0037795F"/>
    <w:rsid w:val="00380CFF"/>
    <w:rsid w:val="003814FB"/>
    <w:rsid w:val="00383A2E"/>
    <w:rsid w:val="00384278"/>
    <w:rsid w:val="00390C3E"/>
    <w:rsid w:val="003955A4"/>
    <w:rsid w:val="00396875"/>
    <w:rsid w:val="003A7406"/>
    <w:rsid w:val="003B0336"/>
    <w:rsid w:val="003B2AF0"/>
    <w:rsid w:val="003C04C9"/>
    <w:rsid w:val="003C0F2E"/>
    <w:rsid w:val="003C2E44"/>
    <w:rsid w:val="003C6573"/>
    <w:rsid w:val="003D4427"/>
    <w:rsid w:val="003E03AC"/>
    <w:rsid w:val="003E394B"/>
    <w:rsid w:val="003E4EB0"/>
    <w:rsid w:val="003E5A69"/>
    <w:rsid w:val="003F09F0"/>
    <w:rsid w:val="003F2B0C"/>
    <w:rsid w:val="00400375"/>
    <w:rsid w:val="00410360"/>
    <w:rsid w:val="004111B7"/>
    <w:rsid w:val="004144B0"/>
    <w:rsid w:val="004155DF"/>
    <w:rsid w:val="0042140C"/>
    <w:rsid w:val="0042613F"/>
    <w:rsid w:val="004275DB"/>
    <w:rsid w:val="00437ED9"/>
    <w:rsid w:val="004428AD"/>
    <w:rsid w:val="00442AFE"/>
    <w:rsid w:val="00442B5D"/>
    <w:rsid w:val="0044401D"/>
    <w:rsid w:val="00445C0C"/>
    <w:rsid w:val="00445CE4"/>
    <w:rsid w:val="00446315"/>
    <w:rsid w:val="00453367"/>
    <w:rsid w:val="00453724"/>
    <w:rsid w:val="00454C14"/>
    <w:rsid w:val="00470169"/>
    <w:rsid w:val="00470C29"/>
    <w:rsid w:val="00471679"/>
    <w:rsid w:val="004723E9"/>
    <w:rsid w:val="0047480F"/>
    <w:rsid w:val="004815C7"/>
    <w:rsid w:val="0048286F"/>
    <w:rsid w:val="00486306"/>
    <w:rsid w:val="004929B9"/>
    <w:rsid w:val="004A2618"/>
    <w:rsid w:val="004A5F21"/>
    <w:rsid w:val="004A600C"/>
    <w:rsid w:val="004A6C5C"/>
    <w:rsid w:val="004A6F40"/>
    <w:rsid w:val="004A774B"/>
    <w:rsid w:val="004B21CC"/>
    <w:rsid w:val="004B4C5B"/>
    <w:rsid w:val="004B5FB9"/>
    <w:rsid w:val="004B6518"/>
    <w:rsid w:val="004C2C43"/>
    <w:rsid w:val="004C2EAE"/>
    <w:rsid w:val="004C5DEB"/>
    <w:rsid w:val="004D5437"/>
    <w:rsid w:val="004D6061"/>
    <w:rsid w:val="004E1D95"/>
    <w:rsid w:val="004E6DA5"/>
    <w:rsid w:val="004F0306"/>
    <w:rsid w:val="004F0924"/>
    <w:rsid w:val="004F1430"/>
    <w:rsid w:val="004F6416"/>
    <w:rsid w:val="004F77D6"/>
    <w:rsid w:val="0050091E"/>
    <w:rsid w:val="00504C41"/>
    <w:rsid w:val="00511548"/>
    <w:rsid w:val="0052102E"/>
    <w:rsid w:val="00523B2F"/>
    <w:rsid w:val="00524573"/>
    <w:rsid w:val="005321D6"/>
    <w:rsid w:val="0053267E"/>
    <w:rsid w:val="00534186"/>
    <w:rsid w:val="0054226A"/>
    <w:rsid w:val="005447AD"/>
    <w:rsid w:val="005616FC"/>
    <w:rsid w:val="00562EEA"/>
    <w:rsid w:val="00565B20"/>
    <w:rsid w:val="0056663F"/>
    <w:rsid w:val="0057091D"/>
    <w:rsid w:val="00572D1B"/>
    <w:rsid w:val="00572FBC"/>
    <w:rsid w:val="005762F8"/>
    <w:rsid w:val="00580479"/>
    <w:rsid w:val="0058053C"/>
    <w:rsid w:val="005822C3"/>
    <w:rsid w:val="00586D98"/>
    <w:rsid w:val="00594B05"/>
    <w:rsid w:val="005A7B7A"/>
    <w:rsid w:val="005A7FDC"/>
    <w:rsid w:val="005B27FB"/>
    <w:rsid w:val="005C10A3"/>
    <w:rsid w:val="005C7E16"/>
    <w:rsid w:val="005C7FB5"/>
    <w:rsid w:val="005D056F"/>
    <w:rsid w:val="005D3F19"/>
    <w:rsid w:val="005D561F"/>
    <w:rsid w:val="005D6834"/>
    <w:rsid w:val="005D77E0"/>
    <w:rsid w:val="005E213E"/>
    <w:rsid w:val="005E2BD1"/>
    <w:rsid w:val="005E3C2B"/>
    <w:rsid w:val="005E7CCF"/>
    <w:rsid w:val="005F6253"/>
    <w:rsid w:val="006047E1"/>
    <w:rsid w:val="00610F54"/>
    <w:rsid w:val="0061444C"/>
    <w:rsid w:val="00614A2B"/>
    <w:rsid w:val="006169D4"/>
    <w:rsid w:val="00623661"/>
    <w:rsid w:val="006248D9"/>
    <w:rsid w:val="00631C86"/>
    <w:rsid w:val="006357C4"/>
    <w:rsid w:val="0063753D"/>
    <w:rsid w:val="00640B83"/>
    <w:rsid w:val="0064609D"/>
    <w:rsid w:val="00646309"/>
    <w:rsid w:val="00646D05"/>
    <w:rsid w:val="0065455A"/>
    <w:rsid w:val="00662E23"/>
    <w:rsid w:val="0066526E"/>
    <w:rsid w:val="00670348"/>
    <w:rsid w:val="00676613"/>
    <w:rsid w:val="00680BAF"/>
    <w:rsid w:val="0068302B"/>
    <w:rsid w:val="006850EE"/>
    <w:rsid w:val="00686E40"/>
    <w:rsid w:val="00687C9A"/>
    <w:rsid w:val="00690E9C"/>
    <w:rsid w:val="006918EB"/>
    <w:rsid w:val="00695B38"/>
    <w:rsid w:val="00697C7A"/>
    <w:rsid w:val="006A0303"/>
    <w:rsid w:val="006A3492"/>
    <w:rsid w:val="006A3B8C"/>
    <w:rsid w:val="006A49BE"/>
    <w:rsid w:val="006A50C1"/>
    <w:rsid w:val="006B284E"/>
    <w:rsid w:val="006B49DF"/>
    <w:rsid w:val="006B4AD7"/>
    <w:rsid w:val="006C3816"/>
    <w:rsid w:val="006C569F"/>
    <w:rsid w:val="006D026D"/>
    <w:rsid w:val="006D0878"/>
    <w:rsid w:val="006D6000"/>
    <w:rsid w:val="006E0901"/>
    <w:rsid w:val="006E1C30"/>
    <w:rsid w:val="006F2643"/>
    <w:rsid w:val="006F7075"/>
    <w:rsid w:val="007014C1"/>
    <w:rsid w:val="00701E9F"/>
    <w:rsid w:val="00704262"/>
    <w:rsid w:val="0070438F"/>
    <w:rsid w:val="007056EC"/>
    <w:rsid w:val="00706817"/>
    <w:rsid w:val="00711751"/>
    <w:rsid w:val="007167ED"/>
    <w:rsid w:val="007169A3"/>
    <w:rsid w:val="007176EC"/>
    <w:rsid w:val="007212E1"/>
    <w:rsid w:val="00724C99"/>
    <w:rsid w:val="00737F6A"/>
    <w:rsid w:val="00740558"/>
    <w:rsid w:val="00754609"/>
    <w:rsid w:val="00754B9E"/>
    <w:rsid w:val="00755741"/>
    <w:rsid w:val="00760A18"/>
    <w:rsid w:val="00766D8B"/>
    <w:rsid w:val="00773DF3"/>
    <w:rsid w:val="0077432F"/>
    <w:rsid w:val="00776BD6"/>
    <w:rsid w:val="00785C17"/>
    <w:rsid w:val="00787D28"/>
    <w:rsid w:val="0079012D"/>
    <w:rsid w:val="0079609C"/>
    <w:rsid w:val="00797D2E"/>
    <w:rsid w:val="007A0856"/>
    <w:rsid w:val="007A41E6"/>
    <w:rsid w:val="007A48BB"/>
    <w:rsid w:val="007B452F"/>
    <w:rsid w:val="007C0602"/>
    <w:rsid w:val="007C7BAB"/>
    <w:rsid w:val="007D68DB"/>
    <w:rsid w:val="007D6D1A"/>
    <w:rsid w:val="007E131C"/>
    <w:rsid w:val="007F1E70"/>
    <w:rsid w:val="007F3F59"/>
    <w:rsid w:val="007F6CAB"/>
    <w:rsid w:val="007F7C70"/>
    <w:rsid w:val="00800D2A"/>
    <w:rsid w:val="00803B28"/>
    <w:rsid w:val="008166A6"/>
    <w:rsid w:val="00820056"/>
    <w:rsid w:val="00824278"/>
    <w:rsid w:val="0082460D"/>
    <w:rsid w:val="008250E9"/>
    <w:rsid w:val="008272F1"/>
    <w:rsid w:val="0083362D"/>
    <w:rsid w:val="0083591F"/>
    <w:rsid w:val="008418E3"/>
    <w:rsid w:val="0084338D"/>
    <w:rsid w:val="0085711C"/>
    <w:rsid w:val="0086026D"/>
    <w:rsid w:val="008617EB"/>
    <w:rsid w:val="00865327"/>
    <w:rsid w:val="00866B3E"/>
    <w:rsid w:val="00872546"/>
    <w:rsid w:val="00877230"/>
    <w:rsid w:val="00881574"/>
    <w:rsid w:val="00882178"/>
    <w:rsid w:val="00884FEF"/>
    <w:rsid w:val="00885F98"/>
    <w:rsid w:val="00893087"/>
    <w:rsid w:val="00896D1D"/>
    <w:rsid w:val="008A01A8"/>
    <w:rsid w:val="008A24C4"/>
    <w:rsid w:val="008A36F8"/>
    <w:rsid w:val="008A5733"/>
    <w:rsid w:val="008B2749"/>
    <w:rsid w:val="008B4267"/>
    <w:rsid w:val="008B55DE"/>
    <w:rsid w:val="008B6D94"/>
    <w:rsid w:val="008C1D7D"/>
    <w:rsid w:val="008C67D6"/>
    <w:rsid w:val="008C6E75"/>
    <w:rsid w:val="008C7373"/>
    <w:rsid w:val="008D2C7A"/>
    <w:rsid w:val="008D4721"/>
    <w:rsid w:val="008D6AC5"/>
    <w:rsid w:val="008E2583"/>
    <w:rsid w:val="008E6994"/>
    <w:rsid w:val="00903F5C"/>
    <w:rsid w:val="00907D89"/>
    <w:rsid w:val="00912247"/>
    <w:rsid w:val="00912908"/>
    <w:rsid w:val="00912947"/>
    <w:rsid w:val="00912FFB"/>
    <w:rsid w:val="00913199"/>
    <w:rsid w:val="009140F7"/>
    <w:rsid w:val="009175A6"/>
    <w:rsid w:val="00917ED2"/>
    <w:rsid w:val="00920A0C"/>
    <w:rsid w:val="0092135A"/>
    <w:rsid w:val="00924105"/>
    <w:rsid w:val="009270DD"/>
    <w:rsid w:val="00941D29"/>
    <w:rsid w:val="0094251B"/>
    <w:rsid w:val="00942D81"/>
    <w:rsid w:val="00943F0A"/>
    <w:rsid w:val="009449B8"/>
    <w:rsid w:val="009450C9"/>
    <w:rsid w:val="009462BC"/>
    <w:rsid w:val="00951FA3"/>
    <w:rsid w:val="0095234E"/>
    <w:rsid w:val="00970E6C"/>
    <w:rsid w:val="00972896"/>
    <w:rsid w:val="0097398D"/>
    <w:rsid w:val="009741F7"/>
    <w:rsid w:val="00976608"/>
    <w:rsid w:val="0098016F"/>
    <w:rsid w:val="009843E9"/>
    <w:rsid w:val="00993B16"/>
    <w:rsid w:val="009944B5"/>
    <w:rsid w:val="00997A27"/>
    <w:rsid w:val="009A121C"/>
    <w:rsid w:val="009A2946"/>
    <w:rsid w:val="009A410C"/>
    <w:rsid w:val="009A624F"/>
    <w:rsid w:val="009B2561"/>
    <w:rsid w:val="009D25EE"/>
    <w:rsid w:val="009E3F9C"/>
    <w:rsid w:val="009E45DC"/>
    <w:rsid w:val="009E5DAE"/>
    <w:rsid w:val="009F1AB6"/>
    <w:rsid w:val="009F3FA8"/>
    <w:rsid w:val="00A03280"/>
    <w:rsid w:val="00A113C9"/>
    <w:rsid w:val="00A14133"/>
    <w:rsid w:val="00A14292"/>
    <w:rsid w:val="00A2628B"/>
    <w:rsid w:val="00A31037"/>
    <w:rsid w:val="00A32875"/>
    <w:rsid w:val="00A37843"/>
    <w:rsid w:val="00A37889"/>
    <w:rsid w:val="00A40CE0"/>
    <w:rsid w:val="00A42FFF"/>
    <w:rsid w:val="00A47D3C"/>
    <w:rsid w:val="00A50043"/>
    <w:rsid w:val="00A5081E"/>
    <w:rsid w:val="00A54E98"/>
    <w:rsid w:val="00A55A84"/>
    <w:rsid w:val="00A62301"/>
    <w:rsid w:val="00A6322C"/>
    <w:rsid w:val="00A6466D"/>
    <w:rsid w:val="00A64898"/>
    <w:rsid w:val="00A718CB"/>
    <w:rsid w:val="00A74EF5"/>
    <w:rsid w:val="00A76193"/>
    <w:rsid w:val="00A77567"/>
    <w:rsid w:val="00A82363"/>
    <w:rsid w:val="00A84E2D"/>
    <w:rsid w:val="00A85B1F"/>
    <w:rsid w:val="00A92EC5"/>
    <w:rsid w:val="00A93725"/>
    <w:rsid w:val="00A96CE5"/>
    <w:rsid w:val="00A97BA1"/>
    <w:rsid w:val="00AA5157"/>
    <w:rsid w:val="00AA6E6C"/>
    <w:rsid w:val="00AB1304"/>
    <w:rsid w:val="00AB2B7B"/>
    <w:rsid w:val="00AB5C6C"/>
    <w:rsid w:val="00AB713A"/>
    <w:rsid w:val="00AC0384"/>
    <w:rsid w:val="00AC0656"/>
    <w:rsid w:val="00AC24B8"/>
    <w:rsid w:val="00AC26FB"/>
    <w:rsid w:val="00AC2BEF"/>
    <w:rsid w:val="00AC35DD"/>
    <w:rsid w:val="00AC3D67"/>
    <w:rsid w:val="00AC46C9"/>
    <w:rsid w:val="00AD184C"/>
    <w:rsid w:val="00AD2731"/>
    <w:rsid w:val="00AD3564"/>
    <w:rsid w:val="00AD58E1"/>
    <w:rsid w:val="00AE7F70"/>
    <w:rsid w:val="00AF0403"/>
    <w:rsid w:val="00AF0ECC"/>
    <w:rsid w:val="00AF3FFB"/>
    <w:rsid w:val="00AF4987"/>
    <w:rsid w:val="00B025F2"/>
    <w:rsid w:val="00B03D10"/>
    <w:rsid w:val="00B1049D"/>
    <w:rsid w:val="00B15D9D"/>
    <w:rsid w:val="00B2158A"/>
    <w:rsid w:val="00B24490"/>
    <w:rsid w:val="00B4360A"/>
    <w:rsid w:val="00B441D8"/>
    <w:rsid w:val="00B47AED"/>
    <w:rsid w:val="00B523C3"/>
    <w:rsid w:val="00B52F2D"/>
    <w:rsid w:val="00B54C24"/>
    <w:rsid w:val="00B55FC6"/>
    <w:rsid w:val="00B577D8"/>
    <w:rsid w:val="00B64A29"/>
    <w:rsid w:val="00B70333"/>
    <w:rsid w:val="00B70889"/>
    <w:rsid w:val="00B7568A"/>
    <w:rsid w:val="00B75D29"/>
    <w:rsid w:val="00B86D41"/>
    <w:rsid w:val="00B93273"/>
    <w:rsid w:val="00B93724"/>
    <w:rsid w:val="00B968A9"/>
    <w:rsid w:val="00B9747B"/>
    <w:rsid w:val="00BA0A7E"/>
    <w:rsid w:val="00BA1427"/>
    <w:rsid w:val="00BA2257"/>
    <w:rsid w:val="00BA22EC"/>
    <w:rsid w:val="00BA25C1"/>
    <w:rsid w:val="00BA61B3"/>
    <w:rsid w:val="00BA76E8"/>
    <w:rsid w:val="00BB23E5"/>
    <w:rsid w:val="00BB38C1"/>
    <w:rsid w:val="00BB3E24"/>
    <w:rsid w:val="00BB5B7C"/>
    <w:rsid w:val="00BD4177"/>
    <w:rsid w:val="00BD66EC"/>
    <w:rsid w:val="00BE036E"/>
    <w:rsid w:val="00BE4218"/>
    <w:rsid w:val="00BE6298"/>
    <w:rsid w:val="00BE6E86"/>
    <w:rsid w:val="00BF5434"/>
    <w:rsid w:val="00C012A4"/>
    <w:rsid w:val="00C01668"/>
    <w:rsid w:val="00C034B6"/>
    <w:rsid w:val="00C111AF"/>
    <w:rsid w:val="00C122A4"/>
    <w:rsid w:val="00C16FD6"/>
    <w:rsid w:val="00C17E8E"/>
    <w:rsid w:val="00C303FD"/>
    <w:rsid w:val="00C36071"/>
    <w:rsid w:val="00C36137"/>
    <w:rsid w:val="00C36ED3"/>
    <w:rsid w:val="00C37342"/>
    <w:rsid w:val="00C47CE1"/>
    <w:rsid w:val="00C47DF4"/>
    <w:rsid w:val="00C5677D"/>
    <w:rsid w:val="00C57362"/>
    <w:rsid w:val="00C67156"/>
    <w:rsid w:val="00C81A0B"/>
    <w:rsid w:val="00C84BC6"/>
    <w:rsid w:val="00C85631"/>
    <w:rsid w:val="00C93D21"/>
    <w:rsid w:val="00C95107"/>
    <w:rsid w:val="00C95F7C"/>
    <w:rsid w:val="00CA313E"/>
    <w:rsid w:val="00CA481E"/>
    <w:rsid w:val="00CA529F"/>
    <w:rsid w:val="00CB0325"/>
    <w:rsid w:val="00CB0AA0"/>
    <w:rsid w:val="00CB2675"/>
    <w:rsid w:val="00CC64E0"/>
    <w:rsid w:val="00CD580E"/>
    <w:rsid w:val="00CD7C63"/>
    <w:rsid w:val="00CE6538"/>
    <w:rsid w:val="00CE68EB"/>
    <w:rsid w:val="00CE7A08"/>
    <w:rsid w:val="00CE7C6F"/>
    <w:rsid w:val="00CF29F7"/>
    <w:rsid w:val="00CF3FA9"/>
    <w:rsid w:val="00D02644"/>
    <w:rsid w:val="00D02FEC"/>
    <w:rsid w:val="00D0489C"/>
    <w:rsid w:val="00D057F1"/>
    <w:rsid w:val="00D05CE3"/>
    <w:rsid w:val="00D0725A"/>
    <w:rsid w:val="00D11B9D"/>
    <w:rsid w:val="00D125EB"/>
    <w:rsid w:val="00D142B7"/>
    <w:rsid w:val="00D325D8"/>
    <w:rsid w:val="00D33D47"/>
    <w:rsid w:val="00D5571F"/>
    <w:rsid w:val="00D56590"/>
    <w:rsid w:val="00D56E1F"/>
    <w:rsid w:val="00D579C2"/>
    <w:rsid w:val="00D62CBB"/>
    <w:rsid w:val="00D6785E"/>
    <w:rsid w:val="00D700F4"/>
    <w:rsid w:val="00D7305A"/>
    <w:rsid w:val="00D7525D"/>
    <w:rsid w:val="00D7536D"/>
    <w:rsid w:val="00D80874"/>
    <w:rsid w:val="00D81457"/>
    <w:rsid w:val="00D82595"/>
    <w:rsid w:val="00D83147"/>
    <w:rsid w:val="00D87D40"/>
    <w:rsid w:val="00D92343"/>
    <w:rsid w:val="00D92B06"/>
    <w:rsid w:val="00D932A8"/>
    <w:rsid w:val="00DA14AF"/>
    <w:rsid w:val="00DB06A8"/>
    <w:rsid w:val="00DB107B"/>
    <w:rsid w:val="00DB6F89"/>
    <w:rsid w:val="00DB7DE9"/>
    <w:rsid w:val="00DC2D1F"/>
    <w:rsid w:val="00DC4DDE"/>
    <w:rsid w:val="00DD0C80"/>
    <w:rsid w:val="00DD12D7"/>
    <w:rsid w:val="00DD1A40"/>
    <w:rsid w:val="00DD27EF"/>
    <w:rsid w:val="00DD5DD5"/>
    <w:rsid w:val="00DE177D"/>
    <w:rsid w:val="00DE4971"/>
    <w:rsid w:val="00DE60A5"/>
    <w:rsid w:val="00DF14F3"/>
    <w:rsid w:val="00DF1B82"/>
    <w:rsid w:val="00DF2159"/>
    <w:rsid w:val="00DF2EE3"/>
    <w:rsid w:val="00DF35F0"/>
    <w:rsid w:val="00DF4275"/>
    <w:rsid w:val="00DF48E6"/>
    <w:rsid w:val="00E0163E"/>
    <w:rsid w:val="00E02085"/>
    <w:rsid w:val="00E0667B"/>
    <w:rsid w:val="00E06C09"/>
    <w:rsid w:val="00E070B2"/>
    <w:rsid w:val="00E133C5"/>
    <w:rsid w:val="00E13944"/>
    <w:rsid w:val="00E225FC"/>
    <w:rsid w:val="00E34BB4"/>
    <w:rsid w:val="00E35C98"/>
    <w:rsid w:val="00E3640C"/>
    <w:rsid w:val="00E40604"/>
    <w:rsid w:val="00E46538"/>
    <w:rsid w:val="00E64526"/>
    <w:rsid w:val="00E754FE"/>
    <w:rsid w:val="00E76C86"/>
    <w:rsid w:val="00E83DD5"/>
    <w:rsid w:val="00E87CD0"/>
    <w:rsid w:val="00E90DD5"/>
    <w:rsid w:val="00E9794B"/>
    <w:rsid w:val="00EA1210"/>
    <w:rsid w:val="00EA46D4"/>
    <w:rsid w:val="00EA5DD7"/>
    <w:rsid w:val="00EA753F"/>
    <w:rsid w:val="00EB18C5"/>
    <w:rsid w:val="00EB226C"/>
    <w:rsid w:val="00EB4512"/>
    <w:rsid w:val="00EB6A13"/>
    <w:rsid w:val="00EC359D"/>
    <w:rsid w:val="00EC4C3C"/>
    <w:rsid w:val="00EC4F26"/>
    <w:rsid w:val="00ED2BE2"/>
    <w:rsid w:val="00ED3E3A"/>
    <w:rsid w:val="00ED50DA"/>
    <w:rsid w:val="00EE07C1"/>
    <w:rsid w:val="00EE1521"/>
    <w:rsid w:val="00EE3D22"/>
    <w:rsid w:val="00EF1C12"/>
    <w:rsid w:val="00EF2F31"/>
    <w:rsid w:val="00EF3290"/>
    <w:rsid w:val="00EF410D"/>
    <w:rsid w:val="00EF634B"/>
    <w:rsid w:val="00F047A8"/>
    <w:rsid w:val="00F12A8A"/>
    <w:rsid w:val="00F15071"/>
    <w:rsid w:val="00F156BC"/>
    <w:rsid w:val="00F15CC2"/>
    <w:rsid w:val="00F160C3"/>
    <w:rsid w:val="00F17A2E"/>
    <w:rsid w:val="00F203DA"/>
    <w:rsid w:val="00F2297F"/>
    <w:rsid w:val="00F2557B"/>
    <w:rsid w:val="00F277A4"/>
    <w:rsid w:val="00F30AE9"/>
    <w:rsid w:val="00F3429E"/>
    <w:rsid w:val="00F37E3B"/>
    <w:rsid w:val="00F37F6B"/>
    <w:rsid w:val="00F4043F"/>
    <w:rsid w:val="00F42608"/>
    <w:rsid w:val="00F4319F"/>
    <w:rsid w:val="00F4428F"/>
    <w:rsid w:val="00F47016"/>
    <w:rsid w:val="00F539AB"/>
    <w:rsid w:val="00F54C32"/>
    <w:rsid w:val="00F560A9"/>
    <w:rsid w:val="00F60097"/>
    <w:rsid w:val="00F70BF0"/>
    <w:rsid w:val="00F74884"/>
    <w:rsid w:val="00F755B2"/>
    <w:rsid w:val="00F77569"/>
    <w:rsid w:val="00F81112"/>
    <w:rsid w:val="00F83836"/>
    <w:rsid w:val="00F87CDF"/>
    <w:rsid w:val="00F92C29"/>
    <w:rsid w:val="00F941D6"/>
    <w:rsid w:val="00F95D65"/>
    <w:rsid w:val="00F960C0"/>
    <w:rsid w:val="00F960DF"/>
    <w:rsid w:val="00FB4DBD"/>
    <w:rsid w:val="00FD1882"/>
    <w:rsid w:val="00FD658F"/>
    <w:rsid w:val="00FD722E"/>
    <w:rsid w:val="00FE3C82"/>
    <w:rsid w:val="00FE54B8"/>
    <w:rsid w:val="00FE62E4"/>
    <w:rsid w:val="00FF1F4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B6518"/>
    <w:pPr>
      <w:spacing w:after="120" w:line="360" w:lineRule="auto"/>
      <w:jc w:val="both"/>
    </w:pPr>
  </w:style>
  <w:style w:type="paragraph" w:styleId="Nagwek1">
    <w:name w:val="heading 1"/>
    <w:basedOn w:val="Normalny"/>
    <w:next w:val="Normalny"/>
    <w:link w:val="Nagwek1Znak"/>
    <w:uiPriority w:val="9"/>
    <w:qFormat/>
    <w:rsid w:val="0092135A"/>
    <w:pPr>
      <w:keepNext/>
      <w:keepLines/>
      <w:numPr>
        <w:numId w:val="1"/>
      </w:numPr>
      <w:spacing w:before="360" w:after="240"/>
      <w:outlineLvl w:val="0"/>
    </w:pPr>
    <w:rPr>
      <w:rFonts w:asciiTheme="majorHAnsi" w:eastAsiaTheme="majorEastAsia" w:hAnsiTheme="majorHAnsi" w:cstheme="majorBidi"/>
      <w:color w:val="1E7DBF" w:themeColor="accent1"/>
      <w:sz w:val="40"/>
      <w:szCs w:val="40"/>
    </w:rPr>
  </w:style>
  <w:style w:type="paragraph" w:styleId="Nagwek2">
    <w:name w:val="heading 2"/>
    <w:basedOn w:val="Normalny"/>
    <w:next w:val="Normalny"/>
    <w:link w:val="Nagwek2Znak"/>
    <w:uiPriority w:val="9"/>
    <w:unhideWhenUsed/>
    <w:qFormat/>
    <w:rsid w:val="0092135A"/>
    <w:pPr>
      <w:keepNext/>
      <w:keepLines/>
      <w:numPr>
        <w:ilvl w:val="1"/>
        <w:numId w:val="1"/>
      </w:numPr>
      <w:spacing w:before="200" w:after="200"/>
      <w:ind w:left="993" w:hanging="851"/>
      <w:outlineLvl w:val="1"/>
    </w:pPr>
    <w:rPr>
      <w:rFonts w:asciiTheme="majorHAnsi" w:eastAsiaTheme="majorEastAsia" w:hAnsiTheme="majorHAnsi" w:cstheme="majorBidi"/>
      <w:color w:val="1E7DBF" w:themeColor="accent1"/>
      <w:sz w:val="32"/>
      <w:szCs w:val="32"/>
    </w:rPr>
  </w:style>
  <w:style w:type="paragraph" w:styleId="Nagwek3">
    <w:name w:val="heading 3"/>
    <w:basedOn w:val="Normalny"/>
    <w:next w:val="Normalny"/>
    <w:link w:val="Nagwek3Znak"/>
    <w:uiPriority w:val="9"/>
    <w:unhideWhenUsed/>
    <w:qFormat/>
    <w:rsid w:val="0092135A"/>
    <w:pPr>
      <w:keepNext/>
      <w:keepLines/>
      <w:numPr>
        <w:ilvl w:val="2"/>
        <w:numId w:val="1"/>
      </w:numPr>
      <w:spacing w:before="120"/>
      <w:ind w:left="993" w:hanging="851"/>
      <w:outlineLvl w:val="2"/>
    </w:pPr>
    <w:rPr>
      <w:rFonts w:eastAsiaTheme="majorEastAsia" w:cstheme="majorBidi"/>
      <w:color w:val="1E7DBF" w:themeColor="accent1"/>
      <w:sz w:val="28"/>
      <w:szCs w:val="28"/>
    </w:rPr>
  </w:style>
  <w:style w:type="paragraph" w:styleId="Nagwek4">
    <w:name w:val="heading 4"/>
    <w:basedOn w:val="Normalny"/>
    <w:next w:val="Normalny"/>
    <w:link w:val="Nagwek4Znak"/>
    <w:uiPriority w:val="9"/>
    <w:semiHidden/>
    <w:unhideWhenUsed/>
    <w:qFormat/>
    <w:rsid w:val="0061444C"/>
    <w:pPr>
      <w:keepNext/>
      <w:keepLines/>
      <w:spacing w:before="80" w:after="40"/>
      <w:outlineLvl w:val="3"/>
    </w:pPr>
    <w:rPr>
      <w:rFonts w:eastAsiaTheme="majorEastAsia" w:cstheme="majorBidi"/>
      <w:i/>
      <w:iCs/>
      <w:color w:val="165D8E" w:themeColor="accent1" w:themeShade="BF"/>
    </w:rPr>
  </w:style>
  <w:style w:type="paragraph" w:styleId="Nagwek5">
    <w:name w:val="heading 5"/>
    <w:basedOn w:val="Normalny"/>
    <w:next w:val="Normalny"/>
    <w:link w:val="Nagwek5Znak"/>
    <w:uiPriority w:val="9"/>
    <w:semiHidden/>
    <w:unhideWhenUsed/>
    <w:qFormat/>
    <w:rsid w:val="0061444C"/>
    <w:pPr>
      <w:keepNext/>
      <w:keepLines/>
      <w:spacing w:before="80" w:after="40"/>
      <w:outlineLvl w:val="4"/>
    </w:pPr>
    <w:rPr>
      <w:rFonts w:eastAsiaTheme="majorEastAsia" w:cstheme="majorBidi"/>
      <w:color w:val="165D8E" w:themeColor="accent1" w:themeShade="BF"/>
    </w:rPr>
  </w:style>
  <w:style w:type="paragraph" w:styleId="Nagwek6">
    <w:name w:val="heading 6"/>
    <w:basedOn w:val="Normalny"/>
    <w:next w:val="Normalny"/>
    <w:link w:val="Nagwek6Znak"/>
    <w:uiPriority w:val="9"/>
    <w:semiHidden/>
    <w:unhideWhenUsed/>
    <w:qFormat/>
    <w:rsid w:val="0061444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1444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1444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1444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2135A"/>
    <w:rPr>
      <w:rFonts w:asciiTheme="majorHAnsi" w:eastAsiaTheme="majorEastAsia" w:hAnsiTheme="majorHAnsi" w:cstheme="majorBidi"/>
      <w:color w:val="1E7DBF" w:themeColor="accent1"/>
      <w:sz w:val="40"/>
      <w:szCs w:val="40"/>
    </w:rPr>
  </w:style>
  <w:style w:type="character" w:customStyle="1" w:styleId="Nagwek2Znak">
    <w:name w:val="Nagłówek 2 Znak"/>
    <w:basedOn w:val="Domylnaczcionkaakapitu"/>
    <w:link w:val="Nagwek2"/>
    <w:uiPriority w:val="9"/>
    <w:rsid w:val="0092135A"/>
    <w:rPr>
      <w:rFonts w:asciiTheme="majorHAnsi" w:eastAsiaTheme="majorEastAsia" w:hAnsiTheme="majorHAnsi" w:cstheme="majorBidi"/>
      <w:color w:val="1E7DBF" w:themeColor="accent1"/>
      <w:sz w:val="32"/>
      <w:szCs w:val="32"/>
    </w:rPr>
  </w:style>
  <w:style w:type="character" w:customStyle="1" w:styleId="Nagwek3Znak">
    <w:name w:val="Nagłówek 3 Znak"/>
    <w:basedOn w:val="Domylnaczcionkaakapitu"/>
    <w:link w:val="Nagwek3"/>
    <w:uiPriority w:val="9"/>
    <w:rsid w:val="0092135A"/>
    <w:rPr>
      <w:rFonts w:eastAsiaTheme="majorEastAsia" w:cstheme="majorBidi"/>
      <w:color w:val="1E7DBF" w:themeColor="accent1"/>
      <w:sz w:val="28"/>
      <w:szCs w:val="28"/>
    </w:rPr>
  </w:style>
  <w:style w:type="character" w:customStyle="1" w:styleId="Nagwek4Znak">
    <w:name w:val="Nagłówek 4 Znak"/>
    <w:basedOn w:val="Domylnaczcionkaakapitu"/>
    <w:link w:val="Nagwek4"/>
    <w:uiPriority w:val="9"/>
    <w:semiHidden/>
    <w:rsid w:val="0061444C"/>
    <w:rPr>
      <w:rFonts w:eastAsiaTheme="majorEastAsia" w:cstheme="majorBidi"/>
      <w:i/>
      <w:iCs/>
      <w:color w:val="165D8E" w:themeColor="accent1" w:themeShade="BF"/>
    </w:rPr>
  </w:style>
  <w:style w:type="character" w:customStyle="1" w:styleId="Nagwek5Znak">
    <w:name w:val="Nagłówek 5 Znak"/>
    <w:basedOn w:val="Domylnaczcionkaakapitu"/>
    <w:link w:val="Nagwek5"/>
    <w:uiPriority w:val="9"/>
    <w:semiHidden/>
    <w:rsid w:val="0061444C"/>
    <w:rPr>
      <w:rFonts w:eastAsiaTheme="majorEastAsia" w:cstheme="majorBidi"/>
      <w:color w:val="165D8E" w:themeColor="accent1" w:themeShade="BF"/>
    </w:rPr>
  </w:style>
  <w:style w:type="character" w:customStyle="1" w:styleId="Nagwek6Znak">
    <w:name w:val="Nagłówek 6 Znak"/>
    <w:basedOn w:val="Domylnaczcionkaakapitu"/>
    <w:link w:val="Nagwek6"/>
    <w:uiPriority w:val="9"/>
    <w:semiHidden/>
    <w:rsid w:val="0061444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1444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1444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1444C"/>
    <w:rPr>
      <w:rFonts w:eastAsiaTheme="majorEastAsia" w:cstheme="majorBidi"/>
      <w:color w:val="272727" w:themeColor="text1" w:themeTint="D8"/>
    </w:rPr>
  </w:style>
  <w:style w:type="paragraph" w:styleId="Tytu">
    <w:name w:val="Title"/>
    <w:basedOn w:val="Normalny"/>
    <w:next w:val="Normalny"/>
    <w:link w:val="TytuZnak"/>
    <w:uiPriority w:val="10"/>
    <w:qFormat/>
    <w:rsid w:val="006144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1444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1444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1444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1444C"/>
    <w:pPr>
      <w:spacing w:before="160"/>
      <w:jc w:val="center"/>
    </w:pPr>
    <w:rPr>
      <w:i/>
      <w:iCs/>
      <w:color w:val="404040" w:themeColor="text1" w:themeTint="BF"/>
    </w:rPr>
  </w:style>
  <w:style w:type="character" w:customStyle="1" w:styleId="CytatZnak">
    <w:name w:val="Cytat Znak"/>
    <w:basedOn w:val="Domylnaczcionkaakapitu"/>
    <w:link w:val="Cytat"/>
    <w:uiPriority w:val="29"/>
    <w:rsid w:val="0061444C"/>
    <w:rPr>
      <w:i/>
      <w:iCs/>
      <w:color w:val="404040" w:themeColor="text1" w:themeTint="BF"/>
    </w:rPr>
  </w:style>
  <w:style w:type="paragraph" w:styleId="Akapitzlist">
    <w:name w:val="List Paragraph"/>
    <w:basedOn w:val="Normalny"/>
    <w:uiPriority w:val="34"/>
    <w:qFormat/>
    <w:rsid w:val="0061444C"/>
    <w:pPr>
      <w:ind w:left="720"/>
      <w:contextualSpacing/>
    </w:pPr>
  </w:style>
  <w:style w:type="character" w:styleId="Wyrnienieintensywne">
    <w:name w:val="Intense Emphasis"/>
    <w:basedOn w:val="Domylnaczcionkaakapitu"/>
    <w:uiPriority w:val="21"/>
    <w:qFormat/>
    <w:rsid w:val="0061444C"/>
    <w:rPr>
      <w:i/>
      <w:iCs/>
      <w:color w:val="165D8E" w:themeColor="accent1" w:themeShade="BF"/>
    </w:rPr>
  </w:style>
  <w:style w:type="paragraph" w:styleId="Cytatintensywny">
    <w:name w:val="Intense Quote"/>
    <w:basedOn w:val="Normalny"/>
    <w:next w:val="Normalny"/>
    <w:link w:val="CytatintensywnyZnak"/>
    <w:uiPriority w:val="30"/>
    <w:qFormat/>
    <w:rsid w:val="0061444C"/>
    <w:pPr>
      <w:pBdr>
        <w:top w:val="single" w:sz="4" w:space="10" w:color="165D8E" w:themeColor="accent1" w:themeShade="BF"/>
        <w:bottom w:val="single" w:sz="4" w:space="10" w:color="165D8E" w:themeColor="accent1" w:themeShade="BF"/>
      </w:pBdr>
      <w:spacing w:before="360" w:after="360"/>
      <w:ind w:left="864" w:right="864"/>
      <w:jc w:val="center"/>
    </w:pPr>
    <w:rPr>
      <w:i/>
      <w:iCs/>
      <w:color w:val="165D8E" w:themeColor="accent1" w:themeShade="BF"/>
    </w:rPr>
  </w:style>
  <w:style w:type="character" w:customStyle="1" w:styleId="CytatintensywnyZnak">
    <w:name w:val="Cytat intensywny Znak"/>
    <w:basedOn w:val="Domylnaczcionkaakapitu"/>
    <w:link w:val="Cytatintensywny"/>
    <w:uiPriority w:val="30"/>
    <w:rsid w:val="0061444C"/>
    <w:rPr>
      <w:i/>
      <w:iCs/>
      <w:color w:val="165D8E" w:themeColor="accent1" w:themeShade="BF"/>
    </w:rPr>
  </w:style>
  <w:style w:type="character" w:styleId="Odwoanieintensywne">
    <w:name w:val="Intense Reference"/>
    <w:basedOn w:val="Domylnaczcionkaakapitu"/>
    <w:uiPriority w:val="32"/>
    <w:qFormat/>
    <w:rsid w:val="0061444C"/>
    <w:rPr>
      <w:b/>
      <w:bCs/>
      <w:smallCaps/>
      <w:color w:val="165D8E" w:themeColor="accent1" w:themeShade="BF"/>
      <w:spacing w:val="5"/>
    </w:rPr>
  </w:style>
  <w:style w:type="paragraph" w:styleId="Nagwek">
    <w:name w:val="header"/>
    <w:basedOn w:val="Normalny"/>
    <w:link w:val="NagwekZnak"/>
    <w:uiPriority w:val="99"/>
    <w:unhideWhenUsed/>
    <w:rsid w:val="00171F8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1F89"/>
  </w:style>
  <w:style w:type="paragraph" w:styleId="Stopka">
    <w:name w:val="footer"/>
    <w:basedOn w:val="Normalny"/>
    <w:link w:val="StopkaZnak"/>
    <w:uiPriority w:val="99"/>
    <w:unhideWhenUsed/>
    <w:rsid w:val="00171F8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1F89"/>
  </w:style>
  <w:style w:type="table" w:styleId="Tabela-Siatka">
    <w:name w:val="Table Grid"/>
    <w:basedOn w:val="Standardowy"/>
    <w:uiPriority w:val="39"/>
    <w:rsid w:val="000076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egenda">
    <w:name w:val="caption"/>
    <w:basedOn w:val="Normalny"/>
    <w:next w:val="Normalny"/>
    <w:link w:val="LegendaZnak"/>
    <w:uiPriority w:val="35"/>
    <w:unhideWhenUsed/>
    <w:qFormat/>
    <w:rsid w:val="003405A0"/>
    <w:pPr>
      <w:spacing w:before="360" w:line="240" w:lineRule="auto"/>
    </w:pPr>
    <w:rPr>
      <w:iCs/>
      <w:color w:val="363735" w:themeColor="accent3"/>
      <w:sz w:val="20"/>
      <w:szCs w:val="18"/>
    </w:rPr>
  </w:style>
  <w:style w:type="paragraph" w:customStyle="1" w:styleId="rdo">
    <w:name w:val="źródło"/>
    <w:basedOn w:val="Bezodstpw"/>
    <w:next w:val="Bezodstpw"/>
    <w:link w:val="rdoZnak"/>
    <w:qFormat/>
    <w:rsid w:val="0092135A"/>
    <w:pPr>
      <w:spacing w:before="120" w:after="360"/>
    </w:pPr>
    <w:rPr>
      <w:color w:val="363735" w:themeColor="accent3"/>
      <w:sz w:val="20"/>
      <w:szCs w:val="20"/>
    </w:rPr>
  </w:style>
  <w:style w:type="character" w:customStyle="1" w:styleId="rdoZnak">
    <w:name w:val="źródło Znak"/>
    <w:basedOn w:val="Domylnaczcionkaakapitu"/>
    <w:link w:val="rdo"/>
    <w:rsid w:val="00D62CBB"/>
    <w:rPr>
      <w:color w:val="363735" w:themeColor="accent3"/>
      <w:sz w:val="20"/>
      <w:szCs w:val="20"/>
    </w:rPr>
  </w:style>
  <w:style w:type="paragraph" w:styleId="Nagwekspisutreci">
    <w:name w:val="TOC Heading"/>
    <w:basedOn w:val="Nagwek1"/>
    <w:next w:val="Normalny"/>
    <w:uiPriority w:val="39"/>
    <w:unhideWhenUsed/>
    <w:qFormat/>
    <w:rsid w:val="00572FBC"/>
    <w:pPr>
      <w:numPr>
        <w:numId w:val="0"/>
      </w:numPr>
      <w:spacing w:before="240" w:after="0" w:line="259" w:lineRule="auto"/>
      <w:outlineLvl w:val="9"/>
    </w:pPr>
    <w:rPr>
      <w:kern w:val="0"/>
      <w:sz w:val="32"/>
      <w:szCs w:val="32"/>
      <w:lang w:eastAsia="pl-PL"/>
    </w:rPr>
  </w:style>
  <w:style w:type="paragraph" w:styleId="Spistreci1">
    <w:name w:val="toc 1"/>
    <w:basedOn w:val="Normalny"/>
    <w:next w:val="Normalny"/>
    <w:autoRedefine/>
    <w:uiPriority w:val="39"/>
    <w:unhideWhenUsed/>
    <w:rsid w:val="00572FBC"/>
    <w:pPr>
      <w:spacing w:after="100"/>
    </w:pPr>
  </w:style>
  <w:style w:type="paragraph" w:styleId="Spistreci2">
    <w:name w:val="toc 2"/>
    <w:basedOn w:val="Normalny"/>
    <w:next w:val="Normalny"/>
    <w:autoRedefine/>
    <w:uiPriority w:val="39"/>
    <w:unhideWhenUsed/>
    <w:rsid w:val="00572FBC"/>
    <w:pPr>
      <w:spacing w:after="100"/>
      <w:ind w:left="220"/>
    </w:pPr>
  </w:style>
  <w:style w:type="paragraph" w:styleId="Spistreci3">
    <w:name w:val="toc 3"/>
    <w:basedOn w:val="Normalny"/>
    <w:next w:val="Normalny"/>
    <w:autoRedefine/>
    <w:uiPriority w:val="39"/>
    <w:unhideWhenUsed/>
    <w:rsid w:val="00572FBC"/>
    <w:pPr>
      <w:spacing w:after="100"/>
      <w:ind w:left="440"/>
    </w:pPr>
  </w:style>
  <w:style w:type="character" w:styleId="Hipercze">
    <w:name w:val="Hyperlink"/>
    <w:basedOn w:val="Domylnaczcionkaakapitu"/>
    <w:uiPriority w:val="99"/>
    <w:unhideWhenUsed/>
    <w:rsid w:val="00572FBC"/>
    <w:rPr>
      <w:color w:val="467886" w:themeColor="hyperlink"/>
      <w:u w:val="single"/>
    </w:rPr>
  </w:style>
  <w:style w:type="character" w:styleId="Odwoaniedokomentarza">
    <w:name w:val="annotation reference"/>
    <w:basedOn w:val="Domylnaczcionkaakapitu"/>
    <w:uiPriority w:val="99"/>
    <w:semiHidden/>
    <w:unhideWhenUsed/>
    <w:rsid w:val="00AF0403"/>
    <w:rPr>
      <w:sz w:val="16"/>
      <w:szCs w:val="16"/>
    </w:rPr>
  </w:style>
  <w:style w:type="paragraph" w:styleId="Tekstkomentarza">
    <w:name w:val="annotation text"/>
    <w:basedOn w:val="Normalny"/>
    <w:link w:val="TekstkomentarzaZnak"/>
    <w:uiPriority w:val="99"/>
    <w:unhideWhenUsed/>
    <w:rsid w:val="00AF0403"/>
    <w:pPr>
      <w:spacing w:line="240" w:lineRule="auto"/>
    </w:pPr>
    <w:rPr>
      <w:sz w:val="20"/>
      <w:szCs w:val="20"/>
    </w:rPr>
  </w:style>
  <w:style w:type="character" w:customStyle="1" w:styleId="TekstkomentarzaZnak">
    <w:name w:val="Tekst komentarza Znak"/>
    <w:basedOn w:val="Domylnaczcionkaakapitu"/>
    <w:link w:val="Tekstkomentarza"/>
    <w:uiPriority w:val="99"/>
    <w:rsid w:val="00AF0403"/>
    <w:rPr>
      <w:sz w:val="20"/>
      <w:szCs w:val="20"/>
    </w:rPr>
  </w:style>
  <w:style w:type="paragraph" w:styleId="Tematkomentarza">
    <w:name w:val="annotation subject"/>
    <w:basedOn w:val="Tekstkomentarza"/>
    <w:next w:val="Tekstkomentarza"/>
    <w:link w:val="TematkomentarzaZnak"/>
    <w:uiPriority w:val="99"/>
    <w:semiHidden/>
    <w:unhideWhenUsed/>
    <w:rsid w:val="00AF0403"/>
    <w:rPr>
      <w:b/>
      <w:bCs/>
    </w:rPr>
  </w:style>
  <w:style w:type="character" w:customStyle="1" w:styleId="TematkomentarzaZnak">
    <w:name w:val="Temat komentarza Znak"/>
    <w:basedOn w:val="TekstkomentarzaZnak"/>
    <w:link w:val="Tematkomentarza"/>
    <w:uiPriority w:val="99"/>
    <w:semiHidden/>
    <w:rsid w:val="00AF0403"/>
    <w:rPr>
      <w:b/>
      <w:bCs/>
      <w:sz w:val="20"/>
      <w:szCs w:val="20"/>
    </w:rPr>
  </w:style>
  <w:style w:type="paragraph" w:styleId="Tekstprzypisudolnego">
    <w:name w:val="footnote text"/>
    <w:basedOn w:val="Normalny"/>
    <w:link w:val="TekstprzypisudolnegoZnak"/>
    <w:uiPriority w:val="99"/>
    <w:semiHidden/>
    <w:unhideWhenUsed/>
    <w:rsid w:val="00504C4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04C41"/>
    <w:rPr>
      <w:sz w:val="20"/>
      <w:szCs w:val="20"/>
    </w:rPr>
  </w:style>
  <w:style w:type="character" w:styleId="Odwoanieprzypisudolnego">
    <w:name w:val="footnote reference"/>
    <w:basedOn w:val="Domylnaczcionkaakapitu"/>
    <w:uiPriority w:val="99"/>
    <w:semiHidden/>
    <w:unhideWhenUsed/>
    <w:rsid w:val="00504C41"/>
    <w:rPr>
      <w:vertAlign w:val="superscript"/>
    </w:rPr>
  </w:style>
  <w:style w:type="paragraph" w:styleId="HTML-wstpniesformatowany">
    <w:name w:val="HTML Preformatted"/>
    <w:basedOn w:val="Normalny"/>
    <w:link w:val="HTML-wstpniesformatowanyZnak"/>
    <w:uiPriority w:val="99"/>
    <w:semiHidden/>
    <w:unhideWhenUsed/>
    <w:rsid w:val="00F2297F"/>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F2297F"/>
    <w:rPr>
      <w:rFonts w:ascii="Consolas" w:hAnsi="Consolas"/>
      <w:sz w:val="20"/>
      <w:szCs w:val="20"/>
    </w:rPr>
  </w:style>
  <w:style w:type="character" w:customStyle="1" w:styleId="Nierozpoznanawzmianka1">
    <w:name w:val="Nierozpoznana wzmianka1"/>
    <w:basedOn w:val="Domylnaczcionkaakapitu"/>
    <w:uiPriority w:val="99"/>
    <w:semiHidden/>
    <w:unhideWhenUsed/>
    <w:rsid w:val="00D125EB"/>
    <w:rPr>
      <w:color w:val="605E5C"/>
      <w:shd w:val="clear" w:color="auto" w:fill="E1DFDD"/>
    </w:rPr>
  </w:style>
  <w:style w:type="paragraph" w:styleId="NormalnyWeb">
    <w:name w:val="Normal (Web)"/>
    <w:basedOn w:val="Normalny"/>
    <w:uiPriority w:val="99"/>
    <w:semiHidden/>
    <w:unhideWhenUsed/>
    <w:rsid w:val="00896D1D"/>
    <w:rPr>
      <w:rFonts w:ascii="Times New Roman" w:hAnsi="Times New Roman" w:cs="Times New Roman"/>
      <w:sz w:val="24"/>
      <w:szCs w:val="24"/>
    </w:rPr>
  </w:style>
  <w:style w:type="paragraph" w:styleId="Spisilustracji">
    <w:name w:val="table of figures"/>
    <w:basedOn w:val="Normalny"/>
    <w:next w:val="Normalny"/>
    <w:uiPriority w:val="99"/>
    <w:unhideWhenUsed/>
    <w:rsid w:val="007167ED"/>
    <w:pPr>
      <w:spacing w:after="0"/>
    </w:pPr>
  </w:style>
  <w:style w:type="paragraph" w:styleId="Tekstprzypisukocowego">
    <w:name w:val="endnote text"/>
    <w:basedOn w:val="Normalny"/>
    <w:link w:val="TekstprzypisukocowegoZnak"/>
    <w:uiPriority w:val="99"/>
    <w:semiHidden/>
    <w:unhideWhenUsed/>
    <w:rsid w:val="00BE629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E6298"/>
    <w:rPr>
      <w:sz w:val="20"/>
      <w:szCs w:val="20"/>
    </w:rPr>
  </w:style>
  <w:style w:type="character" w:styleId="Odwoanieprzypisukocowego">
    <w:name w:val="endnote reference"/>
    <w:basedOn w:val="Domylnaczcionkaakapitu"/>
    <w:uiPriority w:val="99"/>
    <w:semiHidden/>
    <w:unhideWhenUsed/>
    <w:rsid w:val="00BE6298"/>
    <w:rPr>
      <w:vertAlign w:val="superscript"/>
    </w:rPr>
  </w:style>
  <w:style w:type="table" w:customStyle="1" w:styleId="Zwykatabela11">
    <w:name w:val="Zwykła tabela 11"/>
    <w:basedOn w:val="Standardowy"/>
    <w:uiPriority w:val="41"/>
    <w:rsid w:val="007212E1"/>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ierozpoznanawzmianka10">
    <w:name w:val="Nierozpoznana wzmianka1"/>
    <w:basedOn w:val="Domylnaczcionkaakapitu"/>
    <w:uiPriority w:val="99"/>
    <w:semiHidden/>
    <w:unhideWhenUsed/>
    <w:rsid w:val="00E76C86"/>
    <w:rPr>
      <w:color w:val="605E5C"/>
      <w:shd w:val="clear" w:color="auto" w:fill="E1DFDD"/>
    </w:rPr>
  </w:style>
  <w:style w:type="paragraph" w:styleId="Tekstdymka">
    <w:name w:val="Balloon Text"/>
    <w:basedOn w:val="Normalny"/>
    <w:link w:val="TekstdymkaZnak"/>
    <w:uiPriority w:val="99"/>
    <w:semiHidden/>
    <w:unhideWhenUsed/>
    <w:rsid w:val="00E76C8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76C86"/>
    <w:rPr>
      <w:rFonts w:ascii="Tahoma" w:hAnsi="Tahoma" w:cs="Tahoma"/>
      <w:sz w:val="16"/>
      <w:szCs w:val="16"/>
    </w:rPr>
  </w:style>
  <w:style w:type="paragraph" w:styleId="Poprawka">
    <w:name w:val="Revision"/>
    <w:hidden/>
    <w:uiPriority w:val="99"/>
    <w:semiHidden/>
    <w:rsid w:val="00E76C86"/>
    <w:pPr>
      <w:spacing w:after="0" w:line="240" w:lineRule="auto"/>
    </w:pPr>
  </w:style>
  <w:style w:type="character" w:customStyle="1" w:styleId="Nierozpoznanawzmianka2">
    <w:name w:val="Nierozpoznana wzmianka2"/>
    <w:basedOn w:val="Domylnaczcionkaakapitu"/>
    <w:uiPriority w:val="99"/>
    <w:semiHidden/>
    <w:unhideWhenUsed/>
    <w:rsid w:val="003405A0"/>
    <w:rPr>
      <w:color w:val="605E5C"/>
      <w:shd w:val="clear" w:color="auto" w:fill="E1DFDD"/>
    </w:rPr>
  </w:style>
  <w:style w:type="character" w:customStyle="1" w:styleId="LegendaZnak">
    <w:name w:val="Legenda Znak"/>
    <w:basedOn w:val="Domylnaczcionkaakapitu"/>
    <w:link w:val="Legenda"/>
    <w:uiPriority w:val="35"/>
    <w:rsid w:val="003405A0"/>
    <w:rPr>
      <w:iCs/>
      <w:color w:val="363735" w:themeColor="accent3"/>
      <w:sz w:val="20"/>
      <w:szCs w:val="18"/>
    </w:rPr>
  </w:style>
  <w:style w:type="paragraph" w:styleId="Bezodstpw">
    <w:name w:val="No Spacing"/>
    <w:uiPriority w:val="1"/>
    <w:qFormat/>
    <w:rsid w:val="00D62CBB"/>
    <w:pPr>
      <w:spacing w:after="0" w:line="240" w:lineRule="auto"/>
      <w:jc w:val="both"/>
    </w:pPr>
  </w:style>
  <w:style w:type="character" w:customStyle="1" w:styleId="UnresolvedMention">
    <w:name w:val="Unresolved Mention"/>
    <w:basedOn w:val="Domylnaczcionkaakapitu"/>
    <w:uiPriority w:val="99"/>
    <w:semiHidden/>
    <w:unhideWhenUsed/>
    <w:rsid w:val="004B5FB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0665151">
      <w:bodyDiv w:val="1"/>
      <w:marLeft w:val="0"/>
      <w:marRight w:val="0"/>
      <w:marTop w:val="0"/>
      <w:marBottom w:val="0"/>
      <w:divBdr>
        <w:top w:val="none" w:sz="0" w:space="0" w:color="auto"/>
        <w:left w:val="none" w:sz="0" w:space="0" w:color="auto"/>
        <w:bottom w:val="none" w:sz="0" w:space="0" w:color="auto"/>
        <w:right w:val="none" w:sz="0" w:space="0" w:color="auto"/>
      </w:divBdr>
    </w:div>
    <w:div w:id="57361415">
      <w:bodyDiv w:val="1"/>
      <w:marLeft w:val="0"/>
      <w:marRight w:val="0"/>
      <w:marTop w:val="0"/>
      <w:marBottom w:val="0"/>
      <w:divBdr>
        <w:top w:val="none" w:sz="0" w:space="0" w:color="auto"/>
        <w:left w:val="none" w:sz="0" w:space="0" w:color="auto"/>
        <w:bottom w:val="none" w:sz="0" w:space="0" w:color="auto"/>
        <w:right w:val="none" w:sz="0" w:space="0" w:color="auto"/>
      </w:divBdr>
    </w:div>
    <w:div w:id="70350974">
      <w:bodyDiv w:val="1"/>
      <w:marLeft w:val="0"/>
      <w:marRight w:val="0"/>
      <w:marTop w:val="0"/>
      <w:marBottom w:val="0"/>
      <w:divBdr>
        <w:top w:val="none" w:sz="0" w:space="0" w:color="auto"/>
        <w:left w:val="none" w:sz="0" w:space="0" w:color="auto"/>
        <w:bottom w:val="none" w:sz="0" w:space="0" w:color="auto"/>
        <w:right w:val="none" w:sz="0" w:space="0" w:color="auto"/>
      </w:divBdr>
    </w:div>
    <w:div w:id="71246585">
      <w:bodyDiv w:val="1"/>
      <w:marLeft w:val="0"/>
      <w:marRight w:val="0"/>
      <w:marTop w:val="0"/>
      <w:marBottom w:val="0"/>
      <w:divBdr>
        <w:top w:val="none" w:sz="0" w:space="0" w:color="auto"/>
        <w:left w:val="none" w:sz="0" w:space="0" w:color="auto"/>
        <w:bottom w:val="none" w:sz="0" w:space="0" w:color="auto"/>
        <w:right w:val="none" w:sz="0" w:space="0" w:color="auto"/>
      </w:divBdr>
    </w:div>
    <w:div w:id="85001149">
      <w:bodyDiv w:val="1"/>
      <w:marLeft w:val="0"/>
      <w:marRight w:val="0"/>
      <w:marTop w:val="0"/>
      <w:marBottom w:val="0"/>
      <w:divBdr>
        <w:top w:val="none" w:sz="0" w:space="0" w:color="auto"/>
        <w:left w:val="none" w:sz="0" w:space="0" w:color="auto"/>
        <w:bottom w:val="none" w:sz="0" w:space="0" w:color="auto"/>
        <w:right w:val="none" w:sz="0" w:space="0" w:color="auto"/>
      </w:divBdr>
    </w:div>
    <w:div w:id="96826474">
      <w:bodyDiv w:val="1"/>
      <w:marLeft w:val="0"/>
      <w:marRight w:val="0"/>
      <w:marTop w:val="0"/>
      <w:marBottom w:val="0"/>
      <w:divBdr>
        <w:top w:val="none" w:sz="0" w:space="0" w:color="auto"/>
        <w:left w:val="none" w:sz="0" w:space="0" w:color="auto"/>
        <w:bottom w:val="none" w:sz="0" w:space="0" w:color="auto"/>
        <w:right w:val="none" w:sz="0" w:space="0" w:color="auto"/>
      </w:divBdr>
    </w:div>
    <w:div w:id="105973955">
      <w:bodyDiv w:val="1"/>
      <w:marLeft w:val="0"/>
      <w:marRight w:val="0"/>
      <w:marTop w:val="0"/>
      <w:marBottom w:val="0"/>
      <w:divBdr>
        <w:top w:val="none" w:sz="0" w:space="0" w:color="auto"/>
        <w:left w:val="none" w:sz="0" w:space="0" w:color="auto"/>
        <w:bottom w:val="none" w:sz="0" w:space="0" w:color="auto"/>
        <w:right w:val="none" w:sz="0" w:space="0" w:color="auto"/>
      </w:divBdr>
    </w:div>
    <w:div w:id="217472170">
      <w:bodyDiv w:val="1"/>
      <w:marLeft w:val="0"/>
      <w:marRight w:val="0"/>
      <w:marTop w:val="0"/>
      <w:marBottom w:val="0"/>
      <w:divBdr>
        <w:top w:val="none" w:sz="0" w:space="0" w:color="auto"/>
        <w:left w:val="none" w:sz="0" w:space="0" w:color="auto"/>
        <w:bottom w:val="none" w:sz="0" w:space="0" w:color="auto"/>
        <w:right w:val="none" w:sz="0" w:space="0" w:color="auto"/>
      </w:divBdr>
    </w:div>
    <w:div w:id="252207758">
      <w:bodyDiv w:val="1"/>
      <w:marLeft w:val="0"/>
      <w:marRight w:val="0"/>
      <w:marTop w:val="0"/>
      <w:marBottom w:val="0"/>
      <w:divBdr>
        <w:top w:val="none" w:sz="0" w:space="0" w:color="auto"/>
        <w:left w:val="none" w:sz="0" w:space="0" w:color="auto"/>
        <w:bottom w:val="none" w:sz="0" w:space="0" w:color="auto"/>
        <w:right w:val="none" w:sz="0" w:space="0" w:color="auto"/>
      </w:divBdr>
    </w:div>
    <w:div w:id="310210211">
      <w:bodyDiv w:val="1"/>
      <w:marLeft w:val="0"/>
      <w:marRight w:val="0"/>
      <w:marTop w:val="0"/>
      <w:marBottom w:val="0"/>
      <w:divBdr>
        <w:top w:val="none" w:sz="0" w:space="0" w:color="auto"/>
        <w:left w:val="none" w:sz="0" w:space="0" w:color="auto"/>
        <w:bottom w:val="none" w:sz="0" w:space="0" w:color="auto"/>
        <w:right w:val="none" w:sz="0" w:space="0" w:color="auto"/>
      </w:divBdr>
    </w:div>
    <w:div w:id="330645851">
      <w:bodyDiv w:val="1"/>
      <w:marLeft w:val="0"/>
      <w:marRight w:val="0"/>
      <w:marTop w:val="0"/>
      <w:marBottom w:val="0"/>
      <w:divBdr>
        <w:top w:val="none" w:sz="0" w:space="0" w:color="auto"/>
        <w:left w:val="none" w:sz="0" w:space="0" w:color="auto"/>
        <w:bottom w:val="none" w:sz="0" w:space="0" w:color="auto"/>
        <w:right w:val="none" w:sz="0" w:space="0" w:color="auto"/>
      </w:divBdr>
    </w:div>
    <w:div w:id="332806318">
      <w:bodyDiv w:val="1"/>
      <w:marLeft w:val="0"/>
      <w:marRight w:val="0"/>
      <w:marTop w:val="0"/>
      <w:marBottom w:val="0"/>
      <w:divBdr>
        <w:top w:val="none" w:sz="0" w:space="0" w:color="auto"/>
        <w:left w:val="none" w:sz="0" w:space="0" w:color="auto"/>
        <w:bottom w:val="none" w:sz="0" w:space="0" w:color="auto"/>
        <w:right w:val="none" w:sz="0" w:space="0" w:color="auto"/>
      </w:divBdr>
    </w:div>
    <w:div w:id="333724364">
      <w:bodyDiv w:val="1"/>
      <w:marLeft w:val="0"/>
      <w:marRight w:val="0"/>
      <w:marTop w:val="0"/>
      <w:marBottom w:val="0"/>
      <w:divBdr>
        <w:top w:val="none" w:sz="0" w:space="0" w:color="auto"/>
        <w:left w:val="none" w:sz="0" w:space="0" w:color="auto"/>
        <w:bottom w:val="none" w:sz="0" w:space="0" w:color="auto"/>
        <w:right w:val="none" w:sz="0" w:space="0" w:color="auto"/>
      </w:divBdr>
    </w:div>
    <w:div w:id="352998506">
      <w:bodyDiv w:val="1"/>
      <w:marLeft w:val="0"/>
      <w:marRight w:val="0"/>
      <w:marTop w:val="0"/>
      <w:marBottom w:val="0"/>
      <w:divBdr>
        <w:top w:val="none" w:sz="0" w:space="0" w:color="auto"/>
        <w:left w:val="none" w:sz="0" w:space="0" w:color="auto"/>
        <w:bottom w:val="none" w:sz="0" w:space="0" w:color="auto"/>
        <w:right w:val="none" w:sz="0" w:space="0" w:color="auto"/>
      </w:divBdr>
    </w:div>
    <w:div w:id="372341851">
      <w:bodyDiv w:val="1"/>
      <w:marLeft w:val="0"/>
      <w:marRight w:val="0"/>
      <w:marTop w:val="0"/>
      <w:marBottom w:val="0"/>
      <w:divBdr>
        <w:top w:val="none" w:sz="0" w:space="0" w:color="auto"/>
        <w:left w:val="none" w:sz="0" w:space="0" w:color="auto"/>
        <w:bottom w:val="none" w:sz="0" w:space="0" w:color="auto"/>
        <w:right w:val="none" w:sz="0" w:space="0" w:color="auto"/>
      </w:divBdr>
    </w:div>
    <w:div w:id="373165961">
      <w:bodyDiv w:val="1"/>
      <w:marLeft w:val="0"/>
      <w:marRight w:val="0"/>
      <w:marTop w:val="0"/>
      <w:marBottom w:val="0"/>
      <w:divBdr>
        <w:top w:val="none" w:sz="0" w:space="0" w:color="auto"/>
        <w:left w:val="none" w:sz="0" w:space="0" w:color="auto"/>
        <w:bottom w:val="none" w:sz="0" w:space="0" w:color="auto"/>
        <w:right w:val="none" w:sz="0" w:space="0" w:color="auto"/>
      </w:divBdr>
      <w:divsChild>
        <w:div w:id="1085570829">
          <w:marLeft w:val="0"/>
          <w:marRight w:val="0"/>
          <w:marTop w:val="0"/>
          <w:marBottom w:val="0"/>
          <w:divBdr>
            <w:top w:val="none" w:sz="0" w:space="0" w:color="auto"/>
            <w:left w:val="none" w:sz="0" w:space="0" w:color="auto"/>
            <w:bottom w:val="none" w:sz="0" w:space="0" w:color="auto"/>
            <w:right w:val="none" w:sz="0" w:space="0" w:color="auto"/>
          </w:divBdr>
        </w:div>
        <w:div w:id="891698727">
          <w:marLeft w:val="0"/>
          <w:marRight w:val="0"/>
          <w:marTop w:val="0"/>
          <w:marBottom w:val="0"/>
          <w:divBdr>
            <w:top w:val="none" w:sz="0" w:space="0" w:color="auto"/>
            <w:left w:val="none" w:sz="0" w:space="0" w:color="auto"/>
            <w:bottom w:val="none" w:sz="0" w:space="0" w:color="auto"/>
            <w:right w:val="none" w:sz="0" w:space="0" w:color="auto"/>
          </w:divBdr>
        </w:div>
        <w:div w:id="2001998493">
          <w:marLeft w:val="0"/>
          <w:marRight w:val="0"/>
          <w:marTop w:val="0"/>
          <w:marBottom w:val="0"/>
          <w:divBdr>
            <w:top w:val="none" w:sz="0" w:space="0" w:color="auto"/>
            <w:left w:val="none" w:sz="0" w:space="0" w:color="auto"/>
            <w:bottom w:val="none" w:sz="0" w:space="0" w:color="auto"/>
            <w:right w:val="none" w:sz="0" w:space="0" w:color="auto"/>
          </w:divBdr>
        </w:div>
        <w:div w:id="358552335">
          <w:marLeft w:val="0"/>
          <w:marRight w:val="0"/>
          <w:marTop w:val="0"/>
          <w:marBottom w:val="0"/>
          <w:divBdr>
            <w:top w:val="none" w:sz="0" w:space="0" w:color="auto"/>
            <w:left w:val="none" w:sz="0" w:space="0" w:color="auto"/>
            <w:bottom w:val="none" w:sz="0" w:space="0" w:color="auto"/>
            <w:right w:val="none" w:sz="0" w:space="0" w:color="auto"/>
          </w:divBdr>
        </w:div>
        <w:div w:id="991757095">
          <w:marLeft w:val="0"/>
          <w:marRight w:val="0"/>
          <w:marTop w:val="0"/>
          <w:marBottom w:val="0"/>
          <w:divBdr>
            <w:top w:val="none" w:sz="0" w:space="0" w:color="auto"/>
            <w:left w:val="none" w:sz="0" w:space="0" w:color="auto"/>
            <w:bottom w:val="none" w:sz="0" w:space="0" w:color="auto"/>
            <w:right w:val="none" w:sz="0" w:space="0" w:color="auto"/>
          </w:divBdr>
        </w:div>
        <w:div w:id="2093624928">
          <w:marLeft w:val="0"/>
          <w:marRight w:val="0"/>
          <w:marTop w:val="0"/>
          <w:marBottom w:val="0"/>
          <w:divBdr>
            <w:top w:val="none" w:sz="0" w:space="0" w:color="auto"/>
            <w:left w:val="none" w:sz="0" w:space="0" w:color="auto"/>
            <w:bottom w:val="none" w:sz="0" w:space="0" w:color="auto"/>
            <w:right w:val="none" w:sz="0" w:space="0" w:color="auto"/>
          </w:divBdr>
        </w:div>
        <w:div w:id="786201096">
          <w:marLeft w:val="0"/>
          <w:marRight w:val="0"/>
          <w:marTop w:val="0"/>
          <w:marBottom w:val="0"/>
          <w:divBdr>
            <w:top w:val="none" w:sz="0" w:space="0" w:color="auto"/>
            <w:left w:val="none" w:sz="0" w:space="0" w:color="auto"/>
            <w:bottom w:val="none" w:sz="0" w:space="0" w:color="auto"/>
            <w:right w:val="none" w:sz="0" w:space="0" w:color="auto"/>
          </w:divBdr>
        </w:div>
        <w:div w:id="871770158">
          <w:marLeft w:val="0"/>
          <w:marRight w:val="0"/>
          <w:marTop w:val="0"/>
          <w:marBottom w:val="0"/>
          <w:divBdr>
            <w:top w:val="none" w:sz="0" w:space="0" w:color="auto"/>
            <w:left w:val="none" w:sz="0" w:space="0" w:color="auto"/>
            <w:bottom w:val="none" w:sz="0" w:space="0" w:color="auto"/>
            <w:right w:val="none" w:sz="0" w:space="0" w:color="auto"/>
          </w:divBdr>
        </w:div>
        <w:div w:id="263609736">
          <w:marLeft w:val="0"/>
          <w:marRight w:val="0"/>
          <w:marTop w:val="0"/>
          <w:marBottom w:val="0"/>
          <w:divBdr>
            <w:top w:val="none" w:sz="0" w:space="0" w:color="auto"/>
            <w:left w:val="none" w:sz="0" w:space="0" w:color="auto"/>
            <w:bottom w:val="none" w:sz="0" w:space="0" w:color="auto"/>
            <w:right w:val="none" w:sz="0" w:space="0" w:color="auto"/>
          </w:divBdr>
        </w:div>
        <w:div w:id="1272198829">
          <w:marLeft w:val="0"/>
          <w:marRight w:val="0"/>
          <w:marTop w:val="0"/>
          <w:marBottom w:val="0"/>
          <w:divBdr>
            <w:top w:val="none" w:sz="0" w:space="0" w:color="auto"/>
            <w:left w:val="none" w:sz="0" w:space="0" w:color="auto"/>
            <w:bottom w:val="none" w:sz="0" w:space="0" w:color="auto"/>
            <w:right w:val="none" w:sz="0" w:space="0" w:color="auto"/>
          </w:divBdr>
        </w:div>
        <w:div w:id="363794325">
          <w:marLeft w:val="0"/>
          <w:marRight w:val="0"/>
          <w:marTop w:val="0"/>
          <w:marBottom w:val="0"/>
          <w:divBdr>
            <w:top w:val="none" w:sz="0" w:space="0" w:color="auto"/>
            <w:left w:val="none" w:sz="0" w:space="0" w:color="auto"/>
            <w:bottom w:val="none" w:sz="0" w:space="0" w:color="auto"/>
            <w:right w:val="none" w:sz="0" w:space="0" w:color="auto"/>
          </w:divBdr>
        </w:div>
        <w:div w:id="1599873291">
          <w:marLeft w:val="0"/>
          <w:marRight w:val="0"/>
          <w:marTop w:val="0"/>
          <w:marBottom w:val="0"/>
          <w:divBdr>
            <w:top w:val="none" w:sz="0" w:space="0" w:color="auto"/>
            <w:left w:val="none" w:sz="0" w:space="0" w:color="auto"/>
            <w:bottom w:val="none" w:sz="0" w:space="0" w:color="auto"/>
            <w:right w:val="none" w:sz="0" w:space="0" w:color="auto"/>
          </w:divBdr>
        </w:div>
      </w:divsChild>
    </w:div>
    <w:div w:id="424807292">
      <w:bodyDiv w:val="1"/>
      <w:marLeft w:val="0"/>
      <w:marRight w:val="0"/>
      <w:marTop w:val="0"/>
      <w:marBottom w:val="0"/>
      <w:divBdr>
        <w:top w:val="none" w:sz="0" w:space="0" w:color="auto"/>
        <w:left w:val="none" w:sz="0" w:space="0" w:color="auto"/>
        <w:bottom w:val="none" w:sz="0" w:space="0" w:color="auto"/>
        <w:right w:val="none" w:sz="0" w:space="0" w:color="auto"/>
      </w:divBdr>
    </w:div>
    <w:div w:id="427191072">
      <w:bodyDiv w:val="1"/>
      <w:marLeft w:val="0"/>
      <w:marRight w:val="0"/>
      <w:marTop w:val="0"/>
      <w:marBottom w:val="0"/>
      <w:divBdr>
        <w:top w:val="none" w:sz="0" w:space="0" w:color="auto"/>
        <w:left w:val="none" w:sz="0" w:space="0" w:color="auto"/>
        <w:bottom w:val="none" w:sz="0" w:space="0" w:color="auto"/>
        <w:right w:val="none" w:sz="0" w:space="0" w:color="auto"/>
      </w:divBdr>
    </w:div>
    <w:div w:id="468982144">
      <w:bodyDiv w:val="1"/>
      <w:marLeft w:val="0"/>
      <w:marRight w:val="0"/>
      <w:marTop w:val="0"/>
      <w:marBottom w:val="0"/>
      <w:divBdr>
        <w:top w:val="none" w:sz="0" w:space="0" w:color="auto"/>
        <w:left w:val="none" w:sz="0" w:space="0" w:color="auto"/>
        <w:bottom w:val="none" w:sz="0" w:space="0" w:color="auto"/>
        <w:right w:val="none" w:sz="0" w:space="0" w:color="auto"/>
      </w:divBdr>
    </w:div>
    <w:div w:id="474760397">
      <w:bodyDiv w:val="1"/>
      <w:marLeft w:val="0"/>
      <w:marRight w:val="0"/>
      <w:marTop w:val="0"/>
      <w:marBottom w:val="0"/>
      <w:divBdr>
        <w:top w:val="none" w:sz="0" w:space="0" w:color="auto"/>
        <w:left w:val="none" w:sz="0" w:space="0" w:color="auto"/>
        <w:bottom w:val="none" w:sz="0" w:space="0" w:color="auto"/>
        <w:right w:val="none" w:sz="0" w:space="0" w:color="auto"/>
      </w:divBdr>
    </w:div>
    <w:div w:id="490099757">
      <w:bodyDiv w:val="1"/>
      <w:marLeft w:val="0"/>
      <w:marRight w:val="0"/>
      <w:marTop w:val="0"/>
      <w:marBottom w:val="0"/>
      <w:divBdr>
        <w:top w:val="none" w:sz="0" w:space="0" w:color="auto"/>
        <w:left w:val="none" w:sz="0" w:space="0" w:color="auto"/>
        <w:bottom w:val="none" w:sz="0" w:space="0" w:color="auto"/>
        <w:right w:val="none" w:sz="0" w:space="0" w:color="auto"/>
      </w:divBdr>
    </w:div>
    <w:div w:id="497157056">
      <w:bodyDiv w:val="1"/>
      <w:marLeft w:val="0"/>
      <w:marRight w:val="0"/>
      <w:marTop w:val="0"/>
      <w:marBottom w:val="0"/>
      <w:divBdr>
        <w:top w:val="none" w:sz="0" w:space="0" w:color="auto"/>
        <w:left w:val="none" w:sz="0" w:space="0" w:color="auto"/>
        <w:bottom w:val="none" w:sz="0" w:space="0" w:color="auto"/>
        <w:right w:val="none" w:sz="0" w:space="0" w:color="auto"/>
      </w:divBdr>
    </w:div>
    <w:div w:id="509878324">
      <w:bodyDiv w:val="1"/>
      <w:marLeft w:val="0"/>
      <w:marRight w:val="0"/>
      <w:marTop w:val="0"/>
      <w:marBottom w:val="0"/>
      <w:divBdr>
        <w:top w:val="none" w:sz="0" w:space="0" w:color="auto"/>
        <w:left w:val="none" w:sz="0" w:space="0" w:color="auto"/>
        <w:bottom w:val="none" w:sz="0" w:space="0" w:color="auto"/>
        <w:right w:val="none" w:sz="0" w:space="0" w:color="auto"/>
      </w:divBdr>
    </w:div>
    <w:div w:id="514656761">
      <w:bodyDiv w:val="1"/>
      <w:marLeft w:val="0"/>
      <w:marRight w:val="0"/>
      <w:marTop w:val="0"/>
      <w:marBottom w:val="0"/>
      <w:divBdr>
        <w:top w:val="none" w:sz="0" w:space="0" w:color="auto"/>
        <w:left w:val="none" w:sz="0" w:space="0" w:color="auto"/>
        <w:bottom w:val="none" w:sz="0" w:space="0" w:color="auto"/>
        <w:right w:val="none" w:sz="0" w:space="0" w:color="auto"/>
      </w:divBdr>
      <w:divsChild>
        <w:div w:id="1600530382">
          <w:marLeft w:val="0"/>
          <w:marRight w:val="0"/>
          <w:marTop w:val="0"/>
          <w:marBottom w:val="0"/>
          <w:divBdr>
            <w:top w:val="none" w:sz="0" w:space="0" w:color="auto"/>
            <w:left w:val="none" w:sz="0" w:space="0" w:color="auto"/>
            <w:bottom w:val="none" w:sz="0" w:space="0" w:color="auto"/>
            <w:right w:val="none" w:sz="0" w:space="0" w:color="auto"/>
          </w:divBdr>
        </w:div>
      </w:divsChild>
    </w:div>
    <w:div w:id="538205987">
      <w:bodyDiv w:val="1"/>
      <w:marLeft w:val="0"/>
      <w:marRight w:val="0"/>
      <w:marTop w:val="0"/>
      <w:marBottom w:val="0"/>
      <w:divBdr>
        <w:top w:val="none" w:sz="0" w:space="0" w:color="auto"/>
        <w:left w:val="none" w:sz="0" w:space="0" w:color="auto"/>
        <w:bottom w:val="none" w:sz="0" w:space="0" w:color="auto"/>
        <w:right w:val="none" w:sz="0" w:space="0" w:color="auto"/>
      </w:divBdr>
    </w:div>
    <w:div w:id="540557300">
      <w:bodyDiv w:val="1"/>
      <w:marLeft w:val="0"/>
      <w:marRight w:val="0"/>
      <w:marTop w:val="0"/>
      <w:marBottom w:val="0"/>
      <w:divBdr>
        <w:top w:val="none" w:sz="0" w:space="0" w:color="auto"/>
        <w:left w:val="none" w:sz="0" w:space="0" w:color="auto"/>
        <w:bottom w:val="none" w:sz="0" w:space="0" w:color="auto"/>
        <w:right w:val="none" w:sz="0" w:space="0" w:color="auto"/>
      </w:divBdr>
    </w:div>
    <w:div w:id="542905063">
      <w:bodyDiv w:val="1"/>
      <w:marLeft w:val="0"/>
      <w:marRight w:val="0"/>
      <w:marTop w:val="0"/>
      <w:marBottom w:val="0"/>
      <w:divBdr>
        <w:top w:val="none" w:sz="0" w:space="0" w:color="auto"/>
        <w:left w:val="none" w:sz="0" w:space="0" w:color="auto"/>
        <w:bottom w:val="none" w:sz="0" w:space="0" w:color="auto"/>
        <w:right w:val="none" w:sz="0" w:space="0" w:color="auto"/>
      </w:divBdr>
    </w:div>
    <w:div w:id="575357050">
      <w:bodyDiv w:val="1"/>
      <w:marLeft w:val="0"/>
      <w:marRight w:val="0"/>
      <w:marTop w:val="0"/>
      <w:marBottom w:val="0"/>
      <w:divBdr>
        <w:top w:val="none" w:sz="0" w:space="0" w:color="auto"/>
        <w:left w:val="none" w:sz="0" w:space="0" w:color="auto"/>
        <w:bottom w:val="none" w:sz="0" w:space="0" w:color="auto"/>
        <w:right w:val="none" w:sz="0" w:space="0" w:color="auto"/>
      </w:divBdr>
    </w:div>
    <w:div w:id="595939951">
      <w:bodyDiv w:val="1"/>
      <w:marLeft w:val="0"/>
      <w:marRight w:val="0"/>
      <w:marTop w:val="0"/>
      <w:marBottom w:val="0"/>
      <w:divBdr>
        <w:top w:val="none" w:sz="0" w:space="0" w:color="auto"/>
        <w:left w:val="none" w:sz="0" w:space="0" w:color="auto"/>
        <w:bottom w:val="none" w:sz="0" w:space="0" w:color="auto"/>
        <w:right w:val="none" w:sz="0" w:space="0" w:color="auto"/>
      </w:divBdr>
    </w:div>
    <w:div w:id="596984183">
      <w:bodyDiv w:val="1"/>
      <w:marLeft w:val="0"/>
      <w:marRight w:val="0"/>
      <w:marTop w:val="0"/>
      <w:marBottom w:val="0"/>
      <w:divBdr>
        <w:top w:val="none" w:sz="0" w:space="0" w:color="auto"/>
        <w:left w:val="none" w:sz="0" w:space="0" w:color="auto"/>
        <w:bottom w:val="none" w:sz="0" w:space="0" w:color="auto"/>
        <w:right w:val="none" w:sz="0" w:space="0" w:color="auto"/>
      </w:divBdr>
    </w:div>
    <w:div w:id="611018305">
      <w:bodyDiv w:val="1"/>
      <w:marLeft w:val="0"/>
      <w:marRight w:val="0"/>
      <w:marTop w:val="0"/>
      <w:marBottom w:val="0"/>
      <w:divBdr>
        <w:top w:val="none" w:sz="0" w:space="0" w:color="auto"/>
        <w:left w:val="none" w:sz="0" w:space="0" w:color="auto"/>
        <w:bottom w:val="none" w:sz="0" w:space="0" w:color="auto"/>
        <w:right w:val="none" w:sz="0" w:space="0" w:color="auto"/>
      </w:divBdr>
    </w:div>
    <w:div w:id="658924584">
      <w:bodyDiv w:val="1"/>
      <w:marLeft w:val="0"/>
      <w:marRight w:val="0"/>
      <w:marTop w:val="0"/>
      <w:marBottom w:val="0"/>
      <w:divBdr>
        <w:top w:val="none" w:sz="0" w:space="0" w:color="auto"/>
        <w:left w:val="none" w:sz="0" w:space="0" w:color="auto"/>
        <w:bottom w:val="none" w:sz="0" w:space="0" w:color="auto"/>
        <w:right w:val="none" w:sz="0" w:space="0" w:color="auto"/>
      </w:divBdr>
    </w:div>
    <w:div w:id="679963527">
      <w:bodyDiv w:val="1"/>
      <w:marLeft w:val="0"/>
      <w:marRight w:val="0"/>
      <w:marTop w:val="0"/>
      <w:marBottom w:val="0"/>
      <w:divBdr>
        <w:top w:val="none" w:sz="0" w:space="0" w:color="auto"/>
        <w:left w:val="none" w:sz="0" w:space="0" w:color="auto"/>
        <w:bottom w:val="none" w:sz="0" w:space="0" w:color="auto"/>
        <w:right w:val="none" w:sz="0" w:space="0" w:color="auto"/>
      </w:divBdr>
    </w:div>
    <w:div w:id="687146520">
      <w:bodyDiv w:val="1"/>
      <w:marLeft w:val="0"/>
      <w:marRight w:val="0"/>
      <w:marTop w:val="0"/>
      <w:marBottom w:val="0"/>
      <w:divBdr>
        <w:top w:val="none" w:sz="0" w:space="0" w:color="auto"/>
        <w:left w:val="none" w:sz="0" w:space="0" w:color="auto"/>
        <w:bottom w:val="none" w:sz="0" w:space="0" w:color="auto"/>
        <w:right w:val="none" w:sz="0" w:space="0" w:color="auto"/>
      </w:divBdr>
    </w:div>
    <w:div w:id="693846684">
      <w:bodyDiv w:val="1"/>
      <w:marLeft w:val="0"/>
      <w:marRight w:val="0"/>
      <w:marTop w:val="0"/>
      <w:marBottom w:val="0"/>
      <w:divBdr>
        <w:top w:val="none" w:sz="0" w:space="0" w:color="auto"/>
        <w:left w:val="none" w:sz="0" w:space="0" w:color="auto"/>
        <w:bottom w:val="none" w:sz="0" w:space="0" w:color="auto"/>
        <w:right w:val="none" w:sz="0" w:space="0" w:color="auto"/>
      </w:divBdr>
    </w:div>
    <w:div w:id="697195670">
      <w:bodyDiv w:val="1"/>
      <w:marLeft w:val="0"/>
      <w:marRight w:val="0"/>
      <w:marTop w:val="0"/>
      <w:marBottom w:val="0"/>
      <w:divBdr>
        <w:top w:val="none" w:sz="0" w:space="0" w:color="auto"/>
        <w:left w:val="none" w:sz="0" w:space="0" w:color="auto"/>
        <w:bottom w:val="none" w:sz="0" w:space="0" w:color="auto"/>
        <w:right w:val="none" w:sz="0" w:space="0" w:color="auto"/>
      </w:divBdr>
    </w:div>
    <w:div w:id="700401887">
      <w:bodyDiv w:val="1"/>
      <w:marLeft w:val="0"/>
      <w:marRight w:val="0"/>
      <w:marTop w:val="0"/>
      <w:marBottom w:val="0"/>
      <w:divBdr>
        <w:top w:val="none" w:sz="0" w:space="0" w:color="auto"/>
        <w:left w:val="none" w:sz="0" w:space="0" w:color="auto"/>
        <w:bottom w:val="none" w:sz="0" w:space="0" w:color="auto"/>
        <w:right w:val="none" w:sz="0" w:space="0" w:color="auto"/>
      </w:divBdr>
    </w:div>
    <w:div w:id="706413628">
      <w:bodyDiv w:val="1"/>
      <w:marLeft w:val="0"/>
      <w:marRight w:val="0"/>
      <w:marTop w:val="0"/>
      <w:marBottom w:val="0"/>
      <w:divBdr>
        <w:top w:val="none" w:sz="0" w:space="0" w:color="auto"/>
        <w:left w:val="none" w:sz="0" w:space="0" w:color="auto"/>
        <w:bottom w:val="none" w:sz="0" w:space="0" w:color="auto"/>
        <w:right w:val="none" w:sz="0" w:space="0" w:color="auto"/>
      </w:divBdr>
    </w:div>
    <w:div w:id="714810637">
      <w:bodyDiv w:val="1"/>
      <w:marLeft w:val="0"/>
      <w:marRight w:val="0"/>
      <w:marTop w:val="0"/>
      <w:marBottom w:val="0"/>
      <w:divBdr>
        <w:top w:val="none" w:sz="0" w:space="0" w:color="auto"/>
        <w:left w:val="none" w:sz="0" w:space="0" w:color="auto"/>
        <w:bottom w:val="none" w:sz="0" w:space="0" w:color="auto"/>
        <w:right w:val="none" w:sz="0" w:space="0" w:color="auto"/>
      </w:divBdr>
    </w:div>
    <w:div w:id="721055472">
      <w:bodyDiv w:val="1"/>
      <w:marLeft w:val="0"/>
      <w:marRight w:val="0"/>
      <w:marTop w:val="0"/>
      <w:marBottom w:val="0"/>
      <w:divBdr>
        <w:top w:val="none" w:sz="0" w:space="0" w:color="auto"/>
        <w:left w:val="none" w:sz="0" w:space="0" w:color="auto"/>
        <w:bottom w:val="none" w:sz="0" w:space="0" w:color="auto"/>
        <w:right w:val="none" w:sz="0" w:space="0" w:color="auto"/>
      </w:divBdr>
    </w:div>
    <w:div w:id="738870157">
      <w:bodyDiv w:val="1"/>
      <w:marLeft w:val="0"/>
      <w:marRight w:val="0"/>
      <w:marTop w:val="0"/>
      <w:marBottom w:val="0"/>
      <w:divBdr>
        <w:top w:val="none" w:sz="0" w:space="0" w:color="auto"/>
        <w:left w:val="none" w:sz="0" w:space="0" w:color="auto"/>
        <w:bottom w:val="none" w:sz="0" w:space="0" w:color="auto"/>
        <w:right w:val="none" w:sz="0" w:space="0" w:color="auto"/>
      </w:divBdr>
      <w:divsChild>
        <w:div w:id="759133833">
          <w:marLeft w:val="0"/>
          <w:marRight w:val="0"/>
          <w:marTop w:val="0"/>
          <w:marBottom w:val="0"/>
          <w:divBdr>
            <w:top w:val="none" w:sz="0" w:space="0" w:color="auto"/>
            <w:left w:val="none" w:sz="0" w:space="0" w:color="auto"/>
            <w:bottom w:val="none" w:sz="0" w:space="0" w:color="auto"/>
            <w:right w:val="none" w:sz="0" w:space="0" w:color="auto"/>
          </w:divBdr>
        </w:div>
      </w:divsChild>
    </w:div>
    <w:div w:id="746340004">
      <w:bodyDiv w:val="1"/>
      <w:marLeft w:val="0"/>
      <w:marRight w:val="0"/>
      <w:marTop w:val="0"/>
      <w:marBottom w:val="0"/>
      <w:divBdr>
        <w:top w:val="none" w:sz="0" w:space="0" w:color="auto"/>
        <w:left w:val="none" w:sz="0" w:space="0" w:color="auto"/>
        <w:bottom w:val="none" w:sz="0" w:space="0" w:color="auto"/>
        <w:right w:val="none" w:sz="0" w:space="0" w:color="auto"/>
      </w:divBdr>
    </w:div>
    <w:div w:id="750348331">
      <w:bodyDiv w:val="1"/>
      <w:marLeft w:val="0"/>
      <w:marRight w:val="0"/>
      <w:marTop w:val="0"/>
      <w:marBottom w:val="0"/>
      <w:divBdr>
        <w:top w:val="none" w:sz="0" w:space="0" w:color="auto"/>
        <w:left w:val="none" w:sz="0" w:space="0" w:color="auto"/>
        <w:bottom w:val="none" w:sz="0" w:space="0" w:color="auto"/>
        <w:right w:val="none" w:sz="0" w:space="0" w:color="auto"/>
      </w:divBdr>
      <w:divsChild>
        <w:div w:id="2130052948">
          <w:marLeft w:val="0"/>
          <w:marRight w:val="0"/>
          <w:marTop w:val="0"/>
          <w:marBottom w:val="0"/>
          <w:divBdr>
            <w:top w:val="none" w:sz="0" w:space="0" w:color="auto"/>
            <w:left w:val="none" w:sz="0" w:space="0" w:color="auto"/>
            <w:bottom w:val="none" w:sz="0" w:space="0" w:color="auto"/>
            <w:right w:val="none" w:sz="0" w:space="0" w:color="auto"/>
          </w:divBdr>
        </w:div>
      </w:divsChild>
    </w:div>
    <w:div w:id="793444595">
      <w:bodyDiv w:val="1"/>
      <w:marLeft w:val="0"/>
      <w:marRight w:val="0"/>
      <w:marTop w:val="0"/>
      <w:marBottom w:val="0"/>
      <w:divBdr>
        <w:top w:val="none" w:sz="0" w:space="0" w:color="auto"/>
        <w:left w:val="none" w:sz="0" w:space="0" w:color="auto"/>
        <w:bottom w:val="none" w:sz="0" w:space="0" w:color="auto"/>
        <w:right w:val="none" w:sz="0" w:space="0" w:color="auto"/>
      </w:divBdr>
    </w:div>
    <w:div w:id="829831391">
      <w:bodyDiv w:val="1"/>
      <w:marLeft w:val="0"/>
      <w:marRight w:val="0"/>
      <w:marTop w:val="0"/>
      <w:marBottom w:val="0"/>
      <w:divBdr>
        <w:top w:val="none" w:sz="0" w:space="0" w:color="auto"/>
        <w:left w:val="none" w:sz="0" w:space="0" w:color="auto"/>
        <w:bottom w:val="none" w:sz="0" w:space="0" w:color="auto"/>
        <w:right w:val="none" w:sz="0" w:space="0" w:color="auto"/>
      </w:divBdr>
    </w:div>
    <w:div w:id="899167756">
      <w:bodyDiv w:val="1"/>
      <w:marLeft w:val="0"/>
      <w:marRight w:val="0"/>
      <w:marTop w:val="0"/>
      <w:marBottom w:val="0"/>
      <w:divBdr>
        <w:top w:val="none" w:sz="0" w:space="0" w:color="auto"/>
        <w:left w:val="none" w:sz="0" w:space="0" w:color="auto"/>
        <w:bottom w:val="none" w:sz="0" w:space="0" w:color="auto"/>
        <w:right w:val="none" w:sz="0" w:space="0" w:color="auto"/>
      </w:divBdr>
    </w:div>
    <w:div w:id="911622206">
      <w:bodyDiv w:val="1"/>
      <w:marLeft w:val="0"/>
      <w:marRight w:val="0"/>
      <w:marTop w:val="0"/>
      <w:marBottom w:val="0"/>
      <w:divBdr>
        <w:top w:val="none" w:sz="0" w:space="0" w:color="auto"/>
        <w:left w:val="none" w:sz="0" w:space="0" w:color="auto"/>
        <w:bottom w:val="none" w:sz="0" w:space="0" w:color="auto"/>
        <w:right w:val="none" w:sz="0" w:space="0" w:color="auto"/>
      </w:divBdr>
    </w:div>
    <w:div w:id="957569763">
      <w:bodyDiv w:val="1"/>
      <w:marLeft w:val="0"/>
      <w:marRight w:val="0"/>
      <w:marTop w:val="0"/>
      <w:marBottom w:val="0"/>
      <w:divBdr>
        <w:top w:val="none" w:sz="0" w:space="0" w:color="auto"/>
        <w:left w:val="none" w:sz="0" w:space="0" w:color="auto"/>
        <w:bottom w:val="none" w:sz="0" w:space="0" w:color="auto"/>
        <w:right w:val="none" w:sz="0" w:space="0" w:color="auto"/>
      </w:divBdr>
    </w:div>
    <w:div w:id="1025905600">
      <w:bodyDiv w:val="1"/>
      <w:marLeft w:val="0"/>
      <w:marRight w:val="0"/>
      <w:marTop w:val="0"/>
      <w:marBottom w:val="0"/>
      <w:divBdr>
        <w:top w:val="none" w:sz="0" w:space="0" w:color="auto"/>
        <w:left w:val="none" w:sz="0" w:space="0" w:color="auto"/>
        <w:bottom w:val="none" w:sz="0" w:space="0" w:color="auto"/>
        <w:right w:val="none" w:sz="0" w:space="0" w:color="auto"/>
      </w:divBdr>
    </w:div>
    <w:div w:id="1044019177">
      <w:bodyDiv w:val="1"/>
      <w:marLeft w:val="0"/>
      <w:marRight w:val="0"/>
      <w:marTop w:val="0"/>
      <w:marBottom w:val="0"/>
      <w:divBdr>
        <w:top w:val="none" w:sz="0" w:space="0" w:color="auto"/>
        <w:left w:val="none" w:sz="0" w:space="0" w:color="auto"/>
        <w:bottom w:val="none" w:sz="0" w:space="0" w:color="auto"/>
        <w:right w:val="none" w:sz="0" w:space="0" w:color="auto"/>
      </w:divBdr>
    </w:div>
    <w:div w:id="1057241533">
      <w:bodyDiv w:val="1"/>
      <w:marLeft w:val="0"/>
      <w:marRight w:val="0"/>
      <w:marTop w:val="0"/>
      <w:marBottom w:val="0"/>
      <w:divBdr>
        <w:top w:val="none" w:sz="0" w:space="0" w:color="auto"/>
        <w:left w:val="none" w:sz="0" w:space="0" w:color="auto"/>
        <w:bottom w:val="none" w:sz="0" w:space="0" w:color="auto"/>
        <w:right w:val="none" w:sz="0" w:space="0" w:color="auto"/>
      </w:divBdr>
    </w:div>
    <w:div w:id="1124930141">
      <w:bodyDiv w:val="1"/>
      <w:marLeft w:val="0"/>
      <w:marRight w:val="0"/>
      <w:marTop w:val="0"/>
      <w:marBottom w:val="0"/>
      <w:divBdr>
        <w:top w:val="none" w:sz="0" w:space="0" w:color="auto"/>
        <w:left w:val="none" w:sz="0" w:space="0" w:color="auto"/>
        <w:bottom w:val="none" w:sz="0" w:space="0" w:color="auto"/>
        <w:right w:val="none" w:sz="0" w:space="0" w:color="auto"/>
      </w:divBdr>
    </w:div>
    <w:div w:id="1125658534">
      <w:bodyDiv w:val="1"/>
      <w:marLeft w:val="0"/>
      <w:marRight w:val="0"/>
      <w:marTop w:val="0"/>
      <w:marBottom w:val="0"/>
      <w:divBdr>
        <w:top w:val="none" w:sz="0" w:space="0" w:color="auto"/>
        <w:left w:val="none" w:sz="0" w:space="0" w:color="auto"/>
        <w:bottom w:val="none" w:sz="0" w:space="0" w:color="auto"/>
        <w:right w:val="none" w:sz="0" w:space="0" w:color="auto"/>
      </w:divBdr>
      <w:divsChild>
        <w:div w:id="458233067">
          <w:marLeft w:val="0"/>
          <w:marRight w:val="0"/>
          <w:marTop w:val="0"/>
          <w:marBottom w:val="0"/>
          <w:divBdr>
            <w:top w:val="none" w:sz="0" w:space="0" w:color="auto"/>
            <w:left w:val="none" w:sz="0" w:space="0" w:color="auto"/>
            <w:bottom w:val="none" w:sz="0" w:space="0" w:color="auto"/>
            <w:right w:val="none" w:sz="0" w:space="0" w:color="auto"/>
          </w:divBdr>
        </w:div>
      </w:divsChild>
    </w:div>
    <w:div w:id="1150247392">
      <w:bodyDiv w:val="1"/>
      <w:marLeft w:val="0"/>
      <w:marRight w:val="0"/>
      <w:marTop w:val="0"/>
      <w:marBottom w:val="0"/>
      <w:divBdr>
        <w:top w:val="none" w:sz="0" w:space="0" w:color="auto"/>
        <w:left w:val="none" w:sz="0" w:space="0" w:color="auto"/>
        <w:bottom w:val="none" w:sz="0" w:space="0" w:color="auto"/>
        <w:right w:val="none" w:sz="0" w:space="0" w:color="auto"/>
      </w:divBdr>
    </w:div>
    <w:div w:id="1162163086">
      <w:bodyDiv w:val="1"/>
      <w:marLeft w:val="0"/>
      <w:marRight w:val="0"/>
      <w:marTop w:val="0"/>
      <w:marBottom w:val="0"/>
      <w:divBdr>
        <w:top w:val="none" w:sz="0" w:space="0" w:color="auto"/>
        <w:left w:val="none" w:sz="0" w:space="0" w:color="auto"/>
        <w:bottom w:val="none" w:sz="0" w:space="0" w:color="auto"/>
        <w:right w:val="none" w:sz="0" w:space="0" w:color="auto"/>
      </w:divBdr>
    </w:div>
    <w:div w:id="1168131980">
      <w:bodyDiv w:val="1"/>
      <w:marLeft w:val="0"/>
      <w:marRight w:val="0"/>
      <w:marTop w:val="0"/>
      <w:marBottom w:val="0"/>
      <w:divBdr>
        <w:top w:val="none" w:sz="0" w:space="0" w:color="auto"/>
        <w:left w:val="none" w:sz="0" w:space="0" w:color="auto"/>
        <w:bottom w:val="none" w:sz="0" w:space="0" w:color="auto"/>
        <w:right w:val="none" w:sz="0" w:space="0" w:color="auto"/>
      </w:divBdr>
    </w:div>
    <w:div w:id="1176729402">
      <w:bodyDiv w:val="1"/>
      <w:marLeft w:val="0"/>
      <w:marRight w:val="0"/>
      <w:marTop w:val="0"/>
      <w:marBottom w:val="0"/>
      <w:divBdr>
        <w:top w:val="none" w:sz="0" w:space="0" w:color="auto"/>
        <w:left w:val="none" w:sz="0" w:space="0" w:color="auto"/>
        <w:bottom w:val="none" w:sz="0" w:space="0" w:color="auto"/>
        <w:right w:val="none" w:sz="0" w:space="0" w:color="auto"/>
      </w:divBdr>
    </w:div>
    <w:div w:id="1204905294">
      <w:bodyDiv w:val="1"/>
      <w:marLeft w:val="0"/>
      <w:marRight w:val="0"/>
      <w:marTop w:val="0"/>
      <w:marBottom w:val="0"/>
      <w:divBdr>
        <w:top w:val="none" w:sz="0" w:space="0" w:color="auto"/>
        <w:left w:val="none" w:sz="0" w:space="0" w:color="auto"/>
        <w:bottom w:val="none" w:sz="0" w:space="0" w:color="auto"/>
        <w:right w:val="none" w:sz="0" w:space="0" w:color="auto"/>
      </w:divBdr>
    </w:div>
    <w:div w:id="1210799664">
      <w:bodyDiv w:val="1"/>
      <w:marLeft w:val="0"/>
      <w:marRight w:val="0"/>
      <w:marTop w:val="0"/>
      <w:marBottom w:val="0"/>
      <w:divBdr>
        <w:top w:val="none" w:sz="0" w:space="0" w:color="auto"/>
        <w:left w:val="none" w:sz="0" w:space="0" w:color="auto"/>
        <w:bottom w:val="none" w:sz="0" w:space="0" w:color="auto"/>
        <w:right w:val="none" w:sz="0" w:space="0" w:color="auto"/>
      </w:divBdr>
    </w:div>
    <w:div w:id="1228028416">
      <w:bodyDiv w:val="1"/>
      <w:marLeft w:val="0"/>
      <w:marRight w:val="0"/>
      <w:marTop w:val="0"/>
      <w:marBottom w:val="0"/>
      <w:divBdr>
        <w:top w:val="none" w:sz="0" w:space="0" w:color="auto"/>
        <w:left w:val="none" w:sz="0" w:space="0" w:color="auto"/>
        <w:bottom w:val="none" w:sz="0" w:space="0" w:color="auto"/>
        <w:right w:val="none" w:sz="0" w:space="0" w:color="auto"/>
      </w:divBdr>
    </w:div>
    <w:div w:id="1233613630">
      <w:bodyDiv w:val="1"/>
      <w:marLeft w:val="0"/>
      <w:marRight w:val="0"/>
      <w:marTop w:val="0"/>
      <w:marBottom w:val="0"/>
      <w:divBdr>
        <w:top w:val="none" w:sz="0" w:space="0" w:color="auto"/>
        <w:left w:val="none" w:sz="0" w:space="0" w:color="auto"/>
        <w:bottom w:val="none" w:sz="0" w:space="0" w:color="auto"/>
        <w:right w:val="none" w:sz="0" w:space="0" w:color="auto"/>
      </w:divBdr>
    </w:div>
    <w:div w:id="1311443535">
      <w:bodyDiv w:val="1"/>
      <w:marLeft w:val="0"/>
      <w:marRight w:val="0"/>
      <w:marTop w:val="0"/>
      <w:marBottom w:val="0"/>
      <w:divBdr>
        <w:top w:val="none" w:sz="0" w:space="0" w:color="auto"/>
        <w:left w:val="none" w:sz="0" w:space="0" w:color="auto"/>
        <w:bottom w:val="none" w:sz="0" w:space="0" w:color="auto"/>
        <w:right w:val="none" w:sz="0" w:space="0" w:color="auto"/>
      </w:divBdr>
    </w:div>
    <w:div w:id="1326200469">
      <w:bodyDiv w:val="1"/>
      <w:marLeft w:val="0"/>
      <w:marRight w:val="0"/>
      <w:marTop w:val="0"/>
      <w:marBottom w:val="0"/>
      <w:divBdr>
        <w:top w:val="none" w:sz="0" w:space="0" w:color="auto"/>
        <w:left w:val="none" w:sz="0" w:space="0" w:color="auto"/>
        <w:bottom w:val="none" w:sz="0" w:space="0" w:color="auto"/>
        <w:right w:val="none" w:sz="0" w:space="0" w:color="auto"/>
      </w:divBdr>
    </w:div>
    <w:div w:id="1327053401">
      <w:bodyDiv w:val="1"/>
      <w:marLeft w:val="0"/>
      <w:marRight w:val="0"/>
      <w:marTop w:val="0"/>
      <w:marBottom w:val="0"/>
      <w:divBdr>
        <w:top w:val="none" w:sz="0" w:space="0" w:color="auto"/>
        <w:left w:val="none" w:sz="0" w:space="0" w:color="auto"/>
        <w:bottom w:val="none" w:sz="0" w:space="0" w:color="auto"/>
        <w:right w:val="none" w:sz="0" w:space="0" w:color="auto"/>
      </w:divBdr>
    </w:div>
    <w:div w:id="1336226464">
      <w:bodyDiv w:val="1"/>
      <w:marLeft w:val="0"/>
      <w:marRight w:val="0"/>
      <w:marTop w:val="0"/>
      <w:marBottom w:val="0"/>
      <w:divBdr>
        <w:top w:val="none" w:sz="0" w:space="0" w:color="auto"/>
        <w:left w:val="none" w:sz="0" w:space="0" w:color="auto"/>
        <w:bottom w:val="none" w:sz="0" w:space="0" w:color="auto"/>
        <w:right w:val="none" w:sz="0" w:space="0" w:color="auto"/>
      </w:divBdr>
    </w:div>
    <w:div w:id="1399523313">
      <w:bodyDiv w:val="1"/>
      <w:marLeft w:val="0"/>
      <w:marRight w:val="0"/>
      <w:marTop w:val="0"/>
      <w:marBottom w:val="0"/>
      <w:divBdr>
        <w:top w:val="none" w:sz="0" w:space="0" w:color="auto"/>
        <w:left w:val="none" w:sz="0" w:space="0" w:color="auto"/>
        <w:bottom w:val="none" w:sz="0" w:space="0" w:color="auto"/>
        <w:right w:val="none" w:sz="0" w:space="0" w:color="auto"/>
      </w:divBdr>
    </w:div>
    <w:div w:id="1403676898">
      <w:bodyDiv w:val="1"/>
      <w:marLeft w:val="0"/>
      <w:marRight w:val="0"/>
      <w:marTop w:val="0"/>
      <w:marBottom w:val="0"/>
      <w:divBdr>
        <w:top w:val="none" w:sz="0" w:space="0" w:color="auto"/>
        <w:left w:val="none" w:sz="0" w:space="0" w:color="auto"/>
        <w:bottom w:val="none" w:sz="0" w:space="0" w:color="auto"/>
        <w:right w:val="none" w:sz="0" w:space="0" w:color="auto"/>
      </w:divBdr>
    </w:div>
    <w:div w:id="1412894519">
      <w:bodyDiv w:val="1"/>
      <w:marLeft w:val="0"/>
      <w:marRight w:val="0"/>
      <w:marTop w:val="0"/>
      <w:marBottom w:val="0"/>
      <w:divBdr>
        <w:top w:val="none" w:sz="0" w:space="0" w:color="auto"/>
        <w:left w:val="none" w:sz="0" w:space="0" w:color="auto"/>
        <w:bottom w:val="none" w:sz="0" w:space="0" w:color="auto"/>
        <w:right w:val="none" w:sz="0" w:space="0" w:color="auto"/>
      </w:divBdr>
      <w:divsChild>
        <w:div w:id="414397736">
          <w:marLeft w:val="0"/>
          <w:marRight w:val="0"/>
          <w:marTop w:val="0"/>
          <w:marBottom w:val="0"/>
          <w:divBdr>
            <w:top w:val="none" w:sz="0" w:space="0" w:color="auto"/>
            <w:left w:val="none" w:sz="0" w:space="0" w:color="auto"/>
            <w:bottom w:val="none" w:sz="0" w:space="0" w:color="auto"/>
            <w:right w:val="none" w:sz="0" w:space="0" w:color="auto"/>
          </w:divBdr>
        </w:div>
      </w:divsChild>
    </w:div>
    <w:div w:id="1431928403">
      <w:bodyDiv w:val="1"/>
      <w:marLeft w:val="0"/>
      <w:marRight w:val="0"/>
      <w:marTop w:val="0"/>
      <w:marBottom w:val="0"/>
      <w:divBdr>
        <w:top w:val="none" w:sz="0" w:space="0" w:color="auto"/>
        <w:left w:val="none" w:sz="0" w:space="0" w:color="auto"/>
        <w:bottom w:val="none" w:sz="0" w:space="0" w:color="auto"/>
        <w:right w:val="none" w:sz="0" w:space="0" w:color="auto"/>
      </w:divBdr>
    </w:div>
    <w:div w:id="1446005015">
      <w:bodyDiv w:val="1"/>
      <w:marLeft w:val="0"/>
      <w:marRight w:val="0"/>
      <w:marTop w:val="0"/>
      <w:marBottom w:val="0"/>
      <w:divBdr>
        <w:top w:val="none" w:sz="0" w:space="0" w:color="auto"/>
        <w:left w:val="none" w:sz="0" w:space="0" w:color="auto"/>
        <w:bottom w:val="none" w:sz="0" w:space="0" w:color="auto"/>
        <w:right w:val="none" w:sz="0" w:space="0" w:color="auto"/>
      </w:divBdr>
    </w:div>
    <w:div w:id="1481462826">
      <w:bodyDiv w:val="1"/>
      <w:marLeft w:val="0"/>
      <w:marRight w:val="0"/>
      <w:marTop w:val="0"/>
      <w:marBottom w:val="0"/>
      <w:divBdr>
        <w:top w:val="none" w:sz="0" w:space="0" w:color="auto"/>
        <w:left w:val="none" w:sz="0" w:space="0" w:color="auto"/>
        <w:bottom w:val="none" w:sz="0" w:space="0" w:color="auto"/>
        <w:right w:val="none" w:sz="0" w:space="0" w:color="auto"/>
      </w:divBdr>
    </w:div>
    <w:div w:id="1495338064">
      <w:bodyDiv w:val="1"/>
      <w:marLeft w:val="0"/>
      <w:marRight w:val="0"/>
      <w:marTop w:val="0"/>
      <w:marBottom w:val="0"/>
      <w:divBdr>
        <w:top w:val="none" w:sz="0" w:space="0" w:color="auto"/>
        <w:left w:val="none" w:sz="0" w:space="0" w:color="auto"/>
        <w:bottom w:val="none" w:sz="0" w:space="0" w:color="auto"/>
        <w:right w:val="none" w:sz="0" w:space="0" w:color="auto"/>
      </w:divBdr>
    </w:div>
    <w:div w:id="1505317072">
      <w:bodyDiv w:val="1"/>
      <w:marLeft w:val="0"/>
      <w:marRight w:val="0"/>
      <w:marTop w:val="0"/>
      <w:marBottom w:val="0"/>
      <w:divBdr>
        <w:top w:val="none" w:sz="0" w:space="0" w:color="auto"/>
        <w:left w:val="none" w:sz="0" w:space="0" w:color="auto"/>
        <w:bottom w:val="none" w:sz="0" w:space="0" w:color="auto"/>
        <w:right w:val="none" w:sz="0" w:space="0" w:color="auto"/>
      </w:divBdr>
    </w:div>
    <w:div w:id="1514033271">
      <w:bodyDiv w:val="1"/>
      <w:marLeft w:val="0"/>
      <w:marRight w:val="0"/>
      <w:marTop w:val="0"/>
      <w:marBottom w:val="0"/>
      <w:divBdr>
        <w:top w:val="none" w:sz="0" w:space="0" w:color="auto"/>
        <w:left w:val="none" w:sz="0" w:space="0" w:color="auto"/>
        <w:bottom w:val="none" w:sz="0" w:space="0" w:color="auto"/>
        <w:right w:val="none" w:sz="0" w:space="0" w:color="auto"/>
      </w:divBdr>
    </w:div>
    <w:div w:id="1532650765">
      <w:bodyDiv w:val="1"/>
      <w:marLeft w:val="0"/>
      <w:marRight w:val="0"/>
      <w:marTop w:val="0"/>
      <w:marBottom w:val="0"/>
      <w:divBdr>
        <w:top w:val="none" w:sz="0" w:space="0" w:color="auto"/>
        <w:left w:val="none" w:sz="0" w:space="0" w:color="auto"/>
        <w:bottom w:val="none" w:sz="0" w:space="0" w:color="auto"/>
        <w:right w:val="none" w:sz="0" w:space="0" w:color="auto"/>
      </w:divBdr>
    </w:div>
    <w:div w:id="1536456563">
      <w:bodyDiv w:val="1"/>
      <w:marLeft w:val="0"/>
      <w:marRight w:val="0"/>
      <w:marTop w:val="0"/>
      <w:marBottom w:val="0"/>
      <w:divBdr>
        <w:top w:val="none" w:sz="0" w:space="0" w:color="auto"/>
        <w:left w:val="none" w:sz="0" w:space="0" w:color="auto"/>
        <w:bottom w:val="none" w:sz="0" w:space="0" w:color="auto"/>
        <w:right w:val="none" w:sz="0" w:space="0" w:color="auto"/>
      </w:divBdr>
    </w:div>
    <w:div w:id="1553422800">
      <w:bodyDiv w:val="1"/>
      <w:marLeft w:val="0"/>
      <w:marRight w:val="0"/>
      <w:marTop w:val="0"/>
      <w:marBottom w:val="0"/>
      <w:divBdr>
        <w:top w:val="none" w:sz="0" w:space="0" w:color="auto"/>
        <w:left w:val="none" w:sz="0" w:space="0" w:color="auto"/>
        <w:bottom w:val="none" w:sz="0" w:space="0" w:color="auto"/>
        <w:right w:val="none" w:sz="0" w:space="0" w:color="auto"/>
      </w:divBdr>
    </w:div>
    <w:div w:id="1569421774">
      <w:bodyDiv w:val="1"/>
      <w:marLeft w:val="0"/>
      <w:marRight w:val="0"/>
      <w:marTop w:val="0"/>
      <w:marBottom w:val="0"/>
      <w:divBdr>
        <w:top w:val="none" w:sz="0" w:space="0" w:color="auto"/>
        <w:left w:val="none" w:sz="0" w:space="0" w:color="auto"/>
        <w:bottom w:val="none" w:sz="0" w:space="0" w:color="auto"/>
        <w:right w:val="none" w:sz="0" w:space="0" w:color="auto"/>
      </w:divBdr>
    </w:div>
    <w:div w:id="1578127390">
      <w:bodyDiv w:val="1"/>
      <w:marLeft w:val="0"/>
      <w:marRight w:val="0"/>
      <w:marTop w:val="0"/>
      <w:marBottom w:val="0"/>
      <w:divBdr>
        <w:top w:val="none" w:sz="0" w:space="0" w:color="auto"/>
        <w:left w:val="none" w:sz="0" w:space="0" w:color="auto"/>
        <w:bottom w:val="none" w:sz="0" w:space="0" w:color="auto"/>
        <w:right w:val="none" w:sz="0" w:space="0" w:color="auto"/>
      </w:divBdr>
    </w:div>
    <w:div w:id="1578858296">
      <w:bodyDiv w:val="1"/>
      <w:marLeft w:val="0"/>
      <w:marRight w:val="0"/>
      <w:marTop w:val="0"/>
      <w:marBottom w:val="0"/>
      <w:divBdr>
        <w:top w:val="none" w:sz="0" w:space="0" w:color="auto"/>
        <w:left w:val="none" w:sz="0" w:space="0" w:color="auto"/>
        <w:bottom w:val="none" w:sz="0" w:space="0" w:color="auto"/>
        <w:right w:val="none" w:sz="0" w:space="0" w:color="auto"/>
      </w:divBdr>
      <w:divsChild>
        <w:div w:id="455876232">
          <w:marLeft w:val="0"/>
          <w:marRight w:val="0"/>
          <w:marTop w:val="0"/>
          <w:marBottom w:val="0"/>
          <w:divBdr>
            <w:top w:val="none" w:sz="0" w:space="0" w:color="auto"/>
            <w:left w:val="none" w:sz="0" w:space="0" w:color="auto"/>
            <w:bottom w:val="none" w:sz="0" w:space="0" w:color="auto"/>
            <w:right w:val="none" w:sz="0" w:space="0" w:color="auto"/>
          </w:divBdr>
        </w:div>
        <w:div w:id="1728453890">
          <w:marLeft w:val="0"/>
          <w:marRight w:val="0"/>
          <w:marTop w:val="0"/>
          <w:marBottom w:val="0"/>
          <w:divBdr>
            <w:top w:val="none" w:sz="0" w:space="0" w:color="auto"/>
            <w:left w:val="none" w:sz="0" w:space="0" w:color="auto"/>
            <w:bottom w:val="none" w:sz="0" w:space="0" w:color="auto"/>
            <w:right w:val="none" w:sz="0" w:space="0" w:color="auto"/>
          </w:divBdr>
        </w:div>
        <w:div w:id="1476871401">
          <w:marLeft w:val="0"/>
          <w:marRight w:val="0"/>
          <w:marTop w:val="0"/>
          <w:marBottom w:val="0"/>
          <w:divBdr>
            <w:top w:val="none" w:sz="0" w:space="0" w:color="auto"/>
            <w:left w:val="none" w:sz="0" w:space="0" w:color="auto"/>
            <w:bottom w:val="none" w:sz="0" w:space="0" w:color="auto"/>
            <w:right w:val="none" w:sz="0" w:space="0" w:color="auto"/>
          </w:divBdr>
        </w:div>
        <w:div w:id="1106465922">
          <w:marLeft w:val="0"/>
          <w:marRight w:val="0"/>
          <w:marTop w:val="0"/>
          <w:marBottom w:val="0"/>
          <w:divBdr>
            <w:top w:val="none" w:sz="0" w:space="0" w:color="auto"/>
            <w:left w:val="none" w:sz="0" w:space="0" w:color="auto"/>
            <w:bottom w:val="none" w:sz="0" w:space="0" w:color="auto"/>
            <w:right w:val="none" w:sz="0" w:space="0" w:color="auto"/>
          </w:divBdr>
        </w:div>
        <w:div w:id="731777990">
          <w:marLeft w:val="0"/>
          <w:marRight w:val="0"/>
          <w:marTop w:val="0"/>
          <w:marBottom w:val="0"/>
          <w:divBdr>
            <w:top w:val="none" w:sz="0" w:space="0" w:color="auto"/>
            <w:left w:val="none" w:sz="0" w:space="0" w:color="auto"/>
            <w:bottom w:val="none" w:sz="0" w:space="0" w:color="auto"/>
            <w:right w:val="none" w:sz="0" w:space="0" w:color="auto"/>
          </w:divBdr>
        </w:div>
        <w:div w:id="633757579">
          <w:marLeft w:val="0"/>
          <w:marRight w:val="0"/>
          <w:marTop w:val="0"/>
          <w:marBottom w:val="0"/>
          <w:divBdr>
            <w:top w:val="none" w:sz="0" w:space="0" w:color="auto"/>
            <w:left w:val="none" w:sz="0" w:space="0" w:color="auto"/>
            <w:bottom w:val="none" w:sz="0" w:space="0" w:color="auto"/>
            <w:right w:val="none" w:sz="0" w:space="0" w:color="auto"/>
          </w:divBdr>
        </w:div>
        <w:div w:id="2107915607">
          <w:marLeft w:val="0"/>
          <w:marRight w:val="0"/>
          <w:marTop w:val="0"/>
          <w:marBottom w:val="0"/>
          <w:divBdr>
            <w:top w:val="none" w:sz="0" w:space="0" w:color="auto"/>
            <w:left w:val="none" w:sz="0" w:space="0" w:color="auto"/>
            <w:bottom w:val="none" w:sz="0" w:space="0" w:color="auto"/>
            <w:right w:val="none" w:sz="0" w:space="0" w:color="auto"/>
          </w:divBdr>
        </w:div>
        <w:div w:id="1601721654">
          <w:marLeft w:val="0"/>
          <w:marRight w:val="0"/>
          <w:marTop w:val="0"/>
          <w:marBottom w:val="0"/>
          <w:divBdr>
            <w:top w:val="none" w:sz="0" w:space="0" w:color="auto"/>
            <w:left w:val="none" w:sz="0" w:space="0" w:color="auto"/>
            <w:bottom w:val="none" w:sz="0" w:space="0" w:color="auto"/>
            <w:right w:val="none" w:sz="0" w:space="0" w:color="auto"/>
          </w:divBdr>
        </w:div>
        <w:div w:id="583686970">
          <w:marLeft w:val="0"/>
          <w:marRight w:val="0"/>
          <w:marTop w:val="0"/>
          <w:marBottom w:val="0"/>
          <w:divBdr>
            <w:top w:val="none" w:sz="0" w:space="0" w:color="auto"/>
            <w:left w:val="none" w:sz="0" w:space="0" w:color="auto"/>
            <w:bottom w:val="none" w:sz="0" w:space="0" w:color="auto"/>
            <w:right w:val="none" w:sz="0" w:space="0" w:color="auto"/>
          </w:divBdr>
        </w:div>
        <w:div w:id="1888833721">
          <w:marLeft w:val="0"/>
          <w:marRight w:val="0"/>
          <w:marTop w:val="0"/>
          <w:marBottom w:val="0"/>
          <w:divBdr>
            <w:top w:val="none" w:sz="0" w:space="0" w:color="auto"/>
            <w:left w:val="none" w:sz="0" w:space="0" w:color="auto"/>
            <w:bottom w:val="none" w:sz="0" w:space="0" w:color="auto"/>
            <w:right w:val="none" w:sz="0" w:space="0" w:color="auto"/>
          </w:divBdr>
        </w:div>
        <w:div w:id="1852913903">
          <w:marLeft w:val="0"/>
          <w:marRight w:val="0"/>
          <w:marTop w:val="0"/>
          <w:marBottom w:val="0"/>
          <w:divBdr>
            <w:top w:val="none" w:sz="0" w:space="0" w:color="auto"/>
            <w:left w:val="none" w:sz="0" w:space="0" w:color="auto"/>
            <w:bottom w:val="none" w:sz="0" w:space="0" w:color="auto"/>
            <w:right w:val="none" w:sz="0" w:space="0" w:color="auto"/>
          </w:divBdr>
        </w:div>
        <w:div w:id="1387218823">
          <w:marLeft w:val="0"/>
          <w:marRight w:val="0"/>
          <w:marTop w:val="0"/>
          <w:marBottom w:val="0"/>
          <w:divBdr>
            <w:top w:val="none" w:sz="0" w:space="0" w:color="auto"/>
            <w:left w:val="none" w:sz="0" w:space="0" w:color="auto"/>
            <w:bottom w:val="none" w:sz="0" w:space="0" w:color="auto"/>
            <w:right w:val="none" w:sz="0" w:space="0" w:color="auto"/>
          </w:divBdr>
        </w:div>
      </w:divsChild>
    </w:div>
    <w:div w:id="1603219136">
      <w:bodyDiv w:val="1"/>
      <w:marLeft w:val="0"/>
      <w:marRight w:val="0"/>
      <w:marTop w:val="0"/>
      <w:marBottom w:val="0"/>
      <w:divBdr>
        <w:top w:val="none" w:sz="0" w:space="0" w:color="auto"/>
        <w:left w:val="none" w:sz="0" w:space="0" w:color="auto"/>
        <w:bottom w:val="none" w:sz="0" w:space="0" w:color="auto"/>
        <w:right w:val="none" w:sz="0" w:space="0" w:color="auto"/>
      </w:divBdr>
    </w:div>
    <w:div w:id="1627420414">
      <w:bodyDiv w:val="1"/>
      <w:marLeft w:val="0"/>
      <w:marRight w:val="0"/>
      <w:marTop w:val="0"/>
      <w:marBottom w:val="0"/>
      <w:divBdr>
        <w:top w:val="none" w:sz="0" w:space="0" w:color="auto"/>
        <w:left w:val="none" w:sz="0" w:space="0" w:color="auto"/>
        <w:bottom w:val="none" w:sz="0" w:space="0" w:color="auto"/>
        <w:right w:val="none" w:sz="0" w:space="0" w:color="auto"/>
      </w:divBdr>
    </w:div>
    <w:div w:id="1637564651">
      <w:bodyDiv w:val="1"/>
      <w:marLeft w:val="0"/>
      <w:marRight w:val="0"/>
      <w:marTop w:val="0"/>
      <w:marBottom w:val="0"/>
      <w:divBdr>
        <w:top w:val="none" w:sz="0" w:space="0" w:color="auto"/>
        <w:left w:val="none" w:sz="0" w:space="0" w:color="auto"/>
        <w:bottom w:val="none" w:sz="0" w:space="0" w:color="auto"/>
        <w:right w:val="none" w:sz="0" w:space="0" w:color="auto"/>
      </w:divBdr>
    </w:div>
    <w:div w:id="1661732176">
      <w:bodyDiv w:val="1"/>
      <w:marLeft w:val="0"/>
      <w:marRight w:val="0"/>
      <w:marTop w:val="0"/>
      <w:marBottom w:val="0"/>
      <w:divBdr>
        <w:top w:val="none" w:sz="0" w:space="0" w:color="auto"/>
        <w:left w:val="none" w:sz="0" w:space="0" w:color="auto"/>
        <w:bottom w:val="none" w:sz="0" w:space="0" w:color="auto"/>
        <w:right w:val="none" w:sz="0" w:space="0" w:color="auto"/>
      </w:divBdr>
    </w:div>
    <w:div w:id="1690183628">
      <w:bodyDiv w:val="1"/>
      <w:marLeft w:val="0"/>
      <w:marRight w:val="0"/>
      <w:marTop w:val="0"/>
      <w:marBottom w:val="0"/>
      <w:divBdr>
        <w:top w:val="none" w:sz="0" w:space="0" w:color="auto"/>
        <w:left w:val="none" w:sz="0" w:space="0" w:color="auto"/>
        <w:bottom w:val="none" w:sz="0" w:space="0" w:color="auto"/>
        <w:right w:val="none" w:sz="0" w:space="0" w:color="auto"/>
      </w:divBdr>
    </w:div>
    <w:div w:id="1702166752">
      <w:bodyDiv w:val="1"/>
      <w:marLeft w:val="0"/>
      <w:marRight w:val="0"/>
      <w:marTop w:val="0"/>
      <w:marBottom w:val="0"/>
      <w:divBdr>
        <w:top w:val="none" w:sz="0" w:space="0" w:color="auto"/>
        <w:left w:val="none" w:sz="0" w:space="0" w:color="auto"/>
        <w:bottom w:val="none" w:sz="0" w:space="0" w:color="auto"/>
        <w:right w:val="none" w:sz="0" w:space="0" w:color="auto"/>
      </w:divBdr>
    </w:div>
    <w:div w:id="1702514314">
      <w:bodyDiv w:val="1"/>
      <w:marLeft w:val="0"/>
      <w:marRight w:val="0"/>
      <w:marTop w:val="0"/>
      <w:marBottom w:val="0"/>
      <w:divBdr>
        <w:top w:val="none" w:sz="0" w:space="0" w:color="auto"/>
        <w:left w:val="none" w:sz="0" w:space="0" w:color="auto"/>
        <w:bottom w:val="none" w:sz="0" w:space="0" w:color="auto"/>
        <w:right w:val="none" w:sz="0" w:space="0" w:color="auto"/>
      </w:divBdr>
    </w:div>
    <w:div w:id="1704094946">
      <w:bodyDiv w:val="1"/>
      <w:marLeft w:val="0"/>
      <w:marRight w:val="0"/>
      <w:marTop w:val="0"/>
      <w:marBottom w:val="0"/>
      <w:divBdr>
        <w:top w:val="none" w:sz="0" w:space="0" w:color="auto"/>
        <w:left w:val="none" w:sz="0" w:space="0" w:color="auto"/>
        <w:bottom w:val="none" w:sz="0" w:space="0" w:color="auto"/>
        <w:right w:val="none" w:sz="0" w:space="0" w:color="auto"/>
      </w:divBdr>
    </w:div>
    <w:div w:id="1718510618">
      <w:bodyDiv w:val="1"/>
      <w:marLeft w:val="0"/>
      <w:marRight w:val="0"/>
      <w:marTop w:val="0"/>
      <w:marBottom w:val="0"/>
      <w:divBdr>
        <w:top w:val="none" w:sz="0" w:space="0" w:color="auto"/>
        <w:left w:val="none" w:sz="0" w:space="0" w:color="auto"/>
        <w:bottom w:val="none" w:sz="0" w:space="0" w:color="auto"/>
        <w:right w:val="none" w:sz="0" w:space="0" w:color="auto"/>
      </w:divBdr>
    </w:div>
    <w:div w:id="1751347249">
      <w:bodyDiv w:val="1"/>
      <w:marLeft w:val="0"/>
      <w:marRight w:val="0"/>
      <w:marTop w:val="0"/>
      <w:marBottom w:val="0"/>
      <w:divBdr>
        <w:top w:val="none" w:sz="0" w:space="0" w:color="auto"/>
        <w:left w:val="none" w:sz="0" w:space="0" w:color="auto"/>
        <w:bottom w:val="none" w:sz="0" w:space="0" w:color="auto"/>
        <w:right w:val="none" w:sz="0" w:space="0" w:color="auto"/>
      </w:divBdr>
    </w:div>
    <w:div w:id="1765107410">
      <w:bodyDiv w:val="1"/>
      <w:marLeft w:val="0"/>
      <w:marRight w:val="0"/>
      <w:marTop w:val="0"/>
      <w:marBottom w:val="0"/>
      <w:divBdr>
        <w:top w:val="none" w:sz="0" w:space="0" w:color="auto"/>
        <w:left w:val="none" w:sz="0" w:space="0" w:color="auto"/>
        <w:bottom w:val="none" w:sz="0" w:space="0" w:color="auto"/>
        <w:right w:val="none" w:sz="0" w:space="0" w:color="auto"/>
      </w:divBdr>
    </w:div>
    <w:div w:id="1836413480">
      <w:bodyDiv w:val="1"/>
      <w:marLeft w:val="0"/>
      <w:marRight w:val="0"/>
      <w:marTop w:val="0"/>
      <w:marBottom w:val="0"/>
      <w:divBdr>
        <w:top w:val="none" w:sz="0" w:space="0" w:color="auto"/>
        <w:left w:val="none" w:sz="0" w:space="0" w:color="auto"/>
        <w:bottom w:val="none" w:sz="0" w:space="0" w:color="auto"/>
        <w:right w:val="none" w:sz="0" w:space="0" w:color="auto"/>
      </w:divBdr>
    </w:div>
    <w:div w:id="1839345485">
      <w:bodyDiv w:val="1"/>
      <w:marLeft w:val="0"/>
      <w:marRight w:val="0"/>
      <w:marTop w:val="0"/>
      <w:marBottom w:val="0"/>
      <w:divBdr>
        <w:top w:val="none" w:sz="0" w:space="0" w:color="auto"/>
        <w:left w:val="none" w:sz="0" w:space="0" w:color="auto"/>
        <w:bottom w:val="none" w:sz="0" w:space="0" w:color="auto"/>
        <w:right w:val="none" w:sz="0" w:space="0" w:color="auto"/>
      </w:divBdr>
      <w:divsChild>
        <w:div w:id="67657527">
          <w:marLeft w:val="0"/>
          <w:marRight w:val="0"/>
          <w:marTop w:val="0"/>
          <w:marBottom w:val="0"/>
          <w:divBdr>
            <w:top w:val="none" w:sz="0" w:space="0" w:color="auto"/>
            <w:left w:val="none" w:sz="0" w:space="0" w:color="auto"/>
            <w:bottom w:val="none" w:sz="0" w:space="0" w:color="auto"/>
            <w:right w:val="none" w:sz="0" w:space="0" w:color="auto"/>
          </w:divBdr>
        </w:div>
      </w:divsChild>
    </w:div>
    <w:div w:id="1853645173">
      <w:bodyDiv w:val="1"/>
      <w:marLeft w:val="0"/>
      <w:marRight w:val="0"/>
      <w:marTop w:val="0"/>
      <w:marBottom w:val="0"/>
      <w:divBdr>
        <w:top w:val="none" w:sz="0" w:space="0" w:color="auto"/>
        <w:left w:val="none" w:sz="0" w:space="0" w:color="auto"/>
        <w:bottom w:val="none" w:sz="0" w:space="0" w:color="auto"/>
        <w:right w:val="none" w:sz="0" w:space="0" w:color="auto"/>
      </w:divBdr>
    </w:div>
    <w:div w:id="1860389986">
      <w:bodyDiv w:val="1"/>
      <w:marLeft w:val="0"/>
      <w:marRight w:val="0"/>
      <w:marTop w:val="0"/>
      <w:marBottom w:val="0"/>
      <w:divBdr>
        <w:top w:val="none" w:sz="0" w:space="0" w:color="auto"/>
        <w:left w:val="none" w:sz="0" w:space="0" w:color="auto"/>
        <w:bottom w:val="none" w:sz="0" w:space="0" w:color="auto"/>
        <w:right w:val="none" w:sz="0" w:space="0" w:color="auto"/>
      </w:divBdr>
    </w:div>
    <w:div w:id="1883906135">
      <w:bodyDiv w:val="1"/>
      <w:marLeft w:val="0"/>
      <w:marRight w:val="0"/>
      <w:marTop w:val="0"/>
      <w:marBottom w:val="0"/>
      <w:divBdr>
        <w:top w:val="none" w:sz="0" w:space="0" w:color="auto"/>
        <w:left w:val="none" w:sz="0" w:space="0" w:color="auto"/>
        <w:bottom w:val="none" w:sz="0" w:space="0" w:color="auto"/>
        <w:right w:val="none" w:sz="0" w:space="0" w:color="auto"/>
      </w:divBdr>
    </w:div>
    <w:div w:id="1891922111">
      <w:bodyDiv w:val="1"/>
      <w:marLeft w:val="0"/>
      <w:marRight w:val="0"/>
      <w:marTop w:val="0"/>
      <w:marBottom w:val="0"/>
      <w:divBdr>
        <w:top w:val="none" w:sz="0" w:space="0" w:color="auto"/>
        <w:left w:val="none" w:sz="0" w:space="0" w:color="auto"/>
        <w:bottom w:val="none" w:sz="0" w:space="0" w:color="auto"/>
        <w:right w:val="none" w:sz="0" w:space="0" w:color="auto"/>
      </w:divBdr>
    </w:div>
    <w:div w:id="1901986353">
      <w:bodyDiv w:val="1"/>
      <w:marLeft w:val="0"/>
      <w:marRight w:val="0"/>
      <w:marTop w:val="0"/>
      <w:marBottom w:val="0"/>
      <w:divBdr>
        <w:top w:val="none" w:sz="0" w:space="0" w:color="auto"/>
        <w:left w:val="none" w:sz="0" w:space="0" w:color="auto"/>
        <w:bottom w:val="none" w:sz="0" w:space="0" w:color="auto"/>
        <w:right w:val="none" w:sz="0" w:space="0" w:color="auto"/>
      </w:divBdr>
    </w:div>
    <w:div w:id="1907109287">
      <w:bodyDiv w:val="1"/>
      <w:marLeft w:val="0"/>
      <w:marRight w:val="0"/>
      <w:marTop w:val="0"/>
      <w:marBottom w:val="0"/>
      <w:divBdr>
        <w:top w:val="none" w:sz="0" w:space="0" w:color="auto"/>
        <w:left w:val="none" w:sz="0" w:space="0" w:color="auto"/>
        <w:bottom w:val="none" w:sz="0" w:space="0" w:color="auto"/>
        <w:right w:val="none" w:sz="0" w:space="0" w:color="auto"/>
      </w:divBdr>
    </w:div>
    <w:div w:id="1930309392">
      <w:bodyDiv w:val="1"/>
      <w:marLeft w:val="0"/>
      <w:marRight w:val="0"/>
      <w:marTop w:val="0"/>
      <w:marBottom w:val="0"/>
      <w:divBdr>
        <w:top w:val="none" w:sz="0" w:space="0" w:color="auto"/>
        <w:left w:val="none" w:sz="0" w:space="0" w:color="auto"/>
        <w:bottom w:val="none" w:sz="0" w:space="0" w:color="auto"/>
        <w:right w:val="none" w:sz="0" w:space="0" w:color="auto"/>
      </w:divBdr>
    </w:div>
    <w:div w:id="1960144678">
      <w:bodyDiv w:val="1"/>
      <w:marLeft w:val="0"/>
      <w:marRight w:val="0"/>
      <w:marTop w:val="0"/>
      <w:marBottom w:val="0"/>
      <w:divBdr>
        <w:top w:val="none" w:sz="0" w:space="0" w:color="auto"/>
        <w:left w:val="none" w:sz="0" w:space="0" w:color="auto"/>
        <w:bottom w:val="none" w:sz="0" w:space="0" w:color="auto"/>
        <w:right w:val="none" w:sz="0" w:space="0" w:color="auto"/>
      </w:divBdr>
    </w:div>
    <w:div w:id="1974405458">
      <w:bodyDiv w:val="1"/>
      <w:marLeft w:val="0"/>
      <w:marRight w:val="0"/>
      <w:marTop w:val="0"/>
      <w:marBottom w:val="0"/>
      <w:divBdr>
        <w:top w:val="none" w:sz="0" w:space="0" w:color="auto"/>
        <w:left w:val="none" w:sz="0" w:space="0" w:color="auto"/>
        <w:bottom w:val="none" w:sz="0" w:space="0" w:color="auto"/>
        <w:right w:val="none" w:sz="0" w:space="0" w:color="auto"/>
      </w:divBdr>
    </w:div>
    <w:div w:id="2024286387">
      <w:bodyDiv w:val="1"/>
      <w:marLeft w:val="0"/>
      <w:marRight w:val="0"/>
      <w:marTop w:val="0"/>
      <w:marBottom w:val="0"/>
      <w:divBdr>
        <w:top w:val="none" w:sz="0" w:space="0" w:color="auto"/>
        <w:left w:val="none" w:sz="0" w:space="0" w:color="auto"/>
        <w:bottom w:val="none" w:sz="0" w:space="0" w:color="auto"/>
        <w:right w:val="none" w:sz="0" w:space="0" w:color="auto"/>
      </w:divBdr>
    </w:div>
    <w:div w:id="2048211242">
      <w:bodyDiv w:val="1"/>
      <w:marLeft w:val="0"/>
      <w:marRight w:val="0"/>
      <w:marTop w:val="0"/>
      <w:marBottom w:val="0"/>
      <w:divBdr>
        <w:top w:val="none" w:sz="0" w:space="0" w:color="auto"/>
        <w:left w:val="none" w:sz="0" w:space="0" w:color="auto"/>
        <w:bottom w:val="none" w:sz="0" w:space="0" w:color="auto"/>
        <w:right w:val="none" w:sz="0" w:space="0" w:color="auto"/>
      </w:divBdr>
    </w:div>
    <w:div w:id="2060545935">
      <w:bodyDiv w:val="1"/>
      <w:marLeft w:val="0"/>
      <w:marRight w:val="0"/>
      <w:marTop w:val="0"/>
      <w:marBottom w:val="0"/>
      <w:divBdr>
        <w:top w:val="none" w:sz="0" w:space="0" w:color="auto"/>
        <w:left w:val="none" w:sz="0" w:space="0" w:color="auto"/>
        <w:bottom w:val="none" w:sz="0" w:space="0" w:color="auto"/>
        <w:right w:val="none" w:sz="0" w:space="0" w:color="auto"/>
      </w:divBdr>
      <w:divsChild>
        <w:div w:id="425885157">
          <w:marLeft w:val="0"/>
          <w:marRight w:val="0"/>
          <w:marTop w:val="0"/>
          <w:marBottom w:val="0"/>
          <w:divBdr>
            <w:top w:val="none" w:sz="0" w:space="0" w:color="auto"/>
            <w:left w:val="none" w:sz="0" w:space="0" w:color="auto"/>
            <w:bottom w:val="none" w:sz="0" w:space="0" w:color="auto"/>
            <w:right w:val="none" w:sz="0" w:space="0" w:color="auto"/>
          </w:divBdr>
        </w:div>
      </w:divsChild>
    </w:div>
    <w:div w:id="2116166572">
      <w:bodyDiv w:val="1"/>
      <w:marLeft w:val="0"/>
      <w:marRight w:val="0"/>
      <w:marTop w:val="0"/>
      <w:marBottom w:val="0"/>
      <w:divBdr>
        <w:top w:val="none" w:sz="0" w:space="0" w:color="auto"/>
        <w:left w:val="none" w:sz="0" w:space="0" w:color="auto"/>
        <w:bottom w:val="none" w:sz="0" w:space="0" w:color="auto"/>
        <w:right w:val="none" w:sz="0" w:space="0" w:color="auto"/>
      </w:divBdr>
    </w:div>
    <w:div w:id="2136098246">
      <w:bodyDiv w:val="1"/>
      <w:marLeft w:val="0"/>
      <w:marRight w:val="0"/>
      <w:marTop w:val="0"/>
      <w:marBottom w:val="0"/>
      <w:divBdr>
        <w:top w:val="none" w:sz="0" w:space="0" w:color="auto"/>
        <w:left w:val="none" w:sz="0" w:space="0" w:color="auto"/>
        <w:bottom w:val="none" w:sz="0" w:space="0" w:color="auto"/>
        <w:right w:val="none" w:sz="0" w:space="0" w:color="auto"/>
      </w:divBdr>
    </w:div>
    <w:div w:id="2141264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3.xml"/><Relationship Id="rId39" Type="http://schemas.openxmlformats.org/officeDocument/2006/relationships/chart" Target="charts/chart22.xml"/><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image" Target="media/image8.png"/><Relationship Id="rId42" Type="http://schemas.openxmlformats.org/officeDocument/2006/relationships/hyperlink" Target="https://urk.edu.pl/" TargetMode="External"/><Relationship Id="rId47" Type="http://schemas.openxmlformats.org/officeDocument/2006/relationships/chart" Target="charts/chart24.xml"/><Relationship Id="rId50"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2.xml"/><Relationship Id="rId33" Type="http://schemas.openxmlformats.org/officeDocument/2006/relationships/image" Target="media/image7.png"/><Relationship Id="rId38" Type="http://schemas.openxmlformats.org/officeDocument/2006/relationships/chart" Target="charts/chart21.xml"/><Relationship Id="rId46" Type="http://schemas.openxmlformats.org/officeDocument/2006/relationships/chart" Target="charts/chart23.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chart" Target="charts/chart16.xml"/><Relationship Id="rId41" Type="http://schemas.openxmlformats.org/officeDocument/2006/relationships/hyperlink" Target="https://www.mwsl.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chart" Target="charts/chart11.xml"/><Relationship Id="rId32" Type="http://schemas.openxmlformats.org/officeDocument/2006/relationships/image" Target="media/image6.png"/><Relationship Id="rId37" Type="http://schemas.openxmlformats.org/officeDocument/2006/relationships/chart" Target="charts/chart20.xml"/><Relationship Id="rId40" Type="http://schemas.openxmlformats.org/officeDocument/2006/relationships/hyperlink" Target="http://rekrutacja.umw.edu.pl/" TargetMode="External"/><Relationship Id="rId45" Type="http://schemas.openxmlformats.org/officeDocument/2006/relationships/hyperlink" Target="https://2024.ranking.perspektywy.pl/ranking/ranking-uczelni-akademickich" TargetMode="Externa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0.xml"/><Relationship Id="rId28" Type="http://schemas.openxmlformats.org/officeDocument/2006/relationships/chart" Target="charts/chart15.xml"/><Relationship Id="rId36" Type="http://schemas.openxmlformats.org/officeDocument/2006/relationships/hyperlink" Target="https://www.dresden.de/de/leben/stadtportrait/statistik/bevoelkerung-gebiet/bevoelkerungsprognose.php" TargetMode="External"/><Relationship Id="rId49"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chart" Target="charts/chart8.xml"/><Relationship Id="rId31" Type="http://schemas.openxmlformats.org/officeDocument/2006/relationships/chart" Target="charts/chart18.xml"/><Relationship Id="rId44" Type="http://schemas.openxmlformats.org/officeDocument/2006/relationships/hyperlink" Target="https://www.ump.edu.pl/"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3.xml"/><Relationship Id="rId22" Type="http://schemas.openxmlformats.org/officeDocument/2006/relationships/footer" Target="footer2.xml"/><Relationship Id="rId27" Type="http://schemas.openxmlformats.org/officeDocument/2006/relationships/chart" Target="charts/chart14.xml"/><Relationship Id="rId30" Type="http://schemas.openxmlformats.org/officeDocument/2006/relationships/chart" Target="charts/chart17.xml"/><Relationship Id="rId35" Type="http://schemas.openxmlformats.org/officeDocument/2006/relationships/chart" Target="charts/chart19.xml"/><Relationship Id="rId43" Type="http://schemas.openxmlformats.org/officeDocument/2006/relationships/hyperlink" Target="https://www.put.poznan.pl/node/163274" TargetMode="External"/><Relationship Id="rId48" Type="http://schemas.openxmlformats.org/officeDocument/2006/relationships/chart" Target="charts/chart25.xml"/><Relationship Id="rId8" Type="http://schemas.openxmlformats.org/officeDocument/2006/relationships/image" Target="media/image1.jpeg"/><Relationship Id="rId51"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4.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8" Type="http://schemas.openxmlformats.org/officeDocument/2006/relationships/hyperlink" Target="https://www.gov.pl/web/rozwoj-technologia/program-wspolpracy-z-organizacjami-pozarzadowymi-i-innymi-interesariuszami-na-lata-2025-2026" TargetMode="External"/><Relationship Id="rId13" Type="http://schemas.openxmlformats.org/officeDocument/2006/relationships/hyperlink" Target="https://innovation-cities.com/innovation-cities-index-2022-2023-europe-most-developed-and-innovative-cities/26444/" TargetMode="External"/><Relationship Id="rId3" Type="http://schemas.openxmlformats.org/officeDocument/2006/relationships/hyperlink" Target="https://www.gov.pl/web/rozwoj-technologia/strategia-produktywnosci-2031" TargetMode="External"/><Relationship Id="rId7" Type="http://schemas.openxmlformats.org/officeDocument/2006/relationships/hyperlink" Target="https://www.eog.gov.pl/strony/aktualnosci/nowy-fundusz-spoleczenstwa-obywatelskiego-w-ramach-funduszy-norweskich-i-eog/" TargetMode="External"/><Relationship Id="rId12" Type="http://schemas.openxmlformats.org/officeDocument/2006/relationships/hyperlink" Target="https://experience.arcgis.com/experience/eb1f02f8fa1641e5829fa1d88a6ebd8f/page/Po%C4%8Det-uchaze%C4%8D%C5%AF-o-zam%C4%9Bstn%C3%A1n%C3%AD?views=Zobrazen%C3%AD%2CZobrazen%C3%AD-12" TargetMode="External"/><Relationship Id="rId17" Type="http://schemas.openxmlformats.org/officeDocument/2006/relationships/hyperlink" Target="https://www.dresden.de/de/stadtraum/planen/stadtentwicklung/stadtentwicklung/integrierte-stadtentwicklungsplanung.php" TargetMode="External"/><Relationship Id="rId2" Type="http://schemas.openxmlformats.org/officeDocument/2006/relationships/hyperlink" Target="https://edzienniki.duw.pl/legalact/2020/4036/" TargetMode="External"/><Relationship Id="rId16" Type="http://schemas.openxmlformats.org/officeDocument/2006/relationships/hyperlink" Target="https://metropolitni.brno.cz/en/o-bmo/strategy/" TargetMode="External"/><Relationship Id="rId1" Type="http://schemas.openxmlformats.org/officeDocument/2006/relationships/hyperlink" Target="https://bip.dolnyslask.pl/a,117934,uchwala-w-sprawie-uchwalenia-planu-zagospodarowania-przestrzennego-wojewodztwa-dolnoslaskiego.html" TargetMode="External"/><Relationship Id="rId6" Type="http://schemas.openxmlformats.org/officeDocument/2006/relationships/hyperlink" Target="https://commission.europa.eu/priorities-2024-2029" TargetMode="External"/><Relationship Id="rId11" Type="http://schemas.openxmlformats.org/officeDocument/2006/relationships/hyperlink" Target="https://metropolitni.brno.cz/en/book/populacni-prognoza-brna-a-odhad-populacniho-vyvoje-bmo-do-roku-2071/" TargetMode="External"/><Relationship Id="rId5" Type="http://schemas.openxmlformats.org/officeDocument/2006/relationships/hyperlink" Target="https://www.gov.pl/web/obrona-narodowa/rodowisko-bezpieczenstwa-rp" TargetMode="External"/><Relationship Id="rId15" Type="http://schemas.openxmlformats.org/officeDocument/2006/relationships/hyperlink" Target="https://www.erlebnisregion-dresden.de/startseite.html" TargetMode="External"/><Relationship Id="rId10" Type="http://schemas.openxmlformats.org/officeDocument/2006/relationships/hyperlink" Target="https://irt.wroc.pl/strona-317-plan_wojewodztwa.html" TargetMode="External"/><Relationship Id="rId4" Type="http://schemas.openxmlformats.org/officeDocument/2006/relationships/hyperlink" Target="https://ec.europa.eu/eurostat/web/interactive-publications/regions-2024" TargetMode="External"/><Relationship Id="rId9" Type="http://schemas.openxmlformats.org/officeDocument/2006/relationships/hyperlink" Target="https://www.gov.pl/web/rozwoj-technologia/pomoc-publiczna-na-realizacje-projektow-inwestycyjnych-o-znaczeniu-strategicznym-dla-przejscia-na-gospodarke-o-zerowej-emisji-netto" TargetMode="External"/><Relationship Id="rId14" Type="http://schemas.openxmlformats.org/officeDocument/2006/relationships/hyperlink" Target="https://www.statistik.sachsen.de/genonline/online?operation=abruftabelleBearbeiten&amp;levelindex=1&amp;levelid=1743765356061&amp;auswahloperation=abruftabelleAuspraegungAuswaehlen&amp;auswahlverzeichnis=ordnungsstruktur&amp;auswahlziel=werteabruf&amp;code=32121-002K&amp;auswahltext=&amp;nummer=4&amp;variable=4&amp;name=KRS50P&amp;werteabruf=Werteabru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sus\Desktop\Do%20diagnozy%20otoczenia%20WroF.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asus\Downloads\RYNE_3788_XTAB_20250225123407.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asus\Downloads\RYNE_3788_XTAB_20250225123407.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asus\Downloads\PODM_2419_XTAB_20250225142630.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asus\Downloads\PODM_2419_XTAB_20250225142630.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asus\Downloads\PODM_2419_XTAB_20250225142630.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asus\Downloads\TURY_2396_XTAB_20250225190024.xlsx" TargetMode="External"/></Relationships>
</file>

<file path=word/charts/_rels/chart16.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oleObject" Target="file:///C:\Users\asus\Downloads\TURY_2396_XTAB_20250509094334.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asus\Downloads\TURY_2396_XTAB_20250225190024.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asus\Downloads\TURY_2396_XTAB_20250225190024.xlsx" TargetMode="External"/></Relationships>
</file>

<file path=word/charts/_rels/chart19.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oleObject" Target="file:///E:\WROC&#321;AW\Kopia%20BDL%20ludno&#347;&#263;%20por&#243;wnawcz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sus\Desktop\Do%20diagnozy%20otoczenia%20WroF.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Przemys&#322;aw%20Sokulski\Desktop\Wroc&#322;aw\bezrobocie.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Przemys&#322;aw%20Sokulski\Desktop\Wroc&#322;aw\bezrobocie.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Przemys&#322;aw%20Sokulski\Desktop\Wroc&#322;aw\bezrobocie.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Przemys&#322;aw%20Sokulski\Desktop\Wroc&#322;aw\STAN_3303_XTAB_20250205105719.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Przemys&#322;aw%20Sokulski\Desktop\Wroc&#322;aw\STAN_3303_XTAB_20250205105719.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E:\WROC&#321;AW\Nowy%20folder\STAN_2174_XTAB_2025020608463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sus\Desktop\Prognoza%20demograficzna%20WrOF\Prognoza%20demograficzna%20WrOF_ca&#322;o&#347;&#26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sus\Desktop\Prognoza%20demograficzna%20WrOF\Prognoza%20demograficzna%20WrOF_ca&#322;o&#347;&#26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sus\Desktop\Prognoza%20demograficzna%20WrOF_ca&#322;o&#347;&#263;_wariant%20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sus\Desktop\Prognoza%20demograficzna%20WrOF_ca&#322;o&#347;&#263;_wariant%20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sus\Desktop\Do%20diagnozy%20otoczenia%20WroF.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asus\Desktop\Prognoza%20demograficzna%20WrOF_ca&#322;o&#347;&#263;_wariant%202.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asus\Desktop\Prognoza%20demograficzna%20WrOF_ca&#322;o&#347;&#263;_wariant%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pl-PL"/>
  <c:chart>
    <c:autoTitleDeleted val="1"/>
    <c:plotArea>
      <c:layout/>
      <c:lineChart>
        <c:grouping val="standard"/>
        <c:ser>
          <c:idx val="0"/>
          <c:order val="0"/>
          <c:tx>
            <c:strRef>
              <c:f>Arkusz1!$I$31</c:f>
              <c:strCache>
                <c:ptCount val="1"/>
                <c:pt idx="0">
                  <c:v>ludność w wieku przedprodukcyjnym</c:v>
                </c:pt>
              </c:strCache>
            </c:strRef>
          </c:tx>
          <c:spPr>
            <a:ln w="28575" cap="rnd">
              <a:solidFill>
                <a:schemeClr val="accent1"/>
              </a:solidFill>
              <a:round/>
            </a:ln>
            <a:effectLst/>
          </c:spPr>
          <c:marker>
            <c:symbol val="none"/>
          </c:marker>
          <c:cat>
            <c:numRef>
              <c:f>Arkusz1!$J$30:$Q$30</c:f>
              <c:numCache>
                <c:formatCode>General</c:formatCode>
                <c:ptCount val="8"/>
                <c:pt idx="0">
                  <c:v>2025</c:v>
                </c:pt>
                <c:pt idx="1">
                  <c:v>2030</c:v>
                </c:pt>
                <c:pt idx="2">
                  <c:v>2035</c:v>
                </c:pt>
                <c:pt idx="3">
                  <c:v>2040</c:v>
                </c:pt>
                <c:pt idx="4">
                  <c:v>2024</c:v>
                </c:pt>
                <c:pt idx="5">
                  <c:v>2050</c:v>
                </c:pt>
                <c:pt idx="6">
                  <c:v>2055</c:v>
                </c:pt>
                <c:pt idx="7">
                  <c:v>2060</c:v>
                </c:pt>
              </c:numCache>
            </c:numRef>
          </c:cat>
          <c:val>
            <c:numRef>
              <c:f>Arkusz1!$J$31:$Q$31</c:f>
              <c:numCache>
                <c:formatCode>0.0</c:formatCode>
                <c:ptCount val="8"/>
                <c:pt idx="0">
                  <c:v>6.9</c:v>
                </c:pt>
                <c:pt idx="1">
                  <c:v>6.3</c:v>
                </c:pt>
                <c:pt idx="2">
                  <c:v>5.8</c:v>
                </c:pt>
                <c:pt idx="3">
                  <c:v>5.4</c:v>
                </c:pt>
                <c:pt idx="4">
                  <c:v>5.4</c:v>
                </c:pt>
                <c:pt idx="5">
                  <c:v>5.5</c:v>
                </c:pt>
                <c:pt idx="6">
                  <c:v>5.5</c:v>
                </c:pt>
                <c:pt idx="7">
                  <c:v>5.3</c:v>
                </c:pt>
              </c:numCache>
            </c:numRef>
          </c:val>
          <c:extLst xmlns:c16r2="http://schemas.microsoft.com/office/drawing/2015/06/chart">
            <c:ext xmlns:c16="http://schemas.microsoft.com/office/drawing/2014/chart" uri="{C3380CC4-5D6E-409C-BE32-E72D297353CC}">
              <c16:uniqueId val="{00000000-920F-4CE5-AEE0-1263E39798BF}"/>
            </c:ext>
          </c:extLst>
        </c:ser>
        <c:ser>
          <c:idx val="1"/>
          <c:order val="1"/>
          <c:tx>
            <c:strRef>
              <c:f>Arkusz1!$I$32</c:f>
              <c:strCache>
                <c:ptCount val="1"/>
                <c:pt idx="0">
                  <c:v>ludność wieku produkcyjnym</c:v>
                </c:pt>
              </c:strCache>
            </c:strRef>
          </c:tx>
          <c:spPr>
            <a:ln w="28575" cap="rnd">
              <a:solidFill>
                <a:schemeClr val="accent2"/>
              </a:solidFill>
              <a:round/>
            </a:ln>
            <a:effectLst/>
          </c:spPr>
          <c:marker>
            <c:symbol val="none"/>
          </c:marker>
          <c:cat>
            <c:numRef>
              <c:f>Arkusz1!$J$30:$Q$30</c:f>
              <c:numCache>
                <c:formatCode>General</c:formatCode>
                <c:ptCount val="8"/>
                <c:pt idx="0">
                  <c:v>2025</c:v>
                </c:pt>
                <c:pt idx="1">
                  <c:v>2030</c:v>
                </c:pt>
                <c:pt idx="2">
                  <c:v>2035</c:v>
                </c:pt>
                <c:pt idx="3">
                  <c:v>2040</c:v>
                </c:pt>
                <c:pt idx="4">
                  <c:v>2024</c:v>
                </c:pt>
                <c:pt idx="5">
                  <c:v>2050</c:v>
                </c:pt>
                <c:pt idx="6">
                  <c:v>2055</c:v>
                </c:pt>
                <c:pt idx="7">
                  <c:v>2060</c:v>
                </c:pt>
              </c:numCache>
            </c:numRef>
          </c:cat>
          <c:val>
            <c:numRef>
              <c:f>Arkusz1!$J$32:$Q$32</c:f>
              <c:numCache>
                <c:formatCode>0.0</c:formatCode>
                <c:ptCount val="8"/>
                <c:pt idx="0">
                  <c:v>21.4</c:v>
                </c:pt>
                <c:pt idx="1">
                  <c:v>21.1</c:v>
                </c:pt>
                <c:pt idx="2">
                  <c:v>20.7</c:v>
                </c:pt>
                <c:pt idx="3">
                  <c:v>20</c:v>
                </c:pt>
                <c:pt idx="4">
                  <c:v>18.8</c:v>
                </c:pt>
                <c:pt idx="5">
                  <c:v>17.8</c:v>
                </c:pt>
                <c:pt idx="6">
                  <c:v>17.100000000000001</c:v>
                </c:pt>
                <c:pt idx="7">
                  <c:v>16.8</c:v>
                </c:pt>
              </c:numCache>
            </c:numRef>
          </c:val>
          <c:extLst xmlns:c16r2="http://schemas.microsoft.com/office/drawing/2015/06/chart">
            <c:ext xmlns:c16="http://schemas.microsoft.com/office/drawing/2014/chart" uri="{C3380CC4-5D6E-409C-BE32-E72D297353CC}">
              <c16:uniqueId val="{00000001-920F-4CE5-AEE0-1263E39798BF}"/>
            </c:ext>
          </c:extLst>
        </c:ser>
        <c:ser>
          <c:idx val="2"/>
          <c:order val="2"/>
          <c:tx>
            <c:strRef>
              <c:f>Arkusz1!$I$33</c:f>
              <c:strCache>
                <c:ptCount val="1"/>
                <c:pt idx="0">
                  <c:v>ludność w wieku poprodukcyjnym</c:v>
                </c:pt>
              </c:strCache>
            </c:strRef>
          </c:tx>
          <c:spPr>
            <a:ln w="28575" cap="rnd">
              <a:solidFill>
                <a:schemeClr val="accent3"/>
              </a:solidFill>
              <a:round/>
            </a:ln>
            <a:effectLst/>
          </c:spPr>
          <c:marker>
            <c:symbol val="none"/>
          </c:marker>
          <c:cat>
            <c:numRef>
              <c:f>Arkusz1!$J$30:$Q$30</c:f>
              <c:numCache>
                <c:formatCode>General</c:formatCode>
                <c:ptCount val="8"/>
                <c:pt idx="0">
                  <c:v>2025</c:v>
                </c:pt>
                <c:pt idx="1">
                  <c:v>2030</c:v>
                </c:pt>
                <c:pt idx="2">
                  <c:v>2035</c:v>
                </c:pt>
                <c:pt idx="3">
                  <c:v>2040</c:v>
                </c:pt>
                <c:pt idx="4">
                  <c:v>2024</c:v>
                </c:pt>
                <c:pt idx="5">
                  <c:v>2050</c:v>
                </c:pt>
                <c:pt idx="6">
                  <c:v>2055</c:v>
                </c:pt>
                <c:pt idx="7">
                  <c:v>2060</c:v>
                </c:pt>
              </c:numCache>
            </c:numRef>
          </c:cat>
          <c:val>
            <c:numRef>
              <c:f>Arkusz1!$J$33:$Q$33</c:f>
              <c:numCache>
                <c:formatCode>0.0</c:formatCode>
                <c:ptCount val="8"/>
                <c:pt idx="0">
                  <c:v>9</c:v>
                </c:pt>
                <c:pt idx="1">
                  <c:v>9.2000000000000011</c:v>
                </c:pt>
                <c:pt idx="2">
                  <c:v>9.5</c:v>
                </c:pt>
                <c:pt idx="3">
                  <c:v>9.9</c:v>
                </c:pt>
                <c:pt idx="4">
                  <c:v>10.5</c:v>
                </c:pt>
                <c:pt idx="5">
                  <c:v>10.9</c:v>
                </c:pt>
                <c:pt idx="6">
                  <c:v>11</c:v>
                </c:pt>
                <c:pt idx="7">
                  <c:v>10.8</c:v>
                </c:pt>
              </c:numCache>
            </c:numRef>
          </c:val>
          <c:extLst xmlns:c16r2="http://schemas.microsoft.com/office/drawing/2015/06/chart">
            <c:ext xmlns:c16="http://schemas.microsoft.com/office/drawing/2014/chart" uri="{C3380CC4-5D6E-409C-BE32-E72D297353CC}">
              <c16:uniqueId val="{00000002-920F-4CE5-AEE0-1263E39798BF}"/>
            </c:ext>
          </c:extLst>
        </c:ser>
        <c:dLbls/>
        <c:marker val="1"/>
        <c:axId val="150740352"/>
        <c:axId val="170087936"/>
      </c:lineChart>
      <c:catAx>
        <c:axId val="150740352"/>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Rok prognozy</a:t>
                </a:r>
              </a:p>
            </c:rich>
          </c:tx>
          <c:layout/>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0087936"/>
        <c:crosses val="autoZero"/>
        <c:auto val="1"/>
        <c:lblAlgn val="ctr"/>
        <c:lblOffset val="100"/>
      </c:catAx>
      <c:valAx>
        <c:axId val="170087936"/>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Ludność</a:t>
                </a:r>
                <a:r>
                  <a:rPr lang="pl-PL" baseline="0"/>
                  <a:t> w mln</a:t>
                </a:r>
                <a:endParaRPr lang="pl-PL"/>
              </a:p>
            </c:rich>
          </c:tx>
          <c:layout/>
          <c:spPr>
            <a:noFill/>
            <a:ln>
              <a:noFill/>
            </a:ln>
            <a:effectLst/>
          </c:spPr>
        </c:title>
        <c:numFmt formatCode="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074035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pl-PL"/>
  <c:chart>
    <c:autoTitleDeleted val="1"/>
    <c:plotArea>
      <c:layout/>
      <c:barChart>
        <c:barDir val="col"/>
        <c:grouping val="clustered"/>
        <c:ser>
          <c:idx val="0"/>
          <c:order val="0"/>
          <c:tx>
            <c:strRef>
              <c:f>TABLICA!$H$18</c:f>
              <c:strCache>
                <c:ptCount val="1"/>
                <c:pt idx="0">
                  <c:v>2013</c:v>
                </c:pt>
              </c:strCache>
            </c:strRef>
          </c:tx>
          <c:spPr>
            <a:solidFill>
              <a:schemeClr val="accent1"/>
            </a:solidFill>
            <a:ln>
              <a:noFill/>
            </a:ln>
            <a:effectLst/>
          </c:spPr>
          <c:cat>
            <c:strRef>
              <c:f>TABLICA!$G$19:$G$26</c:f>
              <c:strCache>
                <c:ptCount val="8"/>
                <c:pt idx="0">
                  <c:v>Polska</c:v>
                </c:pt>
                <c:pt idx="1">
                  <c:v>Dolnośląskie</c:v>
                </c:pt>
                <c:pt idx="2">
                  <c:v>Powiat oleśnicki</c:v>
                </c:pt>
                <c:pt idx="3">
                  <c:v>Powiat oławski</c:v>
                </c:pt>
                <c:pt idx="4">
                  <c:v>Powiat średzki</c:v>
                </c:pt>
                <c:pt idx="5">
                  <c:v>Powiat trzebnicki</c:v>
                </c:pt>
                <c:pt idx="6">
                  <c:v>Powiat wrocławski</c:v>
                </c:pt>
                <c:pt idx="7">
                  <c:v>Powiat m. Wrocław</c:v>
                </c:pt>
              </c:strCache>
            </c:strRef>
          </c:cat>
          <c:val>
            <c:numRef>
              <c:f>TABLICA!$H$19:$H$26</c:f>
              <c:numCache>
                <c:formatCode>0</c:formatCode>
                <c:ptCount val="8"/>
                <c:pt idx="0">
                  <c:v>4359</c:v>
                </c:pt>
                <c:pt idx="1">
                  <c:v>4337</c:v>
                </c:pt>
                <c:pt idx="2">
                  <c:v>3049</c:v>
                </c:pt>
                <c:pt idx="3">
                  <c:v>3177</c:v>
                </c:pt>
                <c:pt idx="4">
                  <c:v>2533</c:v>
                </c:pt>
                <c:pt idx="5">
                  <c:v>3199</c:v>
                </c:pt>
                <c:pt idx="6">
                  <c:v>3931</c:v>
                </c:pt>
                <c:pt idx="7">
                  <c:v>5484</c:v>
                </c:pt>
              </c:numCache>
            </c:numRef>
          </c:val>
          <c:extLst xmlns:c16r2="http://schemas.microsoft.com/office/drawing/2015/06/chart">
            <c:ext xmlns:c16="http://schemas.microsoft.com/office/drawing/2014/chart" uri="{C3380CC4-5D6E-409C-BE32-E72D297353CC}">
              <c16:uniqueId val="{00000000-E071-4510-B192-8D0DA277B832}"/>
            </c:ext>
          </c:extLst>
        </c:ser>
        <c:ser>
          <c:idx val="1"/>
          <c:order val="1"/>
          <c:tx>
            <c:strRef>
              <c:f>TABLICA!$I$18</c:f>
              <c:strCache>
                <c:ptCount val="1"/>
                <c:pt idx="0">
                  <c:v>2023</c:v>
                </c:pt>
              </c:strCache>
            </c:strRef>
          </c:tx>
          <c:spPr>
            <a:solidFill>
              <a:schemeClr val="accent2"/>
            </a:solidFill>
            <a:ln>
              <a:noFill/>
            </a:ln>
            <a:effectLst/>
          </c:spPr>
          <c:cat>
            <c:strRef>
              <c:f>TABLICA!$G$19:$G$26</c:f>
              <c:strCache>
                <c:ptCount val="8"/>
                <c:pt idx="0">
                  <c:v>Polska</c:v>
                </c:pt>
                <c:pt idx="1">
                  <c:v>Dolnośląskie</c:v>
                </c:pt>
                <c:pt idx="2">
                  <c:v>Powiat oleśnicki</c:v>
                </c:pt>
                <c:pt idx="3">
                  <c:v>Powiat oławski</c:v>
                </c:pt>
                <c:pt idx="4">
                  <c:v>Powiat średzki</c:v>
                </c:pt>
                <c:pt idx="5">
                  <c:v>Powiat trzebnicki</c:v>
                </c:pt>
                <c:pt idx="6">
                  <c:v>Powiat wrocławski</c:v>
                </c:pt>
                <c:pt idx="7">
                  <c:v>Powiat m. Wrocław</c:v>
                </c:pt>
              </c:strCache>
            </c:strRef>
          </c:cat>
          <c:val>
            <c:numRef>
              <c:f>TABLICA!$I$19:$I$26</c:f>
              <c:numCache>
                <c:formatCode>0</c:formatCode>
                <c:ptCount val="8"/>
                <c:pt idx="0">
                  <c:v>7906</c:v>
                </c:pt>
                <c:pt idx="1">
                  <c:v>7607</c:v>
                </c:pt>
                <c:pt idx="2">
                  <c:v>6200</c:v>
                </c:pt>
                <c:pt idx="3">
                  <c:v>6244</c:v>
                </c:pt>
                <c:pt idx="4">
                  <c:v>5649</c:v>
                </c:pt>
                <c:pt idx="5">
                  <c:v>6129</c:v>
                </c:pt>
                <c:pt idx="6">
                  <c:v>7058</c:v>
                </c:pt>
                <c:pt idx="7">
                  <c:v>10151</c:v>
                </c:pt>
              </c:numCache>
            </c:numRef>
          </c:val>
          <c:extLst xmlns:c16r2="http://schemas.microsoft.com/office/drawing/2015/06/chart">
            <c:ext xmlns:c16="http://schemas.microsoft.com/office/drawing/2014/chart" uri="{C3380CC4-5D6E-409C-BE32-E72D297353CC}">
              <c16:uniqueId val="{00000001-E071-4510-B192-8D0DA277B832}"/>
            </c:ext>
          </c:extLst>
        </c:ser>
        <c:dLbls/>
        <c:gapWidth val="219"/>
        <c:axId val="214226048"/>
        <c:axId val="214227968"/>
      </c:barChart>
      <c:lineChart>
        <c:grouping val="standard"/>
        <c:ser>
          <c:idx val="2"/>
          <c:order val="2"/>
          <c:tx>
            <c:strRef>
              <c:f>TABLICA!$J$18</c:f>
              <c:strCache>
                <c:ptCount val="1"/>
                <c:pt idx="0">
                  <c:v>Zmiana %</c:v>
                </c:pt>
              </c:strCache>
            </c:strRef>
          </c:tx>
          <c:spPr>
            <a:ln w="28575" cap="rnd">
              <a:solidFill>
                <a:schemeClr val="accent3"/>
              </a:solidFill>
              <a:round/>
            </a:ln>
            <a:effectLst/>
          </c:spPr>
          <c:marker>
            <c:symbol val="none"/>
          </c:marker>
          <c:cat>
            <c:strRef>
              <c:f>TABLICA!$G$19:$G$26</c:f>
              <c:strCache>
                <c:ptCount val="8"/>
                <c:pt idx="0">
                  <c:v>Polska</c:v>
                </c:pt>
                <c:pt idx="1">
                  <c:v>Dolnośląskie</c:v>
                </c:pt>
                <c:pt idx="2">
                  <c:v>Powiat oleśnicki</c:v>
                </c:pt>
                <c:pt idx="3">
                  <c:v>Powiat oławski</c:v>
                </c:pt>
                <c:pt idx="4">
                  <c:v>Powiat średzki</c:v>
                </c:pt>
                <c:pt idx="5">
                  <c:v>Powiat trzebnicki</c:v>
                </c:pt>
                <c:pt idx="6">
                  <c:v>Powiat wrocławski</c:v>
                </c:pt>
                <c:pt idx="7">
                  <c:v>Powiat m. Wrocław</c:v>
                </c:pt>
              </c:strCache>
            </c:strRef>
          </c:cat>
          <c:val>
            <c:numRef>
              <c:f>TABLICA!$J$19:$J$26</c:f>
              <c:numCache>
                <c:formatCode>0</c:formatCode>
                <c:ptCount val="8"/>
                <c:pt idx="0">
                  <c:v>81.371874283092453</c:v>
                </c:pt>
                <c:pt idx="1">
                  <c:v>75.39774037352997</c:v>
                </c:pt>
                <c:pt idx="2">
                  <c:v>103.34535913414233</c:v>
                </c:pt>
                <c:pt idx="3">
                  <c:v>96.537614101353526</c:v>
                </c:pt>
                <c:pt idx="4">
                  <c:v>123.01618634030801</c:v>
                </c:pt>
                <c:pt idx="5">
                  <c:v>91.591122225695614</c:v>
                </c:pt>
                <c:pt idx="6">
                  <c:v>79.547189010429918</c:v>
                </c:pt>
                <c:pt idx="7">
                  <c:v>85.102115244347317</c:v>
                </c:pt>
              </c:numCache>
            </c:numRef>
          </c:val>
          <c:extLst xmlns:c16r2="http://schemas.microsoft.com/office/drawing/2015/06/chart">
            <c:ext xmlns:c16="http://schemas.microsoft.com/office/drawing/2014/chart" uri="{C3380CC4-5D6E-409C-BE32-E72D297353CC}">
              <c16:uniqueId val="{00000002-E071-4510-B192-8D0DA277B832}"/>
            </c:ext>
          </c:extLst>
        </c:ser>
        <c:dLbls/>
        <c:marker val="1"/>
        <c:axId val="194718720"/>
        <c:axId val="194716800"/>
      </c:lineChart>
      <c:catAx>
        <c:axId val="214226048"/>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Jednostka terytorialna</a:t>
                </a:r>
              </a:p>
            </c:rich>
          </c:tx>
          <c:layout/>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14227968"/>
        <c:crosses val="autoZero"/>
        <c:auto val="1"/>
        <c:lblAlgn val="ctr"/>
        <c:lblOffset val="100"/>
      </c:catAx>
      <c:valAx>
        <c:axId val="214227968"/>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Cena</a:t>
                </a:r>
                <a:r>
                  <a:rPr lang="pl-PL" baseline="0"/>
                  <a:t> zakupu m</a:t>
                </a:r>
                <a:r>
                  <a:rPr lang="pl-PL" baseline="30000"/>
                  <a:t>2</a:t>
                </a:r>
                <a:r>
                  <a:rPr lang="pl-PL" baseline="0"/>
                  <a:t> pow. mieszkania (zł)</a:t>
                </a:r>
                <a:endParaRPr lang="pl-PL"/>
              </a:p>
            </c:rich>
          </c:tx>
          <c:layout/>
          <c:spPr>
            <a:noFill/>
            <a:ln>
              <a:noFill/>
            </a:ln>
            <a:effectLst/>
          </c:spPr>
        </c:title>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14226048"/>
        <c:crosses val="autoZero"/>
        <c:crossBetween val="between"/>
      </c:valAx>
      <c:valAx>
        <c:axId val="194716800"/>
        <c:scaling>
          <c:orientation val="minMax"/>
        </c:scaling>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Zmiana</a:t>
                </a:r>
                <a:r>
                  <a:rPr lang="pl-PL" baseline="0"/>
                  <a:t> %</a:t>
                </a:r>
                <a:endParaRPr lang="pl-PL"/>
              </a:p>
            </c:rich>
          </c:tx>
          <c:layout/>
          <c:spPr>
            <a:noFill/>
            <a:ln>
              <a:noFill/>
            </a:ln>
            <a:effectLst/>
          </c:spPr>
        </c:title>
        <c:numFmt formatCode="0" sourceLinked="1"/>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4718720"/>
        <c:crosses val="max"/>
        <c:crossBetween val="between"/>
      </c:valAx>
      <c:catAx>
        <c:axId val="194718720"/>
        <c:scaling>
          <c:orientation val="minMax"/>
        </c:scaling>
        <c:delete val="1"/>
        <c:axPos val="b"/>
        <c:numFmt formatCode="General" sourceLinked="1"/>
        <c:tickLblPos val="none"/>
        <c:crossAx val="194716800"/>
        <c:crosses val="autoZero"/>
        <c:auto val="1"/>
        <c:lblAlgn val="ctr"/>
        <c:lblOffset val="10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60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pl-PL"/>
  <c:chart>
    <c:autoTitleDeleted val="1"/>
    <c:plotArea>
      <c:layout/>
      <c:barChart>
        <c:barDir val="col"/>
        <c:grouping val="clustered"/>
        <c:ser>
          <c:idx val="0"/>
          <c:order val="0"/>
          <c:tx>
            <c:strRef>
              <c:f>TABLICA!$H$40</c:f>
              <c:strCache>
                <c:ptCount val="1"/>
                <c:pt idx="0">
                  <c:v>2013</c:v>
                </c:pt>
              </c:strCache>
            </c:strRef>
          </c:tx>
          <c:spPr>
            <a:solidFill>
              <a:schemeClr val="accent1"/>
            </a:solidFill>
            <a:ln>
              <a:noFill/>
            </a:ln>
            <a:effectLst/>
          </c:spPr>
          <c:cat>
            <c:strRef>
              <c:f>TABLICA!$G$41:$G$48</c:f>
              <c:strCache>
                <c:ptCount val="8"/>
                <c:pt idx="0">
                  <c:v>Polska</c:v>
                </c:pt>
                <c:pt idx="1">
                  <c:v>Dolnośląskie</c:v>
                </c:pt>
                <c:pt idx="2">
                  <c:v>Powiat oleśnicki</c:v>
                </c:pt>
                <c:pt idx="3">
                  <c:v>Powiat oławski</c:v>
                </c:pt>
                <c:pt idx="4">
                  <c:v>Powiat średzki</c:v>
                </c:pt>
                <c:pt idx="5">
                  <c:v>Powiat trzebnicki</c:v>
                </c:pt>
                <c:pt idx="6">
                  <c:v>Powiat wrocławski</c:v>
                </c:pt>
                <c:pt idx="7">
                  <c:v>Powiat m. Wrocław</c:v>
                </c:pt>
              </c:strCache>
            </c:strRef>
          </c:cat>
          <c:val>
            <c:numRef>
              <c:f>TABLICA!$H$41:$H$48</c:f>
              <c:numCache>
                <c:formatCode>#,##0</c:formatCode>
                <c:ptCount val="8"/>
                <c:pt idx="0">
                  <c:v>3697</c:v>
                </c:pt>
                <c:pt idx="1">
                  <c:v>3388</c:v>
                </c:pt>
                <c:pt idx="2">
                  <c:v>2806</c:v>
                </c:pt>
                <c:pt idx="3">
                  <c:v>2915</c:v>
                </c:pt>
                <c:pt idx="4">
                  <c:v>2101</c:v>
                </c:pt>
                <c:pt idx="5">
                  <c:v>2880</c:v>
                </c:pt>
                <c:pt idx="6">
                  <c:v>3531</c:v>
                </c:pt>
                <c:pt idx="7">
                  <c:v>4593</c:v>
                </c:pt>
              </c:numCache>
            </c:numRef>
          </c:val>
          <c:extLst xmlns:c16r2="http://schemas.microsoft.com/office/drawing/2015/06/chart">
            <c:ext xmlns:c16="http://schemas.microsoft.com/office/drawing/2014/chart" uri="{C3380CC4-5D6E-409C-BE32-E72D297353CC}">
              <c16:uniqueId val="{00000000-C680-4936-86FA-E8A1C546AC89}"/>
            </c:ext>
          </c:extLst>
        </c:ser>
        <c:ser>
          <c:idx val="1"/>
          <c:order val="1"/>
          <c:tx>
            <c:strRef>
              <c:f>TABLICA!$I$40</c:f>
              <c:strCache>
                <c:ptCount val="1"/>
                <c:pt idx="0">
                  <c:v>2023</c:v>
                </c:pt>
              </c:strCache>
            </c:strRef>
          </c:tx>
          <c:spPr>
            <a:solidFill>
              <a:schemeClr val="accent2"/>
            </a:solidFill>
            <a:ln>
              <a:noFill/>
            </a:ln>
            <a:effectLst/>
          </c:spPr>
          <c:cat>
            <c:strRef>
              <c:f>TABLICA!$G$41:$G$48</c:f>
              <c:strCache>
                <c:ptCount val="8"/>
                <c:pt idx="0">
                  <c:v>Polska</c:v>
                </c:pt>
                <c:pt idx="1">
                  <c:v>Dolnośląskie</c:v>
                </c:pt>
                <c:pt idx="2">
                  <c:v>Powiat oleśnicki</c:v>
                </c:pt>
                <c:pt idx="3">
                  <c:v>Powiat oławski</c:v>
                </c:pt>
                <c:pt idx="4">
                  <c:v>Powiat średzki</c:v>
                </c:pt>
                <c:pt idx="5">
                  <c:v>Powiat trzebnicki</c:v>
                </c:pt>
                <c:pt idx="6">
                  <c:v>Powiat wrocławski</c:v>
                </c:pt>
                <c:pt idx="7">
                  <c:v>Powiat m. Wrocław</c:v>
                </c:pt>
              </c:strCache>
            </c:strRef>
          </c:cat>
          <c:val>
            <c:numRef>
              <c:f>TABLICA!$I$41:$I$48</c:f>
              <c:numCache>
                <c:formatCode>#,##0</c:formatCode>
                <c:ptCount val="8"/>
                <c:pt idx="0">
                  <c:v>7676</c:v>
                </c:pt>
                <c:pt idx="1">
                  <c:v>6903</c:v>
                </c:pt>
                <c:pt idx="2">
                  <c:v>5568</c:v>
                </c:pt>
                <c:pt idx="3">
                  <c:v>6445</c:v>
                </c:pt>
                <c:pt idx="4">
                  <c:v>5079</c:v>
                </c:pt>
                <c:pt idx="5">
                  <c:v>5405</c:v>
                </c:pt>
                <c:pt idx="6">
                  <c:v>7824</c:v>
                </c:pt>
                <c:pt idx="7">
                  <c:v>10368</c:v>
                </c:pt>
              </c:numCache>
            </c:numRef>
          </c:val>
          <c:extLst xmlns:c16r2="http://schemas.microsoft.com/office/drawing/2015/06/chart">
            <c:ext xmlns:c16="http://schemas.microsoft.com/office/drawing/2014/chart" uri="{C3380CC4-5D6E-409C-BE32-E72D297353CC}">
              <c16:uniqueId val="{00000001-C680-4936-86FA-E8A1C546AC89}"/>
            </c:ext>
          </c:extLst>
        </c:ser>
        <c:dLbls/>
        <c:gapWidth val="219"/>
        <c:overlap val="-27"/>
        <c:axId val="219883392"/>
        <c:axId val="219893760"/>
      </c:barChart>
      <c:lineChart>
        <c:grouping val="standard"/>
        <c:ser>
          <c:idx val="2"/>
          <c:order val="2"/>
          <c:tx>
            <c:strRef>
              <c:f>TABLICA!$J$40</c:f>
              <c:strCache>
                <c:ptCount val="1"/>
                <c:pt idx="0">
                  <c:v>Zmiana %</c:v>
                </c:pt>
              </c:strCache>
            </c:strRef>
          </c:tx>
          <c:spPr>
            <a:ln w="28575" cap="rnd">
              <a:solidFill>
                <a:schemeClr val="accent3"/>
              </a:solidFill>
              <a:round/>
            </a:ln>
            <a:effectLst/>
          </c:spPr>
          <c:marker>
            <c:symbol val="none"/>
          </c:marker>
          <c:cat>
            <c:strRef>
              <c:f>TABLICA!$G$41:$G$48</c:f>
              <c:strCache>
                <c:ptCount val="8"/>
                <c:pt idx="0">
                  <c:v>Polska</c:v>
                </c:pt>
                <c:pt idx="1">
                  <c:v>Dolnośląskie</c:v>
                </c:pt>
                <c:pt idx="2">
                  <c:v>Powiat oleśnicki</c:v>
                </c:pt>
                <c:pt idx="3">
                  <c:v>Powiat oławski</c:v>
                </c:pt>
                <c:pt idx="4">
                  <c:v>Powiat średzki</c:v>
                </c:pt>
                <c:pt idx="5">
                  <c:v>Powiat trzebnicki</c:v>
                </c:pt>
                <c:pt idx="6">
                  <c:v>Powiat wrocławski</c:v>
                </c:pt>
                <c:pt idx="7">
                  <c:v>Powiat m. Wrocław</c:v>
                </c:pt>
              </c:strCache>
            </c:strRef>
          </c:cat>
          <c:val>
            <c:numRef>
              <c:f>TABLICA!$J$41:$J$48</c:f>
              <c:numCache>
                <c:formatCode>0.00</c:formatCode>
                <c:ptCount val="8"/>
                <c:pt idx="0">
                  <c:v>107.62780632945616</c:v>
                </c:pt>
                <c:pt idx="1">
                  <c:v>103.74852420306966</c:v>
                </c:pt>
                <c:pt idx="2">
                  <c:v>98.431931575196003</c:v>
                </c:pt>
                <c:pt idx="3">
                  <c:v>121.09777015437388</c:v>
                </c:pt>
                <c:pt idx="4">
                  <c:v>141.74202760590197</c:v>
                </c:pt>
                <c:pt idx="5">
                  <c:v>87.673611111111029</c:v>
                </c:pt>
                <c:pt idx="6">
                  <c:v>121.58028887000845</c:v>
                </c:pt>
                <c:pt idx="7">
                  <c:v>125.73481384715872</c:v>
                </c:pt>
              </c:numCache>
            </c:numRef>
          </c:val>
          <c:extLst xmlns:c16r2="http://schemas.microsoft.com/office/drawing/2015/06/chart">
            <c:ext xmlns:c16="http://schemas.microsoft.com/office/drawing/2014/chart" uri="{C3380CC4-5D6E-409C-BE32-E72D297353CC}">
              <c16:uniqueId val="{00000002-C680-4936-86FA-E8A1C546AC89}"/>
            </c:ext>
          </c:extLst>
        </c:ser>
        <c:dLbls/>
        <c:marker val="1"/>
        <c:axId val="219901952"/>
        <c:axId val="219895680"/>
      </c:lineChart>
      <c:catAx>
        <c:axId val="219883392"/>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Jednostka</a:t>
                </a:r>
                <a:r>
                  <a:rPr lang="pl-PL" baseline="0"/>
                  <a:t> terytorialna</a:t>
                </a:r>
                <a:endParaRPr lang="pl-PL"/>
              </a:p>
            </c:rich>
          </c:tx>
          <c:layout/>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19893760"/>
        <c:crosses val="autoZero"/>
        <c:auto val="1"/>
        <c:lblAlgn val="ctr"/>
        <c:lblOffset val="100"/>
      </c:catAx>
      <c:valAx>
        <c:axId val="219893760"/>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sz="800" b="0" i="0" u="none" strike="noStrike" kern="1200" baseline="0">
                    <a:solidFill>
                      <a:sysClr val="windowText" lastClr="000000">
                        <a:lumMod val="65000"/>
                        <a:lumOff val="35000"/>
                      </a:sysClr>
                    </a:solidFill>
                  </a:rPr>
                  <a:t>Cena zakupu m</a:t>
                </a:r>
                <a:r>
                  <a:rPr lang="pl-PL" sz="800" b="0" i="0" u="none" strike="noStrike" kern="1200" baseline="30000">
                    <a:solidFill>
                      <a:sysClr val="windowText" lastClr="000000">
                        <a:lumMod val="65000"/>
                        <a:lumOff val="35000"/>
                      </a:sysClr>
                    </a:solidFill>
                  </a:rPr>
                  <a:t>2</a:t>
                </a:r>
                <a:r>
                  <a:rPr lang="pl-PL" sz="800" b="0" i="0" u="none" strike="noStrike" kern="1200" baseline="0">
                    <a:solidFill>
                      <a:sysClr val="windowText" lastClr="000000">
                        <a:lumMod val="65000"/>
                        <a:lumOff val="35000"/>
                      </a:sysClr>
                    </a:solidFill>
                  </a:rPr>
                  <a:t> pow. mieszkania (zł</a:t>
                </a:r>
                <a:endParaRPr lang="pl-PL"/>
              </a:p>
            </c:rich>
          </c:tx>
          <c:layout/>
          <c:spPr>
            <a:noFill/>
            <a:ln>
              <a:noFill/>
            </a:ln>
            <a:effectLst/>
          </c:spPr>
        </c:title>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19883392"/>
        <c:crosses val="autoZero"/>
        <c:crossBetween val="between"/>
      </c:valAx>
      <c:valAx>
        <c:axId val="219895680"/>
        <c:scaling>
          <c:orientation val="minMax"/>
        </c:scaling>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Zmiana</a:t>
                </a:r>
                <a:r>
                  <a:rPr lang="pl-PL" baseline="0"/>
                  <a:t> %</a:t>
                </a:r>
                <a:endParaRPr lang="pl-PL"/>
              </a:p>
            </c:rich>
          </c:tx>
          <c:layout/>
          <c:spPr>
            <a:noFill/>
            <a:ln>
              <a:noFill/>
            </a:ln>
            <a:effectLst/>
          </c:spPr>
        </c:title>
        <c:numFmt formatCode="0.00" sourceLinked="1"/>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19901952"/>
        <c:crosses val="max"/>
        <c:crossBetween val="between"/>
      </c:valAx>
      <c:catAx>
        <c:axId val="219901952"/>
        <c:scaling>
          <c:orientation val="minMax"/>
        </c:scaling>
        <c:delete val="1"/>
        <c:axPos val="b"/>
        <c:numFmt formatCode="General" sourceLinked="1"/>
        <c:tickLblPos val="none"/>
        <c:crossAx val="219895680"/>
        <c:crosses val="autoZero"/>
        <c:auto val="1"/>
        <c:lblAlgn val="ctr"/>
        <c:lblOffset val="10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60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pl-PL"/>
  <c:chart>
    <c:autoTitleDeleted val="1"/>
    <c:plotArea>
      <c:layout/>
      <c:barChart>
        <c:barDir val="col"/>
        <c:grouping val="clustered"/>
        <c:ser>
          <c:idx val="0"/>
          <c:order val="0"/>
          <c:tx>
            <c:strRef>
              <c:f>TABLICA!$L$24</c:f>
              <c:strCache>
                <c:ptCount val="1"/>
                <c:pt idx="0">
                  <c:v>2013</c:v>
                </c:pt>
              </c:strCache>
            </c:strRef>
          </c:tx>
          <c:spPr>
            <a:solidFill>
              <a:schemeClr val="accent1"/>
            </a:solidFill>
            <a:ln>
              <a:noFill/>
            </a:ln>
            <a:effectLst/>
          </c:spPr>
          <c:cat>
            <c:strRef>
              <c:f>TABLICA!$K$25:$K$32</c:f>
              <c:strCache>
                <c:ptCount val="8"/>
                <c:pt idx="0">
                  <c:v>Polska</c:v>
                </c:pt>
                <c:pt idx="1">
                  <c:v>Dolnośląskie</c:v>
                </c:pt>
                <c:pt idx="2">
                  <c:v>Powiat oleśnicki</c:v>
                </c:pt>
                <c:pt idx="3">
                  <c:v>Powiat oławski</c:v>
                </c:pt>
                <c:pt idx="4">
                  <c:v>Powiat średzki</c:v>
                </c:pt>
                <c:pt idx="5">
                  <c:v>Powiat trzebnicki</c:v>
                </c:pt>
                <c:pt idx="6">
                  <c:v>Powiat wrocławski</c:v>
                </c:pt>
                <c:pt idx="7">
                  <c:v>Powiat m. Wrocław</c:v>
                </c:pt>
              </c:strCache>
            </c:strRef>
          </c:cat>
          <c:val>
            <c:numRef>
              <c:f>TABLICA!$L$25:$L$32</c:f>
              <c:numCache>
                <c:formatCode>#,##0</c:formatCode>
                <c:ptCount val="8"/>
                <c:pt idx="0">
                  <c:v>77</c:v>
                </c:pt>
                <c:pt idx="1">
                  <c:v>81</c:v>
                </c:pt>
                <c:pt idx="2">
                  <c:v>69</c:v>
                </c:pt>
                <c:pt idx="3">
                  <c:v>76</c:v>
                </c:pt>
                <c:pt idx="4">
                  <c:v>73</c:v>
                </c:pt>
                <c:pt idx="5">
                  <c:v>80</c:v>
                </c:pt>
                <c:pt idx="6">
                  <c:v>95</c:v>
                </c:pt>
                <c:pt idx="7">
                  <c:v>112</c:v>
                </c:pt>
              </c:numCache>
            </c:numRef>
          </c:val>
          <c:extLst xmlns:c16r2="http://schemas.microsoft.com/office/drawing/2015/06/chart">
            <c:ext xmlns:c16="http://schemas.microsoft.com/office/drawing/2014/chart" uri="{C3380CC4-5D6E-409C-BE32-E72D297353CC}">
              <c16:uniqueId val="{00000000-661D-49E6-A20C-7A9E104266E4}"/>
            </c:ext>
          </c:extLst>
        </c:ser>
        <c:ser>
          <c:idx val="1"/>
          <c:order val="1"/>
          <c:tx>
            <c:strRef>
              <c:f>TABLICA!$M$24</c:f>
              <c:strCache>
                <c:ptCount val="1"/>
                <c:pt idx="0">
                  <c:v>2023</c:v>
                </c:pt>
              </c:strCache>
            </c:strRef>
          </c:tx>
          <c:spPr>
            <a:solidFill>
              <a:schemeClr val="accent2"/>
            </a:solidFill>
            <a:ln>
              <a:noFill/>
            </a:ln>
            <a:effectLst/>
          </c:spPr>
          <c:cat>
            <c:strRef>
              <c:f>TABLICA!$K$25:$K$32</c:f>
              <c:strCache>
                <c:ptCount val="8"/>
                <c:pt idx="0">
                  <c:v>Polska</c:v>
                </c:pt>
                <c:pt idx="1">
                  <c:v>Dolnośląskie</c:v>
                </c:pt>
                <c:pt idx="2">
                  <c:v>Powiat oleśnicki</c:v>
                </c:pt>
                <c:pt idx="3">
                  <c:v>Powiat oławski</c:v>
                </c:pt>
                <c:pt idx="4">
                  <c:v>Powiat średzki</c:v>
                </c:pt>
                <c:pt idx="5">
                  <c:v>Powiat trzebnicki</c:v>
                </c:pt>
                <c:pt idx="6">
                  <c:v>Powiat wrocławski</c:v>
                </c:pt>
                <c:pt idx="7">
                  <c:v>Powiat m. Wrocław</c:v>
                </c:pt>
              </c:strCache>
            </c:strRef>
          </c:cat>
          <c:val>
            <c:numRef>
              <c:f>TABLICA!$M$25:$M$32</c:f>
              <c:numCache>
                <c:formatCode>#,##0</c:formatCode>
                <c:ptCount val="8"/>
                <c:pt idx="0">
                  <c:v>97</c:v>
                </c:pt>
                <c:pt idx="1">
                  <c:v>102</c:v>
                </c:pt>
                <c:pt idx="2">
                  <c:v>88</c:v>
                </c:pt>
                <c:pt idx="3">
                  <c:v>97</c:v>
                </c:pt>
                <c:pt idx="4">
                  <c:v>93</c:v>
                </c:pt>
                <c:pt idx="5">
                  <c:v>105</c:v>
                </c:pt>
                <c:pt idx="6">
                  <c:v>128</c:v>
                </c:pt>
                <c:pt idx="7">
                  <c:v>135</c:v>
                </c:pt>
              </c:numCache>
            </c:numRef>
          </c:val>
          <c:extLst xmlns:c16r2="http://schemas.microsoft.com/office/drawing/2015/06/chart">
            <c:ext xmlns:c16="http://schemas.microsoft.com/office/drawing/2014/chart" uri="{C3380CC4-5D6E-409C-BE32-E72D297353CC}">
              <c16:uniqueId val="{00000001-661D-49E6-A20C-7A9E104266E4}"/>
            </c:ext>
          </c:extLst>
        </c:ser>
        <c:dLbls/>
        <c:gapWidth val="219"/>
        <c:axId val="233441152"/>
        <c:axId val="233459712"/>
      </c:barChart>
      <c:lineChart>
        <c:grouping val="standard"/>
        <c:ser>
          <c:idx val="2"/>
          <c:order val="2"/>
          <c:tx>
            <c:strRef>
              <c:f>TABLICA!$N$24</c:f>
              <c:strCache>
                <c:ptCount val="1"/>
                <c:pt idx="0">
                  <c:v>Zmiana %</c:v>
                </c:pt>
              </c:strCache>
            </c:strRef>
          </c:tx>
          <c:spPr>
            <a:ln w="28575" cap="rnd">
              <a:solidFill>
                <a:schemeClr val="accent3"/>
              </a:solidFill>
              <a:round/>
            </a:ln>
            <a:effectLst/>
          </c:spPr>
          <c:marker>
            <c:symbol val="none"/>
          </c:marker>
          <c:cat>
            <c:strRef>
              <c:f>TABLICA!$K$25:$K$32</c:f>
              <c:strCache>
                <c:ptCount val="8"/>
                <c:pt idx="0">
                  <c:v>Polska</c:v>
                </c:pt>
                <c:pt idx="1">
                  <c:v>Dolnośląskie</c:v>
                </c:pt>
                <c:pt idx="2">
                  <c:v>Powiat oleśnicki</c:v>
                </c:pt>
                <c:pt idx="3">
                  <c:v>Powiat oławski</c:v>
                </c:pt>
                <c:pt idx="4">
                  <c:v>Powiat średzki</c:v>
                </c:pt>
                <c:pt idx="5">
                  <c:v>Powiat trzebnicki</c:v>
                </c:pt>
                <c:pt idx="6">
                  <c:v>Powiat wrocławski</c:v>
                </c:pt>
                <c:pt idx="7">
                  <c:v>Powiat m. Wrocław</c:v>
                </c:pt>
              </c:strCache>
            </c:strRef>
          </c:cat>
          <c:val>
            <c:numRef>
              <c:f>TABLICA!$N$25:$N$32</c:f>
              <c:numCache>
                <c:formatCode>0.0</c:formatCode>
                <c:ptCount val="8"/>
                <c:pt idx="0">
                  <c:v>25.974025974025949</c:v>
                </c:pt>
                <c:pt idx="1">
                  <c:v>25.925925925925903</c:v>
                </c:pt>
                <c:pt idx="2">
                  <c:v>27.536231884057973</c:v>
                </c:pt>
                <c:pt idx="3">
                  <c:v>27.631578947368435</c:v>
                </c:pt>
                <c:pt idx="4">
                  <c:v>27.397260273972602</c:v>
                </c:pt>
                <c:pt idx="5">
                  <c:v>31.25</c:v>
                </c:pt>
                <c:pt idx="6">
                  <c:v>34.736842105263115</c:v>
                </c:pt>
                <c:pt idx="7">
                  <c:v>20.535714285714263</c:v>
                </c:pt>
              </c:numCache>
            </c:numRef>
          </c:val>
          <c:extLst xmlns:c16r2="http://schemas.microsoft.com/office/drawing/2015/06/chart">
            <c:ext xmlns:c16="http://schemas.microsoft.com/office/drawing/2014/chart" uri="{C3380CC4-5D6E-409C-BE32-E72D297353CC}">
              <c16:uniqueId val="{00000002-661D-49E6-A20C-7A9E104266E4}"/>
            </c:ext>
          </c:extLst>
        </c:ser>
        <c:dLbls/>
        <c:marker val="1"/>
        <c:axId val="233467904"/>
        <c:axId val="233461632"/>
      </c:lineChart>
      <c:catAx>
        <c:axId val="233441152"/>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baseline="0"/>
                  <a:t>Jednostka terytorialna</a:t>
                </a:r>
                <a:endParaRPr lang="pl-PL"/>
              </a:p>
            </c:rich>
          </c:tx>
          <c:layout/>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33459712"/>
        <c:crosses val="autoZero"/>
        <c:auto val="1"/>
        <c:lblAlgn val="ctr"/>
        <c:lblOffset val="100"/>
      </c:catAx>
      <c:valAx>
        <c:axId val="233459712"/>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Osoby</a:t>
                </a:r>
                <a:r>
                  <a:rPr lang="pl-PL" baseline="0"/>
                  <a:t> fizyczne p.dz.g. na 1 tys. m. </a:t>
                </a:r>
                <a:endParaRPr lang="pl-PL"/>
              </a:p>
            </c:rich>
          </c:tx>
          <c:layout>
            <c:manualLayout>
              <c:xMode val="edge"/>
              <c:yMode val="edge"/>
              <c:x val="4.4223327805417385E-2"/>
              <c:y val="2.5881168878657969E-2"/>
            </c:manualLayout>
          </c:layout>
          <c:spPr>
            <a:noFill/>
            <a:ln>
              <a:noFill/>
            </a:ln>
            <a:effectLst/>
          </c:spPr>
        </c:title>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33441152"/>
        <c:crosses val="autoZero"/>
        <c:crossBetween val="between"/>
      </c:valAx>
      <c:valAx>
        <c:axId val="233461632"/>
        <c:scaling>
          <c:orientation val="minMax"/>
        </c:scaling>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Zmiana %</a:t>
                </a:r>
              </a:p>
            </c:rich>
          </c:tx>
          <c:layout/>
          <c:spPr>
            <a:noFill/>
            <a:ln>
              <a:noFill/>
            </a:ln>
            <a:effectLst/>
          </c:spPr>
        </c:title>
        <c:numFmt formatCode="0.0" sourceLinked="1"/>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33467904"/>
        <c:crosses val="max"/>
        <c:crossBetween val="between"/>
      </c:valAx>
      <c:catAx>
        <c:axId val="233467904"/>
        <c:scaling>
          <c:orientation val="minMax"/>
        </c:scaling>
        <c:delete val="1"/>
        <c:axPos val="b"/>
        <c:numFmt formatCode="General" sourceLinked="1"/>
        <c:tickLblPos val="none"/>
        <c:crossAx val="233461632"/>
        <c:crosses val="autoZero"/>
        <c:auto val="1"/>
        <c:lblAlgn val="ctr"/>
        <c:lblOffset val="10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70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pl-PL"/>
  <c:chart>
    <c:autoTitleDeleted val="1"/>
    <c:plotArea>
      <c:layout/>
      <c:barChart>
        <c:barDir val="col"/>
        <c:grouping val="clustered"/>
        <c:ser>
          <c:idx val="0"/>
          <c:order val="0"/>
          <c:tx>
            <c:strRef>
              <c:f>TABLICA!$L$37</c:f>
              <c:strCache>
                <c:ptCount val="1"/>
                <c:pt idx="0">
                  <c:v>2013</c:v>
                </c:pt>
              </c:strCache>
            </c:strRef>
          </c:tx>
          <c:spPr>
            <a:solidFill>
              <a:schemeClr val="accent1"/>
            </a:solidFill>
            <a:ln>
              <a:noFill/>
            </a:ln>
            <a:effectLst/>
          </c:spPr>
          <c:cat>
            <c:strRef>
              <c:f>TABLICA!$K$38:$K$45</c:f>
              <c:strCache>
                <c:ptCount val="8"/>
                <c:pt idx="0">
                  <c:v>Polska</c:v>
                </c:pt>
                <c:pt idx="1">
                  <c:v>Dolnośląskie</c:v>
                </c:pt>
                <c:pt idx="2">
                  <c:v>Powiat oleśnicki</c:v>
                </c:pt>
                <c:pt idx="3">
                  <c:v>Powiat oławski</c:v>
                </c:pt>
                <c:pt idx="4">
                  <c:v>Powiat średzki</c:v>
                </c:pt>
                <c:pt idx="5">
                  <c:v>Powiat trzebnicki</c:v>
                </c:pt>
                <c:pt idx="6">
                  <c:v>Powiat wrocławski</c:v>
                </c:pt>
                <c:pt idx="7">
                  <c:v>Powiat m. Wrocław</c:v>
                </c:pt>
              </c:strCache>
            </c:strRef>
          </c:cat>
          <c:val>
            <c:numRef>
              <c:f>TABLICA!$L$38:$L$45</c:f>
              <c:numCache>
                <c:formatCode>#\ ##0.0</c:formatCode>
                <c:ptCount val="8"/>
                <c:pt idx="0">
                  <c:v>36.4</c:v>
                </c:pt>
                <c:pt idx="1">
                  <c:v>46.5</c:v>
                </c:pt>
                <c:pt idx="2">
                  <c:v>28.6</c:v>
                </c:pt>
                <c:pt idx="3">
                  <c:v>29.2</c:v>
                </c:pt>
                <c:pt idx="4">
                  <c:v>27.5</c:v>
                </c:pt>
                <c:pt idx="5">
                  <c:v>32.4</c:v>
                </c:pt>
                <c:pt idx="6">
                  <c:v>44.4</c:v>
                </c:pt>
                <c:pt idx="7">
                  <c:v>79.599999999999994</c:v>
                </c:pt>
              </c:numCache>
            </c:numRef>
          </c:val>
          <c:extLst xmlns:c16r2="http://schemas.microsoft.com/office/drawing/2015/06/chart">
            <c:ext xmlns:c16="http://schemas.microsoft.com/office/drawing/2014/chart" uri="{C3380CC4-5D6E-409C-BE32-E72D297353CC}">
              <c16:uniqueId val="{00000000-FBB4-4879-AC37-F0415DE17787}"/>
            </c:ext>
          </c:extLst>
        </c:ser>
        <c:ser>
          <c:idx val="1"/>
          <c:order val="1"/>
          <c:tx>
            <c:strRef>
              <c:f>TABLICA!$M$37</c:f>
              <c:strCache>
                <c:ptCount val="1"/>
                <c:pt idx="0">
                  <c:v>2023</c:v>
                </c:pt>
              </c:strCache>
            </c:strRef>
          </c:tx>
          <c:spPr>
            <a:solidFill>
              <a:schemeClr val="accent2"/>
            </a:solidFill>
            <a:ln>
              <a:noFill/>
            </a:ln>
            <a:effectLst/>
          </c:spPr>
          <c:cat>
            <c:strRef>
              <c:f>TABLICA!$K$38:$K$45</c:f>
              <c:strCache>
                <c:ptCount val="8"/>
                <c:pt idx="0">
                  <c:v>Polska</c:v>
                </c:pt>
                <c:pt idx="1">
                  <c:v>Dolnośląskie</c:v>
                </c:pt>
                <c:pt idx="2">
                  <c:v>Powiat oleśnicki</c:v>
                </c:pt>
                <c:pt idx="3">
                  <c:v>Powiat oławski</c:v>
                </c:pt>
                <c:pt idx="4">
                  <c:v>Powiat średzki</c:v>
                </c:pt>
                <c:pt idx="5">
                  <c:v>Powiat trzebnicki</c:v>
                </c:pt>
                <c:pt idx="6">
                  <c:v>Powiat wrocławski</c:v>
                </c:pt>
                <c:pt idx="7">
                  <c:v>Powiat m. Wrocław</c:v>
                </c:pt>
              </c:strCache>
            </c:strRef>
          </c:cat>
          <c:val>
            <c:numRef>
              <c:f>TABLICA!$M$38:$M$45</c:f>
              <c:numCache>
                <c:formatCode>#\ ##0.0</c:formatCode>
                <c:ptCount val="8"/>
                <c:pt idx="0">
                  <c:v>54.9</c:v>
                </c:pt>
                <c:pt idx="1">
                  <c:v>69.400000000000006</c:v>
                </c:pt>
                <c:pt idx="2">
                  <c:v>43.3</c:v>
                </c:pt>
                <c:pt idx="3">
                  <c:v>45.3</c:v>
                </c:pt>
                <c:pt idx="4">
                  <c:v>42.4</c:v>
                </c:pt>
                <c:pt idx="5">
                  <c:v>50.9</c:v>
                </c:pt>
                <c:pt idx="6">
                  <c:v>78.599999999999994</c:v>
                </c:pt>
                <c:pt idx="7">
                  <c:v>123.9</c:v>
                </c:pt>
              </c:numCache>
            </c:numRef>
          </c:val>
          <c:extLst xmlns:c16r2="http://schemas.microsoft.com/office/drawing/2015/06/chart">
            <c:ext xmlns:c16="http://schemas.microsoft.com/office/drawing/2014/chart" uri="{C3380CC4-5D6E-409C-BE32-E72D297353CC}">
              <c16:uniqueId val="{00000001-FBB4-4879-AC37-F0415DE17787}"/>
            </c:ext>
          </c:extLst>
        </c:ser>
        <c:dLbls/>
        <c:gapWidth val="219"/>
        <c:axId val="233510784"/>
        <c:axId val="233521152"/>
      </c:barChart>
      <c:lineChart>
        <c:grouping val="standard"/>
        <c:ser>
          <c:idx val="2"/>
          <c:order val="2"/>
          <c:tx>
            <c:strRef>
              <c:f>TABLICA!$N$37</c:f>
              <c:strCache>
                <c:ptCount val="1"/>
                <c:pt idx="0">
                  <c:v>Zmiana %</c:v>
                </c:pt>
              </c:strCache>
            </c:strRef>
          </c:tx>
          <c:spPr>
            <a:ln w="28575" cap="rnd">
              <a:solidFill>
                <a:schemeClr val="accent3"/>
              </a:solidFill>
              <a:round/>
            </a:ln>
            <a:effectLst/>
          </c:spPr>
          <c:marker>
            <c:symbol val="none"/>
          </c:marker>
          <c:cat>
            <c:strRef>
              <c:f>TABLICA!$K$38:$K$45</c:f>
              <c:strCache>
                <c:ptCount val="8"/>
                <c:pt idx="0">
                  <c:v>Polska</c:v>
                </c:pt>
                <c:pt idx="1">
                  <c:v>Dolnośląskie</c:v>
                </c:pt>
                <c:pt idx="2">
                  <c:v>Powiat oleśnicki</c:v>
                </c:pt>
                <c:pt idx="3">
                  <c:v>Powiat oławski</c:v>
                </c:pt>
                <c:pt idx="4">
                  <c:v>Powiat średzki</c:v>
                </c:pt>
                <c:pt idx="5">
                  <c:v>Powiat trzebnicki</c:v>
                </c:pt>
                <c:pt idx="6">
                  <c:v>Powiat wrocławski</c:v>
                </c:pt>
                <c:pt idx="7">
                  <c:v>Powiat m. Wrocław</c:v>
                </c:pt>
              </c:strCache>
            </c:strRef>
          </c:cat>
          <c:val>
            <c:numRef>
              <c:f>TABLICA!$N$38:$N$45</c:f>
              <c:numCache>
                <c:formatCode>0.0</c:formatCode>
                <c:ptCount val="8"/>
                <c:pt idx="0">
                  <c:v>50.824175824175931</c:v>
                </c:pt>
                <c:pt idx="1">
                  <c:v>49.247311827957013</c:v>
                </c:pt>
                <c:pt idx="2">
                  <c:v>51.398601398601386</c:v>
                </c:pt>
                <c:pt idx="3">
                  <c:v>55.136986301369859</c:v>
                </c:pt>
                <c:pt idx="4">
                  <c:v>54.181818181818144</c:v>
                </c:pt>
                <c:pt idx="5">
                  <c:v>57.098765432098816</c:v>
                </c:pt>
                <c:pt idx="6">
                  <c:v>77.027027027027017</c:v>
                </c:pt>
                <c:pt idx="7">
                  <c:v>55.653266331658294</c:v>
                </c:pt>
              </c:numCache>
            </c:numRef>
          </c:val>
          <c:extLst xmlns:c16r2="http://schemas.microsoft.com/office/drawing/2015/06/chart">
            <c:ext xmlns:c16="http://schemas.microsoft.com/office/drawing/2014/chart" uri="{C3380CC4-5D6E-409C-BE32-E72D297353CC}">
              <c16:uniqueId val="{00000002-FBB4-4879-AC37-F0415DE17787}"/>
            </c:ext>
          </c:extLst>
        </c:ser>
        <c:dLbls/>
        <c:marker val="1"/>
        <c:axId val="233545728"/>
        <c:axId val="233523072"/>
      </c:lineChart>
      <c:catAx>
        <c:axId val="233510784"/>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Jednostka terytorialna</a:t>
                </a:r>
              </a:p>
            </c:rich>
          </c:tx>
          <c:layout/>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33521152"/>
        <c:crosses val="autoZero"/>
        <c:auto val="1"/>
        <c:lblAlgn val="ctr"/>
        <c:lblOffset val="100"/>
      </c:catAx>
      <c:valAx>
        <c:axId val="233521152"/>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Podmioty</a:t>
                </a:r>
                <a:r>
                  <a:rPr lang="pl-PL" baseline="0"/>
                  <a:t> gosp. na 1000 ludności</a:t>
                </a:r>
                <a:endParaRPr lang="pl-PL"/>
              </a:p>
            </c:rich>
          </c:tx>
          <c:layout/>
          <c:spPr>
            <a:noFill/>
            <a:ln>
              <a:noFill/>
            </a:ln>
            <a:effectLst/>
          </c:spPr>
        </c:title>
        <c:numFmt formatCode="#\ ##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33510784"/>
        <c:crosses val="autoZero"/>
        <c:crossBetween val="between"/>
      </c:valAx>
      <c:valAx>
        <c:axId val="233523072"/>
        <c:scaling>
          <c:orientation val="minMax"/>
        </c:scaling>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Zmiana %</a:t>
                </a:r>
              </a:p>
            </c:rich>
          </c:tx>
          <c:layout/>
          <c:spPr>
            <a:noFill/>
            <a:ln>
              <a:noFill/>
            </a:ln>
            <a:effectLst/>
          </c:spPr>
        </c:title>
        <c:numFmt formatCode="0.0" sourceLinked="1"/>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33545728"/>
        <c:crosses val="max"/>
        <c:crossBetween val="between"/>
      </c:valAx>
      <c:catAx>
        <c:axId val="233545728"/>
        <c:scaling>
          <c:orientation val="minMax"/>
        </c:scaling>
        <c:delete val="1"/>
        <c:axPos val="b"/>
        <c:numFmt formatCode="General" sourceLinked="1"/>
        <c:tickLblPos val="none"/>
        <c:crossAx val="233523072"/>
        <c:crosses val="autoZero"/>
        <c:auto val="1"/>
        <c:lblAlgn val="ctr"/>
        <c:lblOffset val="10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70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pl-PL"/>
  <c:chart>
    <c:autoTitleDeleted val="1"/>
    <c:plotArea>
      <c:layout/>
      <c:barChart>
        <c:barDir val="col"/>
        <c:grouping val="clustered"/>
        <c:ser>
          <c:idx val="0"/>
          <c:order val="0"/>
          <c:tx>
            <c:strRef>
              <c:f>TABLICA!$L$48</c:f>
              <c:strCache>
                <c:ptCount val="1"/>
                <c:pt idx="0">
                  <c:v>2013</c:v>
                </c:pt>
              </c:strCache>
            </c:strRef>
          </c:tx>
          <c:spPr>
            <a:solidFill>
              <a:schemeClr val="accent1"/>
            </a:solidFill>
            <a:ln>
              <a:noFill/>
            </a:ln>
            <a:effectLst/>
          </c:spPr>
          <c:cat>
            <c:strRef>
              <c:f>TABLICA!$K$49:$K$55</c:f>
              <c:strCache>
                <c:ptCount val="7"/>
                <c:pt idx="0">
                  <c:v>Powiat m. Wrocław</c:v>
                </c:pt>
                <c:pt idx="1">
                  <c:v>Powiat m. Łódź</c:v>
                </c:pt>
                <c:pt idx="2">
                  <c:v>Powiat m. Kraków</c:v>
                </c:pt>
                <c:pt idx="3">
                  <c:v>Powiat m. st. Warszawa</c:v>
                </c:pt>
                <c:pt idx="4">
                  <c:v>Powiat m. Gdańsk</c:v>
                </c:pt>
                <c:pt idx="5">
                  <c:v>Powiat m. Katowice</c:v>
                </c:pt>
                <c:pt idx="6">
                  <c:v>Powiat m. Poznań</c:v>
                </c:pt>
              </c:strCache>
            </c:strRef>
          </c:cat>
          <c:val>
            <c:numRef>
              <c:f>TABLICA!$L$49:$L$55</c:f>
              <c:numCache>
                <c:formatCode>#\ ##0.0</c:formatCode>
                <c:ptCount val="7"/>
                <c:pt idx="0">
                  <c:v>79.599999999999994</c:v>
                </c:pt>
                <c:pt idx="1">
                  <c:v>47.6</c:v>
                </c:pt>
                <c:pt idx="2">
                  <c:v>71.5</c:v>
                </c:pt>
                <c:pt idx="3">
                  <c:v>101.4</c:v>
                </c:pt>
                <c:pt idx="4">
                  <c:v>66.599999999999994</c:v>
                </c:pt>
                <c:pt idx="5">
                  <c:v>63.8</c:v>
                </c:pt>
                <c:pt idx="6">
                  <c:v>81.599999999999994</c:v>
                </c:pt>
              </c:numCache>
            </c:numRef>
          </c:val>
          <c:extLst xmlns:c16r2="http://schemas.microsoft.com/office/drawing/2015/06/chart">
            <c:ext xmlns:c16="http://schemas.microsoft.com/office/drawing/2014/chart" uri="{C3380CC4-5D6E-409C-BE32-E72D297353CC}">
              <c16:uniqueId val="{00000000-4CF3-41FE-B238-FFFC5E08D08B}"/>
            </c:ext>
          </c:extLst>
        </c:ser>
        <c:ser>
          <c:idx val="1"/>
          <c:order val="1"/>
          <c:tx>
            <c:strRef>
              <c:f>TABLICA!$M$48</c:f>
              <c:strCache>
                <c:ptCount val="1"/>
                <c:pt idx="0">
                  <c:v>2023</c:v>
                </c:pt>
              </c:strCache>
            </c:strRef>
          </c:tx>
          <c:spPr>
            <a:solidFill>
              <a:schemeClr val="accent2"/>
            </a:solidFill>
            <a:ln>
              <a:noFill/>
            </a:ln>
            <a:effectLst/>
          </c:spPr>
          <c:cat>
            <c:strRef>
              <c:f>TABLICA!$K$49:$K$55</c:f>
              <c:strCache>
                <c:ptCount val="7"/>
                <c:pt idx="0">
                  <c:v>Powiat m. Wrocław</c:v>
                </c:pt>
                <c:pt idx="1">
                  <c:v>Powiat m. Łódź</c:v>
                </c:pt>
                <c:pt idx="2">
                  <c:v>Powiat m. Kraków</c:v>
                </c:pt>
                <c:pt idx="3">
                  <c:v>Powiat m. st. Warszawa</c:v>
                </c:pt>
                <c:pt idx="4">
                  <c:v>Powiat m. Gdańsk</c:v>
                </c:pt>
                <c:pt idx="5">
                  <c:v>Powiat m. Katowice</c:v>
                </c:pt>
                <c:pt idx="6">
                  <c:v>Powiat m. Poznań</c:v>
                </c:pt>
              </c:strCache>
            </c:strRef>
          </c:cat>
          <c:val>
            <c:numRef>
              <c:f>TABLICA!$M$49:$M$55</c:f>
              <c:numCache>
                <c:formatCode>#\ ##0.0</c:formatCode>
                <c:ptCount val="7"/>
                <c:pt idx="0">
                  <c:v>123.9</c:v>
                </c:pt>
                <c:pt idx="1">
                  <c:v>74.5</c:v>
                </c:pt>
                <c:pt idx="2">
                  <c:v>117.9</c:v>
                </c:pt>
                <c:pt idx="3">
                  <c:v>167.4</c:v>
                </c:pt>
                <c:pt idx="4">
                  <c:v>105.1</c:v>
                </c:pt>
                <c:pt idx="5">
                  <c:v>101.9</c:v>
                </c:pt>
                <c:pt idx="6">
                  <c:v>124.8</c:v>
                </c:pt>
              </c:numCache>
            </c:numRef>
          </c:val>
          <c:extLst xmlns:c16r2="http://schemas.microsoft.com/office/drawing/2015/06/chart">
            <c:ext xmlns:c16="http://schemas.microsoft.com/office/drawing/2014/chart" uri="{C3380CC4-5D6E-409C-BE32-E72D297353CC}">
              <c16:uniqueId val="{00000001-4CF3-41FE-B238-FFFC5E08D08B}"/>
            </c:ext>
          </c:extLst>
        </c:ser>
        <c:dLbls/>
        <c:gapWidth val="219"/>
        <c:axId val="233723392"/>
        <c:axId val="233725312"/>
      </c:barChart>
      <c:lineChart>
        <c:grouping val="standard"/>
        <c:ser>
          <c:idx val="2"/>
          <c:order val="2"/>
          <c:tx>
            <c:strRef>
              <c:f>TABLICA!$N$48</c:f>
              <c:strCache>
                <c:ptCount val="1"/>
                <c:pt idx="0">
                  <c:v>Zmiana %</c:v>
                </c:pt>
              </c:strCache>
            </c:strRef>
          </c:tx>
          <c:spPr>
            <a:ln w="28575" cap="rnd">
              <a:solidFill>
                <a:schemeClr val="accent3"/>
              </a:solidFill>
              <a:round/>
            </a:ln>
            <a:effectLst/>
          </c:spPr>
          <c:marker>
            <c:symbol val="none"/>
          </c:marker>
          <c:cat>
            <c:strRef>
              <c:f>TABLICA!$K$49:$K$55</c:f>
              <c:strCache>
                <c:ptCount val="7"/>
                <c:pt idx="0">
                  <c:v>Powiat m. Wrocław</c:v>
                </c:pt>
                <c:pt idx="1">
                  <c:v>Powiat m. Łódź</c:v>
                </c:pt>
                <c:pt idx="2">
                  <c:v>Powiat m. Kraków</c:v>
                </c:pt>
                <c:pt idx="3">
                  <c:v>Powiat m. st. Warszawa</c:v>
                </c:pt>
                <c:pt idx="4">
                  <c:v>Powiat m. Gdańsk</c:v>
                </c:pt>
                <c:pt idx="5">
                  <c:v>Powiat m. Katowice</c:v>
                </c:pt>
                <c:pt idx="6">
                  <c:v>Powiat m. Poznań</c:v>
                </c:pt>
              </c:strCache>
            </c:strRef>
          </c:cat>
          <c:val>
            <c:numRef>
              <c:f>TABLICA!$N$49:$N$55</c:f>
              <c:numCache>
                <c:formatCode>0.0</c:formatCode>
                <c:ptCount val="7"/>
                <c:pt idx="0">
                  <c:v>55.653266331658294</c:v>
                </c:pt>
                <c:pt idx="1">
                  <c:v>56.512605042016808</c:v>
                </c:pt>
                <c:pt idx="2">
                  <c:v>64.895104895104879</c:v>
                </c:pt>
                <c:pt idx="3">
                  <c:v>65.088757396449523</c:v>
                </c:pt>
                <c:pt idx="4">
                  <c:v>57.807807807807762</c:v>
                </c:pt>
                <c:pt idx="5">
                  <c:v>59.717868338558013</c:v>
                </c:pt>
                <c:pt idx="6">
                  <c:v>52.941176470588246</c:v>
                </c:pt>
              </c:numCache>
            </c:numRef>
          </c:val>
          <c:extLst xmlns:c16r2="http://schemas.microsoft.com/office/drawing/2015/06/chart">
            <c:ext xmlns:c16="http://schemas.microsoft.com/office/drawing/2014/chart" uri="{C3380CC4-5D6E-409C-BE32-E72D297353CC}">
              <c16:uniqueId val="{00000002-4CF3-41FE-B238-FFFC5E08D08B}"/>
            </c:ext>
          </c:extLst>
        </c:ser>
        <c:dLbls/>
        <c:marker val="1"/>
        <c:axId val="233749888"/>
        <c:axId val="233747968"/>
      </c:lineChart>
      <c:catAx>
        <c:axId val="233723392"/>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Jednostka terytorialna</a:t>
                </a:r>
              </a:p>
            </c:rich>
          </c:tx>
          <c:layout/>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33725312"/>
        <c:crosses val="autoZero"/>
        <c:auto val="1"/>
        <c:lblAlgn val="ctr"/>
        <c:lblOffset val="100"/>
      </c:catAx>
      <c:valAx>
        <c:axId val="233725312"/>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Podmioty gosp. na 1000 ludności</a:t>
                </a:r>
              </a:p>
            </c:rich>
          </c:tx>
          <c:layout/>
          <c:spPr>
            <a:noFill/>
            <a:ln>
              <a:noFill/>
            </a:ln>
            <a:effectLst/>
          </c:spPr>
        </c:title>
        <c:numFmt formatCode="#\ ##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33723392"/>
        <c:crosses val="autoZero"/>
        <c:crossBetween val="between"/>
      </c:valAx>
      <c:valAx>
        <c:axId val="233747968"/>
        <c:scaling>
          <c:orientation val="minMax"/>
        </c:scaling>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Zmiana %</a:t>
                </a:r>
              </a:p>
            </c:rich>
          </c:tx>
          <c:layout/>
          <c:spPr>
            <a:noFill/>
            <a:ln>
              <a:noFill/>
            </a:ln>
            <a:effectLst/>
          </c:spPr>
        </c:title>
        <c:numFmt formatCode="0.0" sourceLinked="1"/>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33749888"/>
        <c:crosses val="max"/>
        <c:crossBetween val="between"/>
      </c:valAx>
      <c:catAx>
        <c:axId val="233749888"/>
        <c:scaling>
          <c:orientation val="minMax"/>
        </c:scaling>
        <c:delete val="1"/>
        <c:axPos val="b"/>
        <c:numFmt formatCode="General" sourceLinked="1"/>
        <c:tickLblPos val="none"/>
        <c:crossAx val="233747968"/>
        <c:crosses val="autoZero"/>
        <c:auto val="1"/>
        <c:lblAlgn val="ctr"/>
        <c:lblOffset val="10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pl-PL"/>
  <c:chart>
    <c:autoTitleDeleted val="1"/>
    <c:plotArea>
      <c:layout/>
      <c:barChart>
        <c:barDir val="col"/>
        <c:grouping val="clustered"/>
        <c:ser>
          <c:idx val="0"/>
          <c:order val="0"/>
          <c:tx>
            <c:strRef>
              <c:f>TABLICA!$F$22</c:f>
              <c:strCache>
                <c:ptCount val="1"/>
                <c:pt idx="0">
                  <c:v>2013</c:v>
                </c:pt>
              </c:strCache>
            </c:strRef>
          </c:tx>
          <c:spPr>
            <a:solidFill>
              <a:schemeClr val="accent1"/>
            </a:solidFill>
            <a:ln>
              <a:noFill/>
            </a:ln>
            <a:effectLst/>
          </c:spPr>
          <c:cat>
            <c:strRef>
              <c:f>TABLICA!$E$23:$E$30</c:f>
              <c:strCache>
                <c:ptCount val="8"/>
                <c:pt idx="0">
                  <c:v>Polska</c:v>
                </c:pt>
                <c:pt idx="1">
                  <c:v>Dolnośląskie</c:v>
                </c:pt>
                <c:pt idx="2">
                  <c:v>Powiat oleśnicki</c:v>
                </c:pt>
                <c:pt idx="3">
                  <c:v>Powiat oławski</c:v>
                </c:pt>
                <c:pt idx="4">
                  <c:v>Powiat średzki</c:v>
                </c:pt>
                <c:pt idx="5">
                  <c:v>Powiat trzebnicki</c:v>
                </c:pt>
                <c:pt idx="6">
                  <c:v>Powiat wrocławski</c:v>
                </c:pt>
                <c:pt idx="7">
                  <c:v>Powiat m. Wrocław</c:v>
                </c:pt>
              </c:strCache>
            </c:strRef>
          </c:cat>
          <c:val>
            <c:numRef>
              <c:f>TABLICA!$F$23:$F$30</c:f>
              <c:numCache>
                <c:formatCode>#,##0.00</c:formatCode>
                <c:ptCount val="8"/>
                <c:pt idx="0">
                  <c:v>17.649999999999999</c:v>
                </c:pt>
                <c:pt idx="1">
                  <c:v>20.079999999999988</c:v>
                </c:pt>
                <c:pt idx="2">
                  <c:v>3.67</c:v>
                </c:pt>
                <c:pt idx="3">
                  <c:v>4.59</c:v>
                </c:pt>
                <c:pt idx="4">
                  <c:v>4.9000000000000004</c:v>
                </c:pt>
                <c:pt idx="5">
                  <c:v>11.15</c:v>
                </c:pt>
                <c:pt idx="6">
                  <c:v>6.87</c:v>
                </c:pt>
                <c:pt idx="7">
                  <c:v>15.19</c:v>
                </c:pt>
              </c:numCache>
            </c:numRef>
          </c:val>
          <c:extLst xmlns:c16r2="http://schemas.microsoft.com/office/drawing/2015/06/chart">
            <c:ext xmlns:c16="http://schemas.microsoft.com/office/drawing/2014/chart" uri="{C3380CC4-5D6E-409C-BE32-E72D297353CC}">
              <c16:uniqueId val="{00000000-E753-47C7-AD2F-340D851F01B9}"/>
            </c:ext>
          </c:extLst>
        </c:ser>
        <c:ser>
          <c:idx val="1"/>
          <c:order val="1"/>
          <c:tx>
            <c:strRef>
              <c:f>TABLICA!$G$22</c:f>
              <c:strCache>
                <c:ptCount val="1"/>
                <c:pt idx="0">
                  <c:v>2023</c:v>
                </c:pt>
              </c:strCache>
            </c:strRef>
          </c:tx>
          <c:spPr>
            <a:solidFill>
              <a:schemeClr val="accent2"/>
            </a:solidFill>
            <a:ln>
              <a:noFill/>
            </a:ln>
            <a:effectLst/>
          </c:spPr>
          <c:cat>
            <c:strRef>
              <c:f>TABLICA!$E$23:$E$30</c:f>
              <c:strCache>
                <c:ptCount val="8"/>
                <c:pt idx="0">
                  <c:v>Polska</c:v>
                </c:pt>
                <c:pt idx="1">
                  <c:v>Dolnośląskie</c:v>
                </c:pt>
                <c:pt idx="2">
                  <c:v>Powiat oleśnicki</c:v>
                </c:pt>
                <c:pt idx="3">
                  <c:v>Powiat oławski</c:v>
                </c:pt>
                <c:pt idx="4">
                  <c:v>Powiat średzki</c:v>
                </c:pt>
                <c:pt idx="5">
                  <c:v>Powiat trzebnicki</c:v>
                </c:pt>
                <c:pt idx="6">
                  <c:v>Powiat wrocławski</c:v>
                </c:pt>
                <c:pt idx="7">
                  <c:v>Powiat m. Wrocław</c:v>
                </c:pt>
              </c:strCache>
            </c:strRef>
          </c:cat>
          <c:val>
            <c:numRef>
              <c:f>TABLICA!$G$23:$G$30</c:f>
              <c:numCache>
                <c:formatCode>#,##0.00</c:formatCode>
                <c:ptCount val="8"/>
                <c:pt idx="0">
                  <c:v>21.04</c:v>
                </c:pt>
                <c:pt idx="1">
                  <c:v>26.3</c:v>
                </c:pt>
                <c:pt idx="2">
                  <c:v>5.87</c:v>
                </c:pt>
                <c:pt idx="3">
                  <c:v>5.57</c:v>
                </c:pt>
                <c:pt idx="4">
                  <c:v>1.6900000000000013</c:v>
                </c:pt>
                <c:pt idx="5">
                  <c:v>6.03</c:v>
                </c:pt>
                <c:pt idx="6">
                  <c:v>9.7800000000000011</c:v>
                </c:pt>
                <c:pt idx="7">
                  <c:v>21.63000000000002</c:v>
                </c:pt>
              </c:numCache>
            </c:numRef>
          </c:val>
          <c:extLst xmlns:c16r2="http://schemas.microsoft.com/office/drawing/2015/06/chart">
            <c:ext xmlns:c16="http://schemas.microsoft.com/office/drawing/2014/chart" uri="{C3380CC4-5D6E-409C-BE32-E72D297353CC}">
              <c16:uniqueId val="{00000001-E753-47C7-AD2F-340D851F01B9}"/>
            </c:ext>
          </c:extLst>
        </c:ser>
        <c:dLbls/>
        <c:gapWidth val="219"/>
        <c:axId val="233682432"/>
        <c:axId val="233684352"/>
      </c:barChart>
      <c:lineChart>
        <c:grouping val="standard"/>
        <c:ser>
          <c:idx val="2"/>
          <c:order val="2"/>
          <c:tx>
            <c:strRef>
              <c:f>TABLICA!$H$22</c:f>
              <c:strCache>
                <c:ptCount val="1"/>
                <c:pt idx="0">
                  <c:v>Zmiana %</c:v>
                </c:pt>
              </c:strCache>
            </c:strRef>
          </c:tx>
          <c:spPr>
            <a:ln w="28575" cap="rnd">
              <a:solidFill>
                <a:schemeClr val="accent3"/>
              </a:solidFill>
              <a:round/>
            </a:ln>
            <a:effectLst/>
          </c:spPr>
          <c:marker>
            <c:symbol val="none"/>
          </c:marker>
          <c:cat>
            <c:strRef>
              <c:f>TABLICA!$E$23:$E$30</c:f>
              <c:strCache>
                <c:ptCount val="8"/>
                <c:pt idx="0">
                  <c:v>Polska</c:v>
                </c:pt>
                <c:pt idx="1">
                  <c:v>Dolnośląskie</c:v>
                </c:pt>
                <c:pt idx="2">
                  <c:v>Powiat oleśnicki</c:v>
                </c:pt>
                <c:pt idx="3">
                  <c:v>Powiat oławski</c:v>
                </c:pt>
                <c:pt idx="4">
                  <c:v>Powiat średzki</c:v>
                </c:pt>
                <c:pt idx="5">
                  <c:v>Powiat trzebnicki</c:v>
                </c:pt>
                <c:pt idx="6">
                  <c:v>Powiat wrocławski</c:v>
                </c:pt>
                <c:pt idx="7">
                  <c:v>Powiat m. Wrocław</c:v>
                </c:pt>
              </c:strCache>
            </c:strRef>
          </c:cat>
          <c:val>
            <c:numRef>
              <c:f>TABLICA!$H$23:$H$30</c:f>
              <c:numCache>
                <c:formatCode>0.0</c:formatCode>
                <c:ptCount val="8"/>
                <c:pt idx="0">
                  <c:v>19.206798866855532</c:v>
                </c:pt>
                <c:pt idx="1">
                  <c:v>30.976095617529889</c:v>
                </c:pt>
                <c:pt idx="2">
                  <c:v>59.94550408719342</c:v>
                </c:pt>
                <c:pt idx="3">
                  <c:v>21.350762527233126</c:v>
                </c:pt>
                <c:pt idx="4">
                  <c:v>-65.510204081632807</c:v>
                </c:pt>
                <c:pt idx="5">
                  <c:v>-45.919282511210689</c:v>
                </c:pt>
                <c:pt idx="6">
                  <c:v>42.358078602620076</c:v>
                </c:pt>
                <c:pt idx="7">
                  <c:v>42.396313364055359</c:v>
                </c:pt>
              </c:numCache>
            </c:numRef>
          </c:val>
          <c:extLst xmlns:c16r2="http://schemas.microsoft.com/office/drawing/2015/06/chart">
            <c:ext xmlns:c16="http://schemas.microsoft.com/office/drawing/2014/chart" uri="{C3380CC4-5D6E-409C-BE32-E72D297353CC}">
              <c16:uniqueId val="{00000002-E753-47C7-AD2F-340D851F01B9}"/>
            </c:ext>
          </c:extLst>
        </c:ser>
        <c:dLbls/>
        <c:marker val="1"/>
        <c:axId val="233700736"/>
        <c:axId val="233698816"/>
      </c:lineChart>
      <c:catAx>
        <c:axId val="233682432"/>
        <c:scaling>
          <c:orientation val="minMax"/>
        </c:scaling>
        <c:axPos val="b"/>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pl-PL"/>
                  <a:t>Jednostka terytorialna</a:t>
                </a:r>
              </a:p>
            </c:rich>
          </c:tx>
          <c:layout/>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pl-PL"/>
          </a:p>
        </c:txPr>
        <c:crossAx val="233684352"/>
        <c:crosses val="autoZero"/>
        <c:auto val="1"/>
        <c:lblAlgn val="ctr"/>
        <c:lblOffset val="100"/>
      </c:catAx>
      <c:valAx>
        <c:axId val="233684352"/>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pl-PL"/>
                  <a:t>Miejsca noclegowe na 1000  ludności</a:t>
                </a:r>
              </a:p>
            </c:rich>
          </c:tx>
          <c:layout/>
          <c:spPr>
            <a:noFill/>
            <a:ln>
              <a:noFill/>
            </a:ln>
            <a:effectLst/>
          </c:spPr>
        </c:title>
        <c:numFmt formatCode="#,##0.00" sourceLinked="1"/>
        <c:maj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pl-PL"/>
          </a:p>
        </c:txPr>
        <c:crossAx val="233682432"/>
        <c:crosses val="autoZero"/>
        <c:crossBetween val="between"/>
      </c:valAx>
      <c:valAx>
        <c:axId val="233698816"/>
        <c:scaling>
          <c:orientation val="minMax"/>
        </c:scaling>
        <c:axPos val="r"/>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pl-PL"/>
                  <a:t>Zmiana %</a:t>
                </a:r>
              </a:p>
            </c:rich>
          </c:tx>
          <c:layout/>
          <c:spPr>
            <a:noFill/>
            <a:ln>
              <a:noFill/>
            </a:ln>
            <a:effectLst/>
          </c:spPr>
        </c:title>
        <c:numFmt formatCode="0.0" sourceLinked="1"/>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pl-PL"/>
          </a:p>
        </c:txPr>
        <c:crossAx val="233700736"/>
        <c:crosses val="max"/>
        <c:crossBetween val="between"/>
      </c:valAx>
      <c:catAx>
        <c:axId val="233700736"/>
        <c:scaling>
          <c:orientation val="minMax"/>
        </c:scaling>
        <c:delete val="1"/>
        <c:axPos val="b"/>
        <c:numFmt formatCode="General" sourceLinked="1"/>
        <c:tickLblPos val="none"/>
        <c:crossAx val="233698816"/>
        <c:crosses val="autoZero"/>
        <c:auto val="1"/>
        <c:lblAlgn val="ctr"/>
        <c:lblOffset val="10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70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sz="700"/>
      </a:pPr>
      <a:endParaRPr lang="pl-PL"/>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pl-PL"/>
  <c:chart>
    <c:autoTitleDeleted val="1"/>
    <c:plotArea>
      <c:layout/>
      <c:barChart>
        <c:barDir val="col"/>
        <c:grouping val="clustered"/>
        <c:ser>
          <c:idx val="0"/>
          <c:order val="0"/>
          <c:tx>
            <c:strRef>
              <c:f>TABLICA!$K$12</c:f>
              <c:strCache>
                <c:ptCount val="1"/>
                <c:pt idx="0">
                  <c:v>2013</c:v>
                </c:pt>
              </c:strCache>
            </c:strRef>
          </c:tx>
          <c:spPr>
            <a:solidFill>
              <a:schemeClr val="accent1"/>
            </a:solidFill>
            <a:ln>
              <a:noFill/>
            </a:ln>
            <a:effectLst/>
          </c:spPr>
          <c:cat>
            <c:strRef>
              <c:f>TABLICA!$J$13:$J$20</c:f>
              <c:strCache>
                <c:ptCount val="8"/>
                <c:pt idx="0">
                  <c:v>Polska</c:v>
                </c:pt>
                <c:pt idx="1">
                  <c:v>Dolnośląskie</c:v>
                </c:pt>
                <c:pt idx="2">
                  <c:v>Powiat oleśnicki</c:v>
                </c:pt>
                <c:pt idx="3">
                  <c:v>Powiat oławski</c:v>
                </c:pt>
                <c:pt idx="4">
                  <c:v>Powiat średzki</c:v>
                </c:pt>
                <c:pt idx="5">
                  <c:v>Powiat trzebnicki</c:v>
                </c:pt>
                <c:pt idx="6">
                  <c:v>Powiat wrocławski</c:v>
                </c:pt>
                <c:pt idx="7">
                  <c:v>Powiat m. Wrocław</c:v>
                </c:pt>
              </c:strCache>
            </c:strRef>
          </c:cat>
          <c:val>
            <c:numRef>
              <c:f>TABLICA!$K$13:$K$20</c:f>
              <c:numCache>
                <c:formatCode>#,##0</c:formatCode>
                <c:ptCount val="8"/>
                <c:pt idx="0">
                  <c:v>607.78000000000009</c:v>
                </c:pt>
                <c:pt idx="1">
                  <c:v>754.12</c:v>
                </c:pt>
                <c:pt idx="2">
                  <c:v>189.51</c:v>
                </c:pt>
                <c:pt idx="3">
                  <c:v>303.01</c:v>
                </c:pt>
                <c:pt idx="4">
                  <c:v>296.58</c:v>
                </c:pt>
                <c:pt idx="5">
                  <c:v>229.78</c:v>
                </c:pt>
                <c:pt idx="6">
                  <c:v>184.95000000000002</c:v>
                </c:pt>
                <c:pt idx="7">
                  <c:v>1255.96</c:v>
                </c:pt>
              </c:numCache>
            </c:numRef>
          </c:val>
          <c:extLst xmlns:c16r2="http://schemas.microsoft.com/office/drawing/2015/06/chart">
            <c:ext xmlns:c16="http://schemas.microsoft.com/office/drawing/2014/chart" uri="{C3380CC4-5D6E-409C-BE32-E72D297353CC}">
              <c16:uniqueId val="{00000000-4132-43F0-A486-FB8BABA55C23}"/>
            </c:ext>
          </c:extLst>
        </c:ser>
        <c:ser>
          <c:idx val="1"/>
          <c:order val="1"/>
          <c:tx>
            <c:strRef>
              <c:f>TABLICA!$L$12</c:f>
              <c:strCache>
                <c:ptCount val="1"/>
                <c:pt idx="0">
                  <c:v>2023</c:v>
                </c:pt>
              </c:strCache>
            </c:strRef>
          </c:tx>
          <c:spPr>
            <a:solidFill>
              <a:schemeClr val="accent2"/>
            </a:solidFill>
            <a:ln>
              <a:noFill/>
            </a:ln>
            <a:effectLst/>
          </c:spPr>
          <c:cat>
            <c:strRef>
              <c:f>TABLICA!$J$13:$J$20</c:f>
              <c:strCache>
                <c:ptCount val="8"/>
                <c:pt idx="0">
                  <c:v>Polska</c:v>
                </c:pt>
                <c:pt idx="1">
                  <c:v>Dolnośląskie</c:v>
                </c:pt>
                <c:pt idx="2">
                  <c:v>Powiat oleśnicki</c:v>
                </c:pt>
                <c:pt idx="3">
                  <c:v>Powiat oławski</c:v>
                </c:pt>
                <c:pt idx="4">
                  <c:v>Powiat średzki</c:v>
                </c:pt>
                <c:pt idx="5">
                  <c:v>Powiat trzebnicki</c:v>
                </c:pt>
                <c:pt idx="6">
                  <c:v>Powiat wrocławski</c:v>
                </c:pt>
                <c:pt idx="7">
                  <c:v>Powiat m. Wrocław</c:v>
                </c:pt>
              </c:strCache>
            </c:strRef>
          </c:cat>
          <c:val>
            <c:numRef>
              <c:f>TABLICA!$L$13:$L$20</c:f>
              <c:numCache>
                <c:formatCode>#,##0</c:formatCode>
                <c:ptCount val="8"/>
                <c:pt idx="0">
                  <c:v>961.3</c:v>
                </c:pt>
                <c:pt idx="1">
                  <c:v>1455.61</c:v>
                </c:pt>
                <c:pt idx="2">
                  <c:v>350.74</c:v>
                </c:pt>
                <c:pt idx="3">
                  <c:v>405.84000000000003</c:v>
                </c:pt>
                <c:pt idx="4">
                  <c:v>87.69</c:v>
                </c:pt>
                <c:pt idx="5">
                  <c:v>281.72000000000003</c:v>
                </c:pt>
                <c:pt idx="6">
                  <c:v>809.06</c:v>
                </c:pt>
                <c:pt idx="7">
                  <c:v>1887.21</c:v>
                </c:pt>
              </c:numCache>
            </c:numRef>
          </c:val>
          <c:extLst xmlns:c16r2="http://schemas.microsoft.com/office/drawing/2015/06/chart">
            <c:ext xmlns:c16="http://schemas.microsoft.com/office/drawing/2014/chart" uri="{C3380CC4-5D6E-409C-BE32-E72D297353CC}">
              <c16:uniqueId val="{00000001-4132-43F0-A486-FB8BABA55C23}"/>
            </c:ext>
          </c:extLst>
        </c:ser>
        <c:dLbls/>
        <c:gapWidth val="219"/>
        <c:overlap val="-27"/>
        <c:axId val="233810560"/>
        <c:axId val="233820928"/>
      </c:barChart>
      <c:catAx>
        <c:axId val="233810560"/>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Jednostka terytorialna</a:t>
                </a:r>
              </a:p>
            </c:rich>
          </c:tx>
          <c:layout/>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33820928"/>
        <c:crosses val="autoZero"/>
        <c:auto val="1"/>
        <c:lblAlgn val="ctr"/>
        <c:lblOffset val="100"/>
      </c:catAx>
      <c:valAx>
        <c:axId val="233820928"/>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Turyści</a:t>
                </a:r>
                <a:r>
                  <a:rPr lang="pl-PL" baseline="0"/>
                  <a:t> korzystający z noclegów na 1000 ludnośći</a:t>
                </a:r>
                <a:endParaRPr lang="pl-PL"/>
              </a:p>
            </c:rich>
          </c:tx>
          <c:layout/>
          <c:spPr>
            <a:noFill/>
            <a:ln>
              <a:noFill/>
            </a:ln>
            <a:effectLst/>
          </c:spPr>
        </c:title>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3381056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70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pl-PL"/>
  <c:chart>
    <c:autoTitleDeleted val="1"/>
    <c:plotArea>
      <c:layout/>
      <c:barChart>
        <c:barDir val="col"/>
        <c:grouping val="clustered"/>
        <c:ser>
          <c:idx val="0"/>
          <c:order val="0"/>
          <c:tx>
            <c:strRef>
              <c:f>TABLICA!$F$43</c:f>
              <c:strCache>
                <c:ptCount val="1"/>
                <c:pt idx="0">
                  <c:v>2013</c:v>
                </c:pt>
              </c:strCache>
            </c:strRef>
          </c:tx>
          <c:spPr>
            <a:solidFill>
              <a:schemeClr val="accent1"/>
            </a:solidFill>
            <a:ln>
              <a:noFill/>
            </a:ln>
            <a:effectLst/>
          </c:spPr>
          <c:cat>
            <c:strRef>
              <c:f>TABLICA!$E$44:$E$50</c:f>
              <c:strCache>
                <c:ptCount val="7"/>
                <c:pt idx="0">
                  <c:v>Powiat m. Wrocław</c:v>
                </c:pt>
                <c:pt idx="1">
                  <c:v>Powiat m. Łódź</c:v>
                </c:pt>
                <c:pt idx="2">
                  <c:v>Powiat m. Kraków</c:v>
                </c:pt>
                <c:pt idx="3">
                  <c:v>Powiat m. st. Warszawa</c:v>
                </c:pt>
                <c:pt idx="4">
                  <c:v>Powiat m. Gdańsk</c:v>
                </c:pt>
                <c:pt idx="5">
                  <c:v>Powiat m. Katowice</c:v>
                </c:pt>
                <c:pt idx="6">
                  <c:v>Powiat m. Poznań</c:v>
                </c:pt>
              </c:strCache>
            </c:strRef>
          </c:cat>
          <c:val>
            <c:numRef>
              <c:f>TABLICA!$F$44:$F$50</c:f>
              <c:numCache>
                <c:formatCode>#,##0</c:formatCode>
                <c:ptCount val="7"/>
                <c:pt idx="0">
                  <c:v>1255.96</c:v>
                </c:pt>
                <c:pt idx="1">
                  <c:v>619.08000000000004</c:v>
                </c:pt>
                <c:pt idx="2">
                  <c:v>2506.1</c:v>
                </c:pt>
                <c:pt idx="3">
                  <c:v>1578.27</c:v>
                </c:pt>
                <c:pt idx="4">
                  <c:v>1363.73</c:v>
                </c:pt>
                <c:pt idx="5">
                  <c:v>847.79000000000053</c:v>
                </c:pt>
                <c:pt idx="6">
                  <c:v>1120.48</c:v>
                </c:pt>
              </c:numCache>
            </c:numRef>
          </c:val>
          <c:extLst xmlns:c16r2="http://schemas.microsoft.com/office/drawing/2015/06/chart">
            <c:ext xmlns:c16="http://schemas.microsoft.com/office/drawing/2014/chart" uri="{C3380CC4-5D6E-409C-BE32-E72D297353CC}">
              <c16:uniqueId val="{00000000-388E-496C-B390-E988707F2401}"/>
            </c:ext>
          </c:extLst>
        </c:ser>
        <c:ser>
          <c:idx val="1"/>
          <c:order val="1"/>
          <c:tx>
            <c:strRef>
              <c:f>TABLICA!$G$43</c:f>
              <c:strCache>
                <c:ptCount val="1"/>
                <c:pt idx="0">
                  <c:v>2023</c:v>
                </c:pt>
              </c:strCache>
            </c:strRef>
          </c:tx>
          <c:spPr>
            <a:solidFill>
              <a:schemeClr val="accent2"/>
            </a:solidFill>
            <a:ln>
              <a:noFill/>
            </a:ln>
            <a:effectLst/>
          </c:spPr>
          <c:cat>
            <c:strRef>
              <c:f>TABLICA!$E$44:$E$50</c:f>
              <c:strCache>
                <c:ptCount val="7"/>
                <c:pt idx="0">
                  <c:v>Powiat m. Wrocław</c:v>
                </c:pt>
                <c:pt idx="1">
                  <c:v>Powiat m. Łódź</c:v>
                </c:pt>
                <c:pt idx="2">
                  <c:v>Powiat m. Kraków</c:v>
                </c:pt>
                <c:pt idx="3">
                  <c:v>Powiat m. st. Warszawa</c:v>
                </c:pt>
                <c:pt idx="4">
                  <c:v>Powiat m. Gdańsk</c:v>
                </c:pt>
                <c:pt idx="5">
                  <c:v>Powiat m. Katowice</c:v>
                </c:pt>
                <c:pt idx="6">
                  <c:v>Powiat m. Poznań</c:v>
                </c:pt>
              </c:strCache>
            </c:strRef>
          </c:cat>
          <c:val>
            <c:numRef>
              <c:f>TABLICA!$G$44:$G$50</c:f>
              <c:numCache>
                <c:formatCode>#,##0</c:formatCode>
                <c:ptCount val="7"/>
                <c:pt idx="0">
                  <c:v>1887.21</c:v>
                </c:pt>
                <c:pt idx="1">
                  <c:v>878.53</c:v>
                </c:pt>
                <c:pt idx="2">
                  <c:v>3291.98</c:v>
                </c:pt>
                <c:pt idx="3">
                  <c:v>2470.25</c:v>
                </c:pt>
                <c:pt idx="4">
                  <c:v>2712.12</c:v>
                </c:pt>
                <c:pt idx="5">
                  <c:v>1621.85</c:v>
                </c:pt>
                <c:pt idx="6">
                  <c:v>1496.75</c:v>
                </c:pt>
              </c:numCache>
            </c:numRef>
          </c:val>
          <c:extLst xmlns:c16r2="http://schemas.microsoft.com/office/drawing/2015/06/chart">
            <c:ext xmlns:c16="http://schemas.microsoft.com/office/drawing/2014/chart" uri="{C3380CC4-5D6E-409C-BE32-E72D297353CC}">
              <c16:uniqueId val="{00000001-388E-496C-B390-E988707F2401}"/>
            </c:ext>
          </c:extLst>
        </c:ser>
        <c:dLbls/>
        <c:gapWidth val="219"/>
        <c:axId val="234650624"/>
        <c:axId val="234665088"/>
      </c:barChart>
      <c:lineChart>
        <c:grouping val="standard"/>
        <c:ser>
          <c:idx val="2"/>
          <c:order val="2"/>
          <c:tx>
            <c:strRef>
              <c:f>TABLICA!$H$43</c:f>
              <c:strCache>
                <c:ptCount val="1"/>
                <c:pt idx="0">
                  <c:v>Zmiana %</c:v>
                </c:pt>
              </c:strCache>
            </c:strRef>
          </c:tx>
          <c:spPr>
            <a:ln w="28575" cap="rnd">
              <a:solidFill>
                <a:schemeClr val="accent3"/>
              </a:solidFill>
              <a:round/>
            </a:ln>
            <a:effectLst/>
          </c:spPr>
          <c:marker>
            <c:symbol val="none"/>
          </c:marker>
          <c:cat>
            <c:strRef>
              <c:f>TABLICA!$E$44:$E$50</c:f>
              <c:strCache>
                <c:ptCount val="7"/>
                <c:pt idx="0">
                  <c:v>Powiat m. Wrocław</c:v>
                </c:pt>
                <c:pt idx="1">
                  <c:v>Powiat m. Łódź</c:v>
                </c:pt>
                <c:pt idx="2">
                  <c:v>Powiat m. Kraków</c:v>
                </c:pt>
                <c:pt idx="3">
                  <c:v>Powiat m. st. Warszawa</c:v>
                </c:pt>
                <c:pt idx="4">
                  <c:v>Powiat m. Gdańsk</c:v>
                </c:pt>
                <c:pt idx="5">
                  <c:v>Powiat m. Katowice</c:v>
                </c:pt>
                <c:pt idx="6">
                  <c:v>Powiat m. Poznań</c:v>
                </c:pt>
              </c:strCache>
            </c:strRef>
          </c:cat>
          <c:val>
            <c:numRef>
              <c:f>TABLICA!$H$44:$H$50</c:f>
              <c:numCache>
                <c:formatCode>0.0</c:formatCode>
                <c:ptCount val="7"/>
                <c:pt idx="0">
                  <c:v>50.260358610146874</c:v>
                </c:pt>
                <c:pt idx="1">
                  <c:v>41.908961685081074</c:v>
                </c:pt>
                <c:pt idx="2">
                  <c:v>31.358684809065863</c:v>
                </c:pt>
                <c:pt idx="3">
                  <c:v>56.516312164585329</c:v>
                </c:pt>
                <c:pt idx="4">
                  <c:v>98.875143906784913</c:v>
                </c:pt>
                <c:pt idx="5">
                  <c:v>91.303270857169665</c:v>
                </c:pt>
                <c:pt idx="6">
                  <c:v>33.581143795516155</c:v>
                </c:pt>
              </c:numCache>
            </c:numRef>
          </c:val>
          <c:extLst xmlns:c16r2="http://schemas.microsoft.com/office/drawing/2015/06/chart">
            <c:ext xmlns:c16="http://schemas.microsoft.com/office/drawing/2014/chart" uri="{C3380CC4-5D6E-409C-BE32-E72D297353CC}">
              <c16:uniqueId val="{00000002-388E-496C-B390-E988707F2401}"/>
            </c:ext>
          </c:extLst>
        </c:ser>
        <c:dLbls/>
        <c:marker val="1"/>
        <c:axId val="234677376"/>
        <c:axId val="234667008"/>
      </c:lineChart>
      <c:catAx>
        <c:axId val="234650624"/>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Jednostka terytorialna</a:t>
                </a:r>
              </a:p>
            </c:rich>
          </c:tx>
          <c:layout/>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34665088"/>
        <c:crosses val="autoZero"/>
        <c:auto val="1"/>
        <c:lblAlgn val="ctr"/>
        <c:lblOffset val="100"/>
      </c:catAx>
      <c:valAx>
        <c:axId val="234665088"/>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Noclegi na 1000 ludności</a:t>
                </a:r>
              </a:p>
            </c:rich>
          </c:tx>
          <c:layout/>
          <c:spPr>
            <a:noFill/>
            <a:ln>
              <a:noFill/>
            </a:ln>
            <a:effectLst/>
          </c:spPr>
        </c:title>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34650624"/>
        <c:crosses val="autoZero"/>
        <c:crossBetween val="between"/>
      </c:valAx>
      <c:valAx>
        <c:axId val="234667008"/>
        <c:scaling>
          <c:orientation val="minMax"/>
        </c:scaling>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Zmiana %</a:t>
                </a:r>
              </a:p>
            </c:rich>
          </c:tx>
          <c:layout/>
          <c:spPr>
            <a:noFill/>
            <a:ln>
              <a:noFill/>
            </a:ln>
            <a:effectLst/>
          </c:spPr>
        </c:title>
        <c:numFmt formatCode="0.0" sourceLinked="1"/>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34677376"/>
        <c:crosses val="max"/>
        <c:crossBetween val="between"/>
      </c:valAx>
      <c:catAx>
        <c:axId val="234677376"/>
        <c:scaling>
          <c:orientation val="minMax"/>
        </c:scaling>
        <c:delete val="1"/>
        <c:axPos val="b"/>
        <c:numFmt formatCode="General" sourceLinked="1"/>
        <c:tickLblPos val="none"/>
        <c:crossAx val="234667008"/>
        <c:crosses val="autoZero"/>
        <c:auto val="1"/>
        <c:lblAlgn val="ctr"/>
        <c:lblOffset val="10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70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pl-PL"/>
  <c:chart>
    <c:autoTitleDeleted val="1"/>
    <c:plotArea>
      <c:layout>
        <c:manualLayout>
          <c:layoutTarget val="inner"/>
          <c:xMode val="edge"/>
          <c:yMode val="edge"/>
          <c:x val="0.21695666508244396"/>
          <c:y val="3.3449901170746546E-2"/>
          <c:w val="0.73468017965943522"/>
          <c:h val="0.71447073373088543"/>
        </c:manualLayout>
      </c:layout>
      <c:barChart>
        <c:barDir val="bar"/>
        <c:grouping val="clustered"/>
        <c:ser>
          <c:idx val="0"/>
          <c:order val="0"/>
          <c:tx>
            <c:strRef>
              <c:f>TABLICA!$F$53</c:f>
              <c:strCache>
                <c:ptCount val="1"/>
                <c:pt idx="0">
                  <c:v>2013</c:v>
                </c:pt>
              </c:strCache>
            </c:strRef>
          </c:tx>
          <c:spPr>
            <a:solidFill>
              <a:schemeClr val="accent1"/>
            </a:solidFill>
            <a:ln>
              <a:noFill/>
            </a:ln>
            <a:effectLst/>
          </c:spPr>
          <c:cat>
            <c:strRef>
              <c:f>TABLICA!$E$54:$E$62</c:f>
              <c:strCache>
                <c:ptCount val="9"/>
                <c:pt idx="0">
                  <c:v>Polska</c:v>
                </c:pt>
                <c:pt idx="1">
                  <c:v>Dolnośląskie</c:v>
                </c:pt>
                <c:pt idx="2">
                  <c:v>Powiat m. Wrocław</c:v>
                </c:pt>
                <c:pt idx="3">
                  <c:v>Powiat m. Łódź</c:v>
                </c:pt>
                <c:pt idx="4">
                  <c:v>Powiat m. Kraków</c:v>
                </c:pt>
                <c:pt idx="5">
                  <c:v>Powiat m. st. Warszawa</c:v>
                </c:pt>
                <c:pt idx="6">
                  <c:v>Powiat m. Gdańsk</c:v>
                </c:pt>
                <c:pt idx="7">
                  <c:v>Powiat m. Katowice</c:v>
                </c:pt>
                <c:pt idx="8">
                  <c:v>Powiat m. Poznań</c:v>
                </c:pt>
              </c:strCache>
            </c:strRef>
          </c:cat>
          <c:val>
            <c:numRef>
              <c:f>TABLICA!$F$54:$F$62</c:f>
              <c:numCache>
                <c:formatCode>#,##0</c:formatCode>
                <c:ptCount val="9"/>
                <c:pt idx="0">
                  <c:v>3239</c:v>
                </c:pt>
                <c:pt idx="1">
                  <c:v>3803</c:v>
                </c:pt>
                <c:pt idx="2">
                  <c:v>7783</c:v>
                </c:pt>
                <c:pt idx="3">
                  <c:v>2475</c:v>
                </c:pt>
                <c:pt idx="4">
                  <c:v>30748</c:v>
                </c:pt>
                <c:pt idx="5">
                  <c:v>11328</c:v>
                </c:pt>
                <c:pt idx="6">
                  <c:v>12469</c:v>
                </c:pt>
                <c:pt idx="7">
                  <c:v>4510</c:v>
                </c:pt>
                <c:pt idx="8">
                  <c:v>5539</c:v>
                </c:pt>
              </c:numCache>
            </c:numRef>
          </c:val>
          <c:extLst xmlns:c16r2="http://schemas.microsoft.com/office/drawing/2015/06/chart">
            <c:ext xmlns:c16="http://schemas.microsoft.com/office/drawing/2014/chart" uri="{C3380CC4-5D6E-409C-BE32-E72D297353CC}">
              <c16:uniqueId val="{00000000-4DFF-43E4-914D-9D6E4FECE09B}"/>
            </c:ext>
          </c:extLst>
        </c:ser>
        <c:ser>
          <c:idx val="1"/>
          <c:order val="1"/>
          <c:tx>
            <c:strRef>
              <c:f>TABLICA!$G$53</c:f>
              <c:strCache>
                <c:ptCount val="1"/>
                <c:pt idx="0">
                  <c:v>2023</c:v>
                </c:pt>
              </c:strCache>
            </c:strRef>
          </c:tx>
          <c:spPr>
            <a:solidFill>
              <a:schemeClr val="accent2"/>
            </a:solidFill>
            <a:ln>
              <a:noFill/>
            </a:ln>
            <a:effectLst/>
          </c:spPr>
          <c:cat>
            <c:strRef>
              <c:f>TABLICA!$E$54:$E$62</c:f>
              <c:strCache>
                <c:ptCount val="9"/>
                <c:pt idx="0">
                  <c:v>Polska</c:v>
                </c:pt>
                <c:pt idx="1">
                  <c:v>Dolnośląskie</c:v>
                </c:pt>
                <c:pt idx="2">
                  <c:v>Powiat m. Wrocław</c:v>
                </c:pt>
                <c:pt idx="3">
                  <c:v>Powiat m. Łódź</c:v>
                </c:pt>
                <c:pt idx="4">
                  <c:v>Powiat m. Kraków</c:v>
                </c:pt>
                <c:pt idx="5">
                  <c:v>Powiat m. st. Warszawa</c:v>
                </c:pt>
                <c:pt idx="6">
                  <c:v>Powiat m. Gdańsk</c:v>
                </c:pt>
                <c:pt idx="7">
                  <c:v>Powiat m. Katowice</c:v>
                </c:pt>
                <c:pt idx="8">
                  <c:v>Powiat m. Poznań</c:v>
                </c:pt>
              </c:strCache>
            </c:strRef>
          </c:cat>
          <c:val>
            <c:numRef>
              <c:f>TABLICA!$G$54:$G$62</c:f>
              <c:numCache>
                <c:formatCode>#,##0</c:formatCode>
                <c:ptCount val="9"/>
                <c:pt idx="0">
                  <c:v>4512</c:v>
                </c:pt>
                <c:pt idx="1">
                  <c:v>5609</c:v>
                </c:pt>
                <c:pt idx="2">
                  <c:v>10009</c:v>
                </c:pt>
                <c:pt idx="3">
                  <c:v>3736</c:v>
                </c:pt>
                <c:pt idx="4">
                  <c:v>37439</c:v>
                </c:pt>
                <c:pt idx="5">
                  <c:v>13569</c:v>
                </c:pt>
                <c:pt idx="6">
                  <c:v>21917</c:v>
                </c:pt>
                <c:pt idx="7">
                  <c:v>10023</c:v>
                </c:pt>
                <c:pt idx="8">
                  <c:v>6870</c:v>
                </c:pt>
              </c:numCache>
            </c:numRef>
          </c:val>
          <c:extLst xmlns:c16r2="http://schemas.microsoft.com/office/drawing/2015/06/chart">
            <c:ext xmlns:c16="http://schemas.microsoft.com/office/drawing/2014/chart" uri="{C3380CC4-5D6E-409C-BE32-E72D297353CC}">
              <c16:uniqueId val="{00000001-4DFF-43E4-914D-9D6E4FECE09B}"/>
            </c:ext>
          </c:extLst>
        </c:ser>
        <c:ser>
          <c:idx val="2"/>
          <c:order val="2"/>
          <c:tx>
            <c:strRef>
              <c:f>TABLICA!$H$53</c:f>
              <c:strCache>
                <c:ptCount val="1"/>
                <c:pt idx="0">
                  <c:v>Zmiana %</c:v>
                </c:pt>
              </c:strCache>
            </c:strRef>
          </c:tx>
          <c:spPr>
            <a:solidFill>
              <a:schemeClr val="accent3"/>
            </a:solidFill>
            <a:ln>
              <a:noFill/>
            </a:ln>
            <a:effectLst/>
          </c:spPr>
          <c:cat>
            <c:strRef>
              <c:f>TABLICA!$E$54:$E$62</c:f>
              <c:strCache>
                <c:ptCount val="9"/>
                <c:pt idx="0">
                  <c:v>Polska</c:v>
                </c:pt>
                <c:pt idx="1">
                  <c:v>Dolnośląskie</c:v>
                </c:pt>
                <c:pt idx="2">
                  <c:v>Powiat m. Wrocław</c:v>
                </c:pt>
                <c:pt idx="3">
                  <c:v>Powiat m. Łódź</c:v>
                </c:pt>
                <c:pt idx="4">
                  <c:v>Powiat m. Kraków</c:v>
                </c:pt>
                <c:pt idx="5">
                  <c:v>Powiat m. st. Warszawa</c:v>
                </c:pt>
                <c:pt idx="6">
                  <c:v>Powiat m. Gdańsk</c:v>
                </c:pt>
                <c:pt idx="7">
                  <c:v>Powiat m. Katowice</c:v>
                </c:pt>
                <c:pt idx="8">
                  <c:v>Powiat m. Poznań</c:v>
                </c:pt>
              </c:strCache>
            </c:strRef>
          </c:cat>
          <c:val>
            <c:numRef>
              <c:f>TABLICA!$H$54:$H$62</c:f>
              <c:numCache>
                <c:formatCode>0.0</c:formatCode>
                <c:ptCount val="9"/>
                <c:pt idx="0">
                  <c:v>39.302253782031492</c:v>
                </c:pt>
                <c:pt idx="1">
                  <c:v>47.488824612148264</c:v>
                </c:pt>
                <c:pt idx="2">
                  <c:v>28.600796607991779</c:v>
                </c:pt>
                <c:pt idx="3">
                  <c:v>50.949494949494948</c:v>
                </c:pt>
                <c:pt idx="4">
                  <c:v>21.760764927800185</c:v>
                </c:pt>
                <c:pt idx="5">
                  <c:v>19.782838983050826</c:v>
                </c:pt>
                <c:pt idx="6">
                  <c:v>75.771914347581898</c:v>
                </c:pt>
                <c:pt idx="7">
                  <c:v>122.23946784922394</c:v>
                </c:pt>
                <c:pt idx="8">
                  <c:v>24.029608232532915</c:v>
                </c:pt>
              </c:numCache>
            </c:numRef>
          </c:val>
          <c:extLst xmlns:c16r2="http://schemas.microsoft.com/office/drawing/2015/06/chart">
            <c:ext xmlns:c16="http://schemas.microsoft.com/office/drawing/2014/chart" uri="{C3380CC4-5D6E-409C-BE32-E72D297353CC}">
              <c16:uniqueId val="{00000002-4DFF-43E4-914D-9D6E4FECE09B}"/>
            </c:ext>
          </c:extLst>
        </c:ser>
        <c:dLbls/>
        <c:gapWidth val="182"/>
        <c:axId val="94098944"/>
        <c:axId val="94100864"/>
      </c:barChart>
      <c:catAx>
        <c:axId val="94098944"/>
        <c:scaling>
          <c:orientation val="minMax"/>
        </c:scaling>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pl-PL"/>
                  <a:t>Noclegi</a:t>
                </a:r>
                <a:r>
                  <a:rPr lang="pl-PL" baseline="0"/>
                  <a:t> na 10 tys. ludności</a:t>
                </a:r>
                <a:endParaRPr lang="pl-PL"/>
              </a:p>
            </c:rich>
          </c:tx>
          <c:layout>
            <c:manualLayout>
              <c:xMode val="edge"/>
              <c:yMode val="edge"/>
              <c:x val="0.95917517651239792"/>
              <c:y val="0.24733723701900806"/>
            </c:manualLayout>
          </c:layout>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94100864"/>
        <c:crosses val="autoZero"/>
        <c:auto val="1"/>
        <c:lblAlgn val="ctr"/>
        <c:lblOffset val="100"/>
      </c:catAx>
      <c:valAx>
        <c:axId val="94100864"/>
        <c:scaling>
          <c:orientation val="minMax"/>
        </c:scaling>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pl-PL"/>
                  <a:t>Jednostka</a:t>
                </a:r>
                <a:r>
                  <a:rPr lang="pl-PL" baseline="0"/>
                  <a:t> terytorialna</a:t>
                </a:r>
                <a:endParaRPr lang="pl-PL"/>
              </a:p>
            </c:rich>
          </c:tx>
          <c:layout>
            <c:manualLayout>
              <c:xMode val="edge"/>
              <c:yMode val="edge"/>
              <c:x val="2.2670828462918496E-2"/>
              <c:y val="0.81070612334321823"/>
            </c:manualLayout>
          </c:layout>
          <c:spPr>
            <a:noFill/>
            <a:ln>
              <a:noFill/>
            </a:ln>
            <a:effectLst/>
          </c:spPr>
        </c:title>
        <c:numFmt formatCode="#,##0" sourceLinked="1"/>
        <c:maj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940989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70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sz="800"/>
      </a:pPr>
      <a:endParaRPr lang="pl-PL"/>
    </a:p>
  </c:tx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pl-PL"/>
  <c:chart>
    <c:autoTitleDeleted val="1"/>
    <c:plotArea>
      <c:layout/>
      <c:lineChart>
        <c:grouping val="standard"/>
        <c:ser>
          <c:idx val="0"/>
          <c:order val="0"/>
          <c:tx>
            <c:strRef>
              <c:f>'gęstość zaludnienia'!$C$5</c:f>
              <c:strCache>
                <c:ptCount val="1"/>
                <c:pt idx="0">
                  <c:v>Wrocławski Obszar Funkcjonalny</c:v>
                </c:pt>
              </c:strCache>
            </c:strRef>
          </c:tx>
          <c:spPr>
            <a:ln w="28575" cap="rnd">
              <a:solidFill>
                <a:srgbClr val="FFC000"/>
              </a:solidFill>
              <a:round/>
            </a:ln>
            <a:effectLst/>
          </c:spPr>
          <c:marker>
            <c:symbol val="circle"/>
            <c:size val="5"/>
            <c:spPr>
              <a:solidFill>
                <a:srgbClr val="FFC000"/>
              </a:solidFill>
              <a:ln w="9525">
                <a:solidFill>
                  <a:srgbClr val="FFC000"/>
                </a:solidFill>
              </a:ln>
              <a:effectLst/>
            </c:spPr>
          </c:marker>
          <c:dLbls>
            <c:dLbl>
              <c:idx val="0"/>
              <c:layout>
                <c:manualLayout>
                  <c:x val="-5.3277777777777764E-2"/>
                  <c:y val="4.0362797392261486E-2"/>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C95-469A-BB43-50780C607F24}"/>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C95-469A-BB43-50780C607F24}"/>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2C95-469A-BB43-50780C607F24}"/>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C95-469A-BB43-50780C607F24}"/>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2C95-469A-BB43-50780C607F24}"/>
                </c:ext>
              </c:extLst>
            </c:dLbl>
            <c:dLbl>
              <c:idx val="5"/>
              <c:layout>
                <c:manualLayout>
                  <c:x val="-2.3874890638670279E-2"/>
                  <c:y val="4.5739141478282945E-2"/>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2C95-469A-BB43-50780C607F24}"/>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ptos" panose="020B0004020202020204" pitchFamily="34" charset="0"/>
                    <a:ea typeface="+mn-ea"/>
                    <a:cs typeface="+mn-cs"/>
                  </a:defRPr>
                </a:pPr>
                <a:endParaRPr lang="pl-PL"/>
              </a:p>
            </c:txPr>
            <c:dLblPos val="t"/>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'gęstość zaludnienia'!$D$4:$I$4</c:f>
              <c:strCache>
                <c:ptCount val="6"/>
                <c:pt idx="0">
                  <c:v>2018</c:v>
                </c:pt>
                <c:pt idx="1">
                  <c:v>2019</c:v>
                </c:pt>
                <c:pt idx="2">
                  <c:v>2020</c:v>
                </c:pt>
                <c:pt idx="3">
                  <c:v>2021</c:v>
                </c:pt>
                <c:pt idx="4">
                  <c:v>2022</c:v>
                </c:pt>
                <c:pt idx="5">
                  <c:v>2023</c:v>
                </c:pt>
              </c:strCache>
            </c:strRef>
          </c:cat>
          <c:val>
            <c:numRef>
              <c:f>'gęstość zaludnienia'!$D$5:$I$5</c:f>
              <c:numCache>
                <c:formatCode>#,##0</c:formatCode>
                <c:ptCount val="6"/>
                <c:pt idx="0">
                  <c:v>985630</c:v>
                </c:pt>
                <c:pt idx="1">
                  <c:v>994925</c:v>
                </c:pt>
                <c:pt idx="2">
                  <c:v>1053881</c:v>
                </c:pt>
                <c:pt idx="3">
                  <c:v>1060351</c:v>
                </c:pt>
                <c:pt idx="4">
                  <c:v>1065406</c:v>
                </c:pt>
                <c:pt idx="5">
                  <c:v>1070725</c:v>
                </c:pt>
              </c:numCache>
            </c:numRef>
          </c:val>
          <c:extLst xmlns:c16r2="http://schemas.microsoft.com/office/drawing/2015/06/chart">
            <c:ext xmlns:c16="http://schemas.microsoft.com/office/drawing/2014/chart" uri="{C3380CC4-5D6E-409C-BE32-E72D297353CC}">
              <c16:uniqueId val="{00000006-2C95-469A-BB43-50780C607F24}"/>
            </c:ext>
          </c:extLst>
        </c:ser>
        <c:ser>
          <c:idx val="1"/>
          <c:order val="1"/>
          <c:tx>
            <c:strRef>
              <c:f>'gęstość zaludnienia'!$C$6</c:f>
              <c:strCache>
                <c:ptCount val="1"/>
                <c:pt idx="0">
                  <c:v>Metropolia Krakowska</c:v>
                </c:pt>
              </c:strCache>
            </c:strRef>
          </c:tx>
          <c:spPr>
            <a:ln w="28575" cap="rnd">
              <a:solidFill>
                <a:schemeClr val="tx1"/>
              </a:solidFill>
              <a:round/>
            </a:ln>
            <a:effectLst/>
          </c:spPr>
          <c:marker>
            <c:symbol val="circle"/>
            <c:size val="5"/>
            <c:spPr>
              <a:solidFill>
                <a:schemeClr val="tx1"/>
              </a:solidFill>
              <a:ln w="9525">
                <a:solidFill>
                  <a:schemeClr val="tx1"/>
                </a:solidFill>
              </a:ln>
              <a:effectLst/>
            </c:spPr>
          </c:marker>
          <c:dLbls>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2C95-469A-BB43-50780C607F24}"/>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2C95-469A-BB43-50780C607F24}"/>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2C95-469A-BB43-50780C607F24}"/>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2C95-469A-BB43-50780C607F24}"/>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ptos" panose="020B0004020202020204" pitchFamily="34" charset="0"/>
                    <a:ea typeface="+mn-ea"/>
                    <a:cs typeface="+mn-cs"/>
                  </a:defRPr>
                </a:pPr>
                <a:endParaRPr lang="pl-PL"/>
              </a:p>
            </c:txPr>
            <c:dLblPos val="t"/>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'gęstość zaludnienia'!$D$4:$I$4</c:f>
              <c:strCache>
                <c:ptCount val="6"/>
                <c:pt idx="0">
                  <c:v>2018</c:v>
                </c:pt>
                <c:pt idx="1">
                  <c:v>2019</c:v>
                </c:pt>
                <c:pt idx="2">
                  <c:v>2020</c:v>
                </c:pt>
                <c:pt idx="3">
                  <c:v>2021</c:v>
                </c:pt>
                <c:pt idx="4">
                  <c:v>2022</c:v>
                </c:pt>
                <c:pt idx="5">
                  <c:v>2023</c:v>
                </c:pt>
              </c:strCache>
            </c:strRef>
          </c:cat>
          <c:val>
            <c:numRef>
              <c:f>'gęstość zaludnienia'!$D$6:$I$6</c:f>
              <c:numCache>
                <c:formatCode>#,##0</c:formatCode>
                <c:ptCount val="6"/>
                <c:pt idx="0">
                  <c:v>1064082</c:v>
                </c:pt>
                <c:pt idx="1">
                  <c:v>1076117</c:v>
                </c:pt>
                <c:pt idx="2">
                  <c:v>1121525</c:v>
                </c:pt>
                <c:pt idx="3">
                  <c:v>1127896</c:v>
                </c:pt>
                <c:pt idx="4">
                  <c:v>1132625</c:v>
                </c:pt>
                <c:pt idx="5">
                  <c:v>1139182</c:v>
                </c:pt>
              </c:numCache>
            </c:numRef>
          </c:val>
          <c:extLst xmlns:c16r2="http://schemas.microsoft.com/office/drawing/2015/06/chart">
            <c:ext xmlns:c16="http://schemas.microsoft.com/office/drawing/2014/chart" uri="{C3380CC4-5D6E-409C-BE32-E72D297353CC}">
              <c16:uniqueId val="{0000000B-2C95-469A-BB43-50780C607F24}"/>
            </c:ext>
          </c:extLst>
        </c:ser>
        <c:ser>
          <c:idx val="2"/>
          <c:order val="2"/>
          <c:tx>
            <c:strRef>
              <c:f>'gęstość zaludnienia'!$C$7</c:f>
              <c:strCache>
                <c:ptCount val="1"/>
                <c:pt idx="0">
                  <c:v>Metropolia Poznań</c:v>
                </c:pt>
              </c:strCache>
            </c:strRef>
          </c:tx>
          <c:spPr>
            <a:ln w="28575" cap="rnd">
              <a:solidFill>
                <a:srgbClr val="00B0F0"/>
              </a:solidFill>
              <a:round/>
            </a:ln>
            <a:effectLst/>
          </c:spPr>
          <c:marker>
            <c:symbol val="circle"/>
            <c:size val="5"/>
            <c:spPr>
              <a:solidFill>
                <a:srgbClr val="00B0F0"/>
              </a:solidFill>
              <a:ln w="9525">
                <a:solidFill>
                  <a:srgbClr val="00B0F0"/>
                </a:solidFill>
              </a:ln>
              <a:effectLst/>
            </c:spPr>
          </c:marker>
          <c:dLbls>
            <c:dLbl>
              <c:idx val="0"/>
              <c:layout>
                <c:manualLayout>
                  <c:x val="-6.7944444444444502E-2"/>
                  <c:y val="2.4233765134196943E-2"/>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2C95-469A-BB43-50780C607F24}"/>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2C95-469A-BB43-50780C607F24}"/>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2C95-469A-BB43-50780C607F24}"/>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2C95-469A-BB43-50780C607F24}"/>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2C95-469A-BB43-50780C607F24}"/>
                </c:ext>
              </c:extLst>
            </c:dLbl>
            <c:dLbl>
              <c:idx val="5"/>
              <c:layout>
                <c:manualLayout>
                  <c:x val="-7.5793323668476497E-3"/>
                  <c:y val="-3.6456562061376228E-2"/>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2C95-469A-BB43-50780C607F24}"/>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ptos" panose="020B0004020202020204" pitchFamily="34" charset="0"/>
                    <a:ea typeface="+mn-ea"/>
                    <a:cs typeface="+mn-cs"/>
                  </a:defRPr>
                </a:pPr>
                <a:endParaRPr lang="pl-PL"/>
              </a:p>
            </c:txPr>
            <c:dLblPos val="t"/>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'gęstość zaludnienia'!$D$4:$I$4</c:f>
              <c:strCache>
                <c:ptCount val="6"/>
                <c:pt idx="0">
                  <c:v>2018</c:v>
                </c:pt>
                <c:pt idx="1">
                  <c:v>2019</c:v>
                </c:pt>
                <c:pt idx="2">
                  <c:v>2020</c:v>
                </c:pt>
                <c:pt idx="3">
                  <c:v>2021</c:v>
                </c:pt>
                <c:pt idx="4">
                  <c:v>2022</c:v>
                </c:pt>
                <c:pt idx="5">
                  <c:v>2023</c:v>
                </c:pt>
              </c:strCache>
            </c:strRef>
          </c:cat>
          <c:val>
            <c:numRef>
              <c:f>'gęstość zaludnienia'!$D$7:$I$7</c:f>
              <c:numCache>
                <c:formatCode>#,##0</c:formatCode>
                <c:ptCount val="6"/>
                <c:pt idx="0">
                  <c:v>1042659</c:v>
                </c:pt>
                <c:pt idx="1">
                  <c:v>1050383</c:v>
                </c:pt>
                <c:pt idx="2">
                  <c:v>1094381</c:v>
                </c:pt>
                <c:pt idx="3">
                  <c:v>1098296</c:v>
                </c:pt>
                <c:pt idx="4">
                  <c:v>1100854</c:v>
                </c:pt>
                <c:pt idx="5">
                  <c:v>1103842</c:v>
                </c:pt>
              </c:numCache>
            </c:numRef>
          </c:val>
          <c:extLst xmlns:c16r2="http://schemas.microsoft.com/office/drawing/2015/06/chart">
            <c:ext xmlns:c16="http://schemas.microsoft.com/office/drawing/2014/chart" uri="{C3380CC4-5D6E-409C-BE32-E72D297353CC}">
              <c16:uniqueId val="{00000012-2C95-469A-BB43-50780C607F24}"/>
            </c:ext>
          </c:extLst>
        </c:ser>
        <c:dLbls>
          <c:showVal val="1"/>
        </c:dLbls>
        <c:marker val="1"/>
        <c:axId val="94186496"/>
        <c:axId val="94200960"/>
      </c:lineChart>
      <c:catAx>
        <c:axId val="94186496"/>
        <c:scaling>
          <c:orientation val="minMax"/>
        </c:scaling>
        <c:axPos val="b"/>
        <c:title>
          <c:tx>
            <c:rich>
              <a:bodyPr rot="0" spcFirstLastPara="1" vertOverflow="ellipsis" vert="horz" wrap="square" anchor="ctr" anchorCtr="1"/>
              <a:lstStyle/>
              <a:p>
                <a:pPr>
                  <a:defRPr sz="1000" b="0" i="0" u="none" strike="noStrike" kern="1200" baseline="0">
                    <a:solidFill>
                      <a:schemeClr val="tx1"/>
                    </a:solidFill>
                    <a:latin typeface="Aptos" panose="020B0004020202020204" pitchFamily="34" charset="0"/>
                    <a:ea typeface="+mn-ea"/>
                    <a:cs typeface="+mn-cs"/>
                  </a:defRPr>
                </a:pPr>
                <a:r>
                  <a:rPr lang="pl-PL"/>
                  <a:t>Lata</a:t>
                </a:r>
              </a:p>
            </c:rich>
          </c:tx>
          <c:layout>
            <c:manualLayout>
              <c:xMode val="edge"/>
              <c:yMode val="edge"/>
              <c:x val="0.54123369055402371"/>
              <c:y val="0.91038547980159301"/>
            </c:manualLayout>
          </c:layout>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ptos" panose="020B0004020202020204" pitchFamily="34" charset="0"/>
                <a:ea typeface="+mn-ea"/>
                <a:cs typeface="+mn-cs"/>
              </a:defRPr>
            </a:pPr>
            <a:endParaRPr lang="pl-PL"/>
          </a:p>
        </c:txPr>
        <c:crossAx val="94200960"/>
        <c:crosses val="autoZero"/>
        <c:auto val="1"/>
        <c:lblAlgn val="ctr"/>
        <c:lblOffset val="100"/>
      </c:catAx>
      <c:valAx>
        <c:axId val="94200960"/>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Aptos" panose="020B0004020202020204" pitchFamily="34" charset="0"/>
                    <a:ea typeface="+mn-ea"/>
                    <a:cs typeface="+mn-cs"/>
                  </a:defRPr>
                </a:pPr>
                <a:r>
                  <a:rPr lang="pl-PL"/>
                  <a:t>Liczba ludnośći </a:t>
                </a:r>
              </a:p>
            </c:rich>
          </c:tx>
          <c:layout>
            <c:manualLayout>
              <c:xMode val="edge"/>
              <c:yMode val="edge"/>
              <c:x val="8.9049338146811097E-2"/>
              <c:y val="0.16957956672871585"/>
            </c:manualLayout>
          </c:layout>
          <c:spPr>
            <a:noFill/>
            <a:ln>
              <a:noFill/>
            </a:ln>
            <a:effectLst/>
          </c:spPr>
        </c:title>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ptos" panose="020B0004020202020204" pitchFamily="34" charset="0"/>
                <a:ea typeface="+mn-ea"/>
                <a:cs typeface="+mn-cs"/>
              </a:defRPr>
            </a:pPr>
            <a:endParaRPr lang="pl-PL"/>
          </a:p>
        </c:txPr>
        <c:crossAx val="941864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solidFill>
                <a:latin typeface="Aptos" panose="020B0004020202020204" pitchFamily="34" charset="0"/>
                <a:ea typeface="+mn-ea"/>
                <a:cs typeface="+mn-cs"/>
              </a:defRPr>
            </a:pPr>
            <a:endParaRPr lang="pl-PL"/>
          </a:p>
        </c:txPr>
      </c:dTable>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Aptos" panose="020B0004020202020204" pitchFamily="34" charset="0"/>
        </a:defRPr>
      </a:pPr>
      <a:endParaRPr lang="pl-PL"/>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pl-PL"/>
  <c:chart>
    <c:autoTitleDeleted val="1"/>
    <c:plotArea>
      <c:layout/>
      <c:lineChart>
        <c:grouping val="standard"/>
        <c:ser>
          <c:idx val="0"/>
          <c:order val="0"/>
          <c:tx>
            <c:strRef>
              <c:f>Arkusz1!$I$67</c:f>
              <c:strCache>
                <c:ptCount val="1"/>
                <c:pt idx="0">
                  <c:v>urodzenia</c:v>
                </c:pt>
              </c:strCache>
            </c:strRef>
          </c:tx>
          <c:spPr>
            <a:ln w="28575" cap="rnd">
              <a:solidFill>
                <a:schemeClr val="accent1"/>
              </a:solidFill>
              <a:round/>
            </a:ln>
            <a:effectLst/>
          </c:spPr>
          <c:marker>
            <c:symbol val="none"/>
          </c:marker>
          <c:cat>
            <c:numRef>
              <c:f>Arkusz1!$J$66:$Q$66</c:f>
              <c:numCache>
                <c:formatCode>General</c:formatCode>
                <c:ptCount val="8"/>
                <c:pt idx="0">
                  <c:v>2025</c:v>
                </c:pt>
                <c:pt idx="1">
                  <c:v>2030</c:v>
                </c:pt>
                <c:pt idx="2">
                  <c:v>2035</c:v>
                </c:pt>
                <c:pt idx="3">
                  <c:v>2040</c:v>
                </c:pt>
                <c:pt idx="4">
                  <c:v>2024</c:v>
                </c:pt>
                <c:pt idx="5">
                  <c:v>2050</c:v>
                </c:pt>
                <c:pt idx="6">
                  <c:v>2055</c:v>
                </c:pt>
                <c:pt idx="7">
                  <c:v>2060</c:v>
                </c:pt>
              </c:numCache>
            </c:numRef>
          </c:cat>
          <c:val>
            <c:numRef>
              <c:f>Arkusz1!$J$67:$Q$67</c:f>
              <c:numCache>
                <c:formatCode>0.0</c:formatCode>
                <c:ptCount val="8"/>
                <c:pt idx="0">
                  <c:v>297.89999999999969</c:v>
                </c:pt>
                <c:pt idx="1">
                  <c:v>284.7</c:v>
                </c:pt>
                <c:pt idx="2">
                  <c:v>277.7</c:v>
                </c:pt>
                <c:pt idx="3">
                  <c:v>287.7</c:v>
                </c:pt>
                <c:pt idx="4">
                  <c:v>294.5</c:v>
                </c:pt>
                <c:pt idx="5">
                  <c:v>286.39999999999969</c:v>
                </c:pt>
                <c:pt idx="6">
                  <c:v>266</c:v>
                </c:pt>
                <c:pt idx="7">
                  <c:v>248.7</c:v>
                </c:pt>
              </c:numCache>
            </c:numRef>
          </c:val>
          <c:extLst xmlns:c16r2="http://schemas.microsoft.com/office/drawing/2015/06/chart">
            <c:ext xmlns:c16="http://schemas.microsoft.com/office/drawing/2014/chart" uri="{C3380CC4-5D6E-409C-BE32-E72D297353CC}">
              <c16:uniqueId val="{00000000-B5EE-47EF-8A2A-BB22D571D325}"/>
            </c:ext>
          </c:extLst>
        </c:ser>
        <c:ser>
          <c:idx val="1"/>
          <c:order val="1"/>
          <c:tx>
            <c:strRef>
              <c:f>Arkusz1!$I$68</c:f>
              <c:strCache>
                <c:ptCount val="1"/>
                <c:pt idx="0">
                  <c:v>zgony</c:v>
                </c:pt>
              </c:strCache>
            </c:strRef>
          </c:tx>
          <c:spPr>
            <a:ln w="28575" cap="rnd">
              <a:solidFill>
                <a:schemeClr val="accent2"/>
              </a:solidFill>
              <a:round/>
            </a:ln>
            <a:effectLst/>
          </c:spPr>
          <c:marker>
            <c:symbol val="none"/>
          </c:marker>
          <c:cat>
            <c:numRef>
              <c:f>Arkusz1!$J$66:$Q$66</c:f>
              <c:numCache>
                <c:formatCode>General</c:formatCode>
                <c:ptCount val="8"/>
                <c:pt idx="0">
                  <c:v>2025</c:v>
                </c:pt>
                <c:pt idx="1">
                  <c:v>2030</c:v>
                </c:pt>
                <c:pt idx="2">
                  <c:v>2035</c:v>
                </c:pt>
                <c:pt idx="3">
                  <c:v>2040</c:v>
                </c:pt>
                <c:pt idx="4">
                  <c:v>2024</c:v>
                </c:pt>
                <c:pt idx="5">
                  <c:v>2050</c:v>
                </c:pt>
                <c:pt idx="6">
                  <c:v>2055</c:v>
                </c:pt>
                <c:pt idx="7">
                  <c:v>2060</c:v>
                </c:pt>
              </c:numCache>
            </c:numRef>
          </c:cat>
          <c:val>
            <c:numRef>
              <c:f>Arkusz1!$J$68:$Q$68</c:f>
              <c:numCache>
                <c:formatCode>0.0</c:formatCode>
                <c:ptCount val="8"/>
                <c:pt idx="0">
                  <c:v>424.4</c:v>
                </c:pt>
                <c:pt idx="1">
                  <c:v>442.3</c:v>
                </c:pt>
                <c:pt idx="2">
                  <c:v>466.8</c:v>
                </c:pt>
                <c:pt idx="3">
                  <c:v>489.1</c:v>
                </c:pt>
                <c:pt idx="4">
                  <c:v>500.2</c:v>
                </c:pt>
                <c:pt idx="5">
                  <c:v>493</c:v>
                </c:pt>
                <c:pt idx="6">
                  <c:v>486</c:v>
                </c:pt>
                <c:pt idx="7">
                  <c:v>482.5</c:v>
                </c:pt>
              </c:numCache>
            </c:numRef>
          </c:val>
          <c:extLst xmlns:c16r2="http://schemas.microsoft.com/office/drawing/2015/06/chart">
            <c:ext xmlns:c16="http://schemas.microsoft.com/office/drawing/2014/chart" uri="{C3380CC4-5D6E-409C-BE32-E72D297353CC}">
              <c16:uniqueId val="{00000001-B5EE-47EF-8A2A-BB22D571D325}"/>
            </c:ext>
          </c:extLst>
        </c:ser>
        <c:dLbls/>
        <c:marker val="1"/>
        <c:axId val="224331264"/>
        <c:axId val="224333184"/>
      </c:lineChart>
      <c:catAx>
        <c:axId val="224331264"/>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Rok</a:t>
                </a:r>
                <a:r>
                  <a:rPr lang="pl-PL" baseline="0"/>
                  <a:t> prognozy</a:t>
                </a:r>
                <a:endParaRPr lang="pl-PL"/>
              </a:p>
            </c:rich>
          </c:tx>
          <c:layout/>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24333184"/>
        <c:crosses val="autoZero"/>
        <c:auto val="1"/>
        <c:lblAlgn val="ctr"/>
        <c:lblOffset val="100"/>
      </c:catAx>
      <c:valAx>
        <c:axId val="224333184"/>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Urodzenia</a:t>
                </a:r>
                <a:r>
                  <a:rPr lang="pl-PL" baseline="0"/>
                  <a:t> i zgony w tys.</a:t>
                </a:r>
                <a:endParaRPr lang="pl-PL"/>
              </a:p>
            </c:rich>
          </c:tx>
          <c:layout/>
          <c:spPr>
            <a:noFill/>
            <a:ln>
              <a:noFill/>
            </a:ln>
            <a:effectLst/>
          </c:spPr>
        </c:title>
        <c:numFmt formatCode="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2433126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pl-PL"/>
  <c:chart>
    <c:autoTitleDeleted val="1"/>
    <c:plotArea>
      <c:layout/>
      <c:barChart>
        <c:barDir val="col"/>
        <c:grouping val="clustered"/>
        <c:ser>
          <c:idx val="0"/>
          <c:order val="0"/>
          <c:tx>
            <c:strRef>
              <c:f>Arkusz1!$B$3</c:f>
              <c:strCache>
                <c:ptCount val="1"/>
                <c:pt idx="0">
                  <c:v>Wrocławski Obszar Funkcjonalny</c:v>
                </c:pt>
              </c:strCache>
            </c:strRef>
          </c:tx>
          <c:spPr>
            <a:solidFill>
              <a:srgbClr val="FFC000"/>
            </a:solidFill>
            <a:ln>
              <a:noFill/>
            </a:ln>
            <a:effectLst/>
          </c:spPr>
          <c:cat>
            <c:multiLvlStrRef>
              <c:f>Arkusz1!$C$1:$H$2</c:f>
              <c:multiLvlStrCache>
                <c:ptCount val="6"/>
                <c:lvl>
                  <c:pt idx="0">
                    <c:v>2018</c:v>
                  </c:pt>
                  <c:pt idx="1">
                    <c:v>2019</c:v>
                  </c:pt>
                  <c:pt idx="2">
                    <c:v>2020</c:v>
                  </c:pt>
                  <c:pt idx="3">
                    <c:v>2021</c:v>
                  </c:pt>
                  <c:pt idx="4">
                    <c:v>2022</c:v>
                  </c:pt>
                  <c:pt idx="5">
                    <c:v>2023</c:v>
                  </c:pt>
                </c:lvl>
                <c:lvl>
                  <c:pt idx="0">
                    <c:v>ogółem</c:v>
                  </c:pt>
                </c:lvl>
              </c:multiLvlStrCache>
            </c:multiLvlStrRef>
          </c:cat>
          <c:val>
            <c:numRef>
              <c:f>Arkusz1!$C$3:$H$3</c:f>
              <c:numCache>
                <c:formatCode>General</c:formatCode>
                <c:ptCount val="6"/>
                <c:pt idx="0">
                  <c:v>12468</c:v>
                </c:pt>
                <c:pt idx="1">
                  <c:v>10990</c:v>
                </c:pt>
                <c:pt idx="2">
                  <c:v>15480</c:v>
                </c:pt>
                <c:pt idx="3">
                  <c:v>12670</c:v>
                </c:pt>
                <c:pt idx="4">
                  <c:v>10944</c:v>
                </c:pt>
                <c:pt idx="5">
                  <c:v>10737</c:v>
                </c:pt>
              </c:numCache>
            </c:numRef>
          </c:val>
          <c:extLst xmlns:c16r2="http://schemas.microsoft.com/office/drawing/2015/06/chart">
            <c:ext xmlns:c16="http://schemas.microsoft.com/office/drawing/2014/chart" uri="{C3380CC4-5D6E-409C-BE32-E72D297353CC}">
              <c16:uniqueId val="{00000000-D514-42F2-A729-2C7253CA25F8}"/>
            </c:ext>
          </c:extLst>
        </c:ser>
        <c:ser>
          <c:idx val="1"/>
          <c:order val="1"/>
          <c:tx>
            <c:strRef>
              <c:f>Arkusz1!$B$4</c:f>
              <c:strCache>
                <c:ptCount val="1"/>
                <c:pt idx="0">
                  <c:v>Metropolia Krakowska</c:v>
                </c:pt>
              </c:strCache>
            </c:strRef>
          </c:tx>
          <c:spPr>
            <a:solidFill>
              <a:schemeClr val="tx1"/>
            </a:solidFill>
            <a:ln>
              <a:noFill/>
            </a:ln>
            <a:effectLst/>
          </c:spPr>
          <c:cat>
            <c:multiLvlStrRef>
              <c:f>Arkusz1!$C$1:$H$2</c:f>
              <c:multiLvlStrCache>
                <c:ptCount val="6"/>
                <c:lvl>
                  <c:pt idx="0">
                    <c:v>2018</c:v>
                  </c:pt>
                  <c:pt idx="1">
                    <c:v>2019</c:v>
                  </c:pt>
                  <c:pt idx="2">
                    <c:v>2020</c:v>
                  </c:pt>
                  <c:pt idx="3">
                    <c:v>2021</c:v>
                  </c:pt>
                  <c:pt idx="4">
                    <c:v>2022</c:v>
                  </c:pt>
                  <c:pt idx="5">
                    <c:v>2023</c:v>
                  </c:pt>
                </c:lvl>
                <c:lvl>
                  <c:pt idx="0">
                    <c:v>ogółem</c:v>
                  </c:pt>
                </c:lvl>
              </c:multiLvlStrCache>
            </c:multiLvlStrRef>
          </c:cat>
          <c:val>
            <c:numRef>
              <c:f>Arkusz1!$C$4:$H$4</c:f>
              <c:numCache>
                <c:formatCode>General</c:formatCode>
                <c:ptCount val="6"/>
                <c:pt idx="0">
                  <c:v>16091</c:v>
                </c:pt>
                <c:pt idx="1">
                  <c:v>14073</c:v>
                </c:pt>
                <c:pt idx="2">
                  <c:v>21841</c:v>
                </c:pt>
                <c:pt idx="3">
                  <c:v>20039</c:v>
                </c:pt>
                <c:pt idx="4">
                  <c:v>16746</c:v>
                </c:pt>
                <c:pt idx="5">
                  <c:v>14335</c:v>
                </c:pt>
              </c:numCache>
            </c:numRef>
          </c:val>
          <c:extLst xmlns:c16r2="http://schemas.microsoft.com/office/drawing/2015/06/chart">
            <c:ext xmlns:c16="http://schemas.microsoft.com/office/drawing/2014/chart" uri="{C3380CC4-5D6E-409C-BE32-E72D297353CC}">
              <c16:uniqueId val="{00000001-D514-42F2-A729-2C7253CA25F8}"/>
            </c:ext>
          </c:extLst>
        </c:ser>
        <c:ser>
          <c:idx val="2"/>
          <c:order val="2"/>
          <c:tx>
            <c:strRef>
              <c:f>Arkusz1!$B$5</c:f>
              <c:strCache>
                <c:ptCount val="1"/>
                <c:pt idx="0">
                  <c:v>Metropolia Poznańska</c:v>
                </c:pt>
              </c:strCache>
            </c:strRef>
          </c:tx>
          <c:spPr>
            <a:solidFill>
              <a:srgbClr val="00B0F0"/>
            </a:solidFill>
            <a:ln>
              <a:noFill/>
            </a:ln>
            <a:effectLst/>
          </c:spPr>
          <c:cat>
            <c:multiLvlStrRef>
              <c:f>Arkusz1!$C$1:$H$2</c:f>
              <c:multiLvlStrCache>
                <c:ptCount val="6"/>
                <c:lvl>
                  <c:pt idx="0">
                    <c:v>2018</c:v>
                  </c:pt>
                  <c:pt idx="1">
                    <c:v>2019</c:v>
                  </c:pt>
                  <c:pt idx="2">
                    <c:v>2020</c:v>
                  </c:pt>
                  <c:pt idx="3">
                    <c:v>2021</c:v>
                  </c:pt>
                  <c:pt idx="4">
                    <c:v>2022</c:v>
                  </c:pt>
                  <c:pt idx="5">
                    <c:v>2023</c:v>
                  </c:pt>
                </c:lvl>
                <c:lvl>
                  <c:pt idx="0">
                    <c:v>ogółem</c:v>
                  </c:pt>
                </c:lvl>
              </c:multiLvlStrCache>
            </c:multiLvlStrRef>
          </c:cat>
          <c:val>
            <c:numRef>
              <c:f>Arkusz1!$C$5:$H$5</c:f>
              <c:numCache>
                <c:formatCode>General</c:formatCode>
                <c:ptCount val="6"/>
                <c:pt idx="0">
                  <c:v>8134</c:v>
                </c:pt>
                <c:pt idx="1">
                  <c:v>7033</c:v>
                </c:pt>
                <c:pt idx="2">
                  <c:v>12717</c:v>
                </c:pt>
                <c:pt idx="3">
                  <c:v>10365</c:v>
                </c:pt>
                <c:pt idx="4">
                  <c:v>7043</c:v>
                </c:pt>
                <c:pt idx="5">
                  <c:v>6927</c:v>
                </c:pt>
              </c:numCache>
            </c:numRef>
          </c:val>
          <c:extLst xmlns:c16r2="http://schemas.microsoft.com/office/drawing/2015/06/chart">
            <c:ext xmlns:c16="http://schemas.microsoft.com/office/drawing/2014/chart" uri="{C3380CC4-5D6E-409C-BE32-E72D297353CC}">
              <c16:uniqueId val="{00000002-D514-42F2-A729-2C7253CA25F8}"/>
            </c:ext>
          </c:extLst>
        </c:ser>
        <c:dLbls/>
        <c:gapWidth val="219"/>
        <c:overlap val="-27"/>
        <c:axId val="94381568"/>
        <c:axId val="94383488"/>
      </c:barChart>
      <c:catAx>
        <c:axId val="94381568"/>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Lata</a:t>
                </a:r>
              </a:p>
            </c:rich>
          </c:tx>
          <c:layout>
            <c:manualLayout>
              <c:xMode val="edge"/>
              <c:yMode val="edge"/>
              <c:x val="0.52197575631993365"/>
              <c:y val="0.86995584556322891"/>
            </c:manualLayout>
          </c:layout>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4383488"/>
        <c:crosses val="autoZero"/>
        <c:auto val="1"/>
        <c:lblAlgn val="ctr"/>
        <c:lblOffset val="100"/>
      </c:catAx>
      <c:valAx>
        <c:axId val="94383488"/>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Liczba</a:t>
                </a:r>
              </a:p>
              <a:p>
                <a:pPr>
                  <a:defRPr sz="1000" b="0" i="0" u="none" strike="noStrike" kern="1200" baseline="0">
                    <a:solidFill>
                      <a:schemeClr val="tx1">
                        <a:lumMod val="65000"/>
                        <a:lumOff val="35000"/>
                      </a:schemeClr>
                    </a:solidFill>
                    <a:latin typeface="+mn-lt"/>
                    <a:ea typeface="+mn-ea"/>
                    <a:cs typeface="+mn-cs"/>
                  </a:defRPr>
                </a:pPr>
                <a:r>
                  <a:rPr lang="pl-PL"/>
                  <a:t> bezrobotnych</a:t>
                </a:r>
              </a:p>
            </c:rich>
          </c:tx>
          <c:layout>
            <c:manualLayout>
              <c:xMode val="edge"/>
              <c:yMode val="edge"/>
              <c:x val="0.14035087719298245"/>
              <c:y val="2.1484188561349305E-2"/>
            </c:manualLayout>
          </c:layout>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43815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pl-PL"/>
  <c:chart>
    <c:autoTitleDeleted val="1"/>
    <c:plotArea>
      <c:layout/>
      <c:barChart>
        <c:barDir val="col"/>
        <c:grouping val="clustered"/>
        <c:ser>
          <c:idx val="0"/>
          <c:order val="0"/>
          <c:tx>
            <c:strRef>
              <c:f>Arkusz1!$A$18</c:f>
              <c:strCache>
                <c:ptCount val="1"/>
                <c:pt idx="0">
                  <c:v>Wrocławski Obszar Funkcjonalny</c:v>
                </c:pt>
              </c:strCache>
            </c:strRef>
          </c:tx>
          <c:spPr>
            <a:solidFill>
              <a:srgbClr val="FFC000"/>
            </a:solidFill>
            <a:ln>
              <a:noFill/>
            </a:ln>
            <a:effectLst/>
          </c:spPr>
          <c:cat>
            <c:strRef>
              <c:f>Arkusz1!$B$17:$G$17</c:f>
              <c:strCache>
                <c:ptCount val="6"/>
                <c:pt idx="0">
                  <c:v>2018</c:v>
                </c:pt>
                <c:pt idx="1">
                  <c:v>2019</c:v>
                </c:pt>
                <c:pt idx="2">
                  <c:v>2020</c:v>
                </c:pt>
                <c:pt idx="3">
                  <c:v>2021</c:v>
                </c:pt>
                <c:pt idx="4">
                  <c:v>2022</c:v>
                </c:pt>
                <c:pt idx="5">
                  <c:v>2023</c:v>
                </c:pt>
              </c:strCache>
            </c:strRef>
          </c:cat>
          <c:val>
            <c:numRef>
              <c:f>Arkusz1!$B$18:$G$18</c:f>
              <c:numCache>
                <c:formatCode>General</c:formatCode>
                <c:ptCount val="6"/>
                <c:pt idx="0">
                  <c:v>2207</c:v>
                </c:pt>
                <c:pt idx="1">
                  <c:v>1948</c:v>
                </c:pt>
                <c:pt idx="2">
                  <c:v>2932</c:v>
                </c:pt>
                <c:pt idx="3">
                  <c:v>2123</c:v>
                </c:pt>
                <c:pt idx="4">
                  <c:v>1913</c:v>
                </c:pt>
                <c:pt idx="5">
                  <c:v>1901</c:v>
                </c:pt>
              </c:numCache>
            </c:numRef>
          </c:val>
          <c:extLst xmlns:c16r2="http://schemas.microsoft.com/office/drawing/2015/06/chart">
            <c:ext xmlns:c16="http://schemas.microsoft.com/office/drawing/2014/chart" uri="{C3380CC4-5D6E-409C-BE32-E72D297353CC}">
              <c16:uniqueId val="{00000000-3EA3-4F56-BEF6-4F4B719098D1}"/>
            </c:ext>
          </c:extLst>
        </c:ser>
        <c:ser>
          <c:idx val="1"/>
          <c:order val="1"/>
          <c:tx>
            <c:strRef>
              <c:f>Arkusz1!$A$19</c:f>
              <c:strCache>
                <c:ptCount val="1"/>
                <c:pt idx="0">
                  <c:v>Metropolia Krakowska</c:v>
                </c:pt>
              </c:strCache>
            </c:strRef>
          </c:tx>
          <c:spPr>
            <a:solidFill>
              <a:schemeClr val="tx1"/>
            </a:solidFill>
            <a:ln>
              <a:noFill/>
            </a:ln>
            <a:effectLst/>
          </c:spPr>
          <c:cat>
            <c:strRef>
              <c:f>Arkusz1!$B$17:$G$17</c:f>
              <c:strCache>
                <c:ptCount val="6"/>
                <c:pt idx="0">
                  <c:v>2018</c:v>
                </c:pt>
                <c:pt idx="1">
                  <c:v>2019</c:v>
                </c:pt>
                <c:pt idx="2">
                  <c:v>2020</c:v>
                </c:pt>
                <c:pt idx="3">
                  <c:v>2021</c:v>
                </c:pt>
                <c:pt idx="4">
                  <c:v>2022</c:v>
                </c:pt>
                <c:pt idx="5">
                  <c:v>2023</c:v>
                </c:pt>
              </c:strCache>
            </c:strRef>
          </c:cat>
          <c:val>
            <c:numRef>
              <c:f>Arkusz1!$B$19:$G$19</c:f>
              <c:numCache>
                <c:formatCode>General</c:formatCode>
                <c:ptCount val="6"/>
                <c:pt idx="0">
                  <c:v>3190</c:v>
                </c:pt>
                <c:pt idx="1">
                  <c:v>2692</c:v>
                </c:pt>
                <c:pt idx="2">
                  <c:v>4834</c:v>
                </c:pt>
                <c:pt idx="3">
                  <c:v>3886</c:v>
                </c:pt>
                <c:pt idx="4">
                  <c:v>3008</c:v>
                </c:pt>
                <c:pt idx="5">
                  <c:v>2628</c:v>
                </c:pt>
              </c:numCache>
            </c:numRef>
          </c:val>
          <c:extLst xmlns:c16r2="http://schemas.microsoft.com/office/drawing/2015/06/chart">
            <c:ext xmlns:c16="http://schemas.microsoft.com/office/drawing/2014/chart" uri="{C3380CC4-5D6E-409C-BE32-E72D297353CC}">
              <c16:uniqueId val="{00000001-3EA3-4F56-BEF6-4F4B719098D1}"/>
            </c:ext>
          </c:extLst>
        </c:ser>
        <c:ser>
          <c:idx val="2"/>
          <c:order val="2"/>
          <c:tx>
            <c:strRef>
              <c:f>Arkusz1!$A$20</c:f>
              <c:strCache>
                <c:ptCount val="1"/>
                <c:pt idx="0">
                  <c:v>Metropolia Poznańska</c:v>
                </c:pt>
              </c:strCache>
            </c:strRef>
          </c:tx>
          <c:spPr>
            <a:solidFill>
              <a:srgbClr val="00B0F0"/>
            </a:solidFill>
            <a:ln>
              <a:noFill/>
            </a:ln>
            <a:effectLst/>
          </c:spPr>
          <c:cat>
            <c:strRef>
              <c:f>Arkusz1!$B$17:$G$17</c:f>
              <c:strCache>
                <c:ptCount val="6"/>
                <c:pt idx="0">
                  <c:v>2018</c:v>
                </c:pt>
                <c:pt idx="1">
                  <c:v>2019</c:v>
                </c:pt>
                <c:pt idx="2">
                  <c:v>2020</c:v>
                </c:pt>
                <c:pt idx="3">
                  <c:v>2021</c:v>
                </c:pt>
                <c:pt idx="4">
                  <c:v>2022</c:v>
                </c:pt>
                <c:pt idx="5">
                  <c:v>2023</c:v>
                </c:pt>
              </c:strCache>
            </c:strRef>
          </c:cat>
          <c:val>
            <c:numRef>
              <c:f>Arkusz1!$B$20:$G$20</c:f>
              <c:numCache>
                <c:formatCode>General</c:formatCode>
                <c:ptCount val="6"/>
                <c:pt idx="0">
                  <c:v>1734</c:v>
                </c:pt>
                <c:pt idx="1">
                  <c:v>1518</c:v>
                </c:pt>
                <c:pt idx="2">
                  <c:v>2825</c:v>
                </c:pt>
                <c:pt idx="3">
                  <c:v>2002</c:v>
                </c:pt>
                <c:pt idx="4">
                  <c:v>1282</c:v>
                </c:pt>
                <c:pt idx="5">
                  <c:v>1312</c:v>
                </c:pt>
              </c:numCache>
            </c:numRef>
          </c:val>
          <c:extLst xmlns:c16r2="http://schemas.microsoft.com/office/drawing/2015/06/chart">
            <c:ext xmlns:c16="http://schemas.microsoft.com/office/drawing/2014/chart" uri="{C3380CC4-5D6E-409C-BE32-E72D297353CC}">
              <c16:uniqueId val="{00000002-3EA3-4F56-BEF6-4F4B719098D1}"/>
            </c:ext>
          </c:extLst>
        </c:ser>
        <c:dLbls/>
        <c:gapWidth val="219"/>
        <c:overlap val="-27"/>
        <c:axId val="94520448"/>
        <c:axId val="94522368"/>
      </c:barChart>
      <c:catAx>
        <c:axId val="94520448"/>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Lata</a:t>
                </a:r>
              </a:p>
            </c:rich>
          </c:tx>
          <c:layout>
            <c:manualLayout>
              <c:xMode val="edge"/>
              <c:yMode val="edge"/>
              <c:x val="0.55184897495921115"/>
              <c:y val="0.87926618433882009"/>
            </c:manualLayout>
          </c:layout>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4522368"/>
        <c:crosses val="autoZero"/>
        <c:auto val="1"/>
        <c:lblAlgn val="ctr"/>
        <c:lblOffset val="100"/>
      </c:catAx>
      <c:valAx>
        <c:axId val="94522368"/>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sz="1000" b="0" i="0" u="none" strike="noStrike" kern="1200" baseline="0">
                    <a:solidFill>
                      <a:sysClr val="windowText" lastClr="000000">
                        <a:lumMod val="65000"/>
                        <a:lumOff val="35000"/>
                      </a:sysClr>
                    </a:solidFill>
                  </a:rPr>
                  <a:t>Liczba</a:t>
                </a:r>
              </a:p>
              <a:p>
                <a:pPr>
                  <a:defRPr sz="1000" b="0" i="0" u="none" strike="noStrike" kern="1200" baseline="0">
                    <a:solidFill>
                      <a:schemeClr val="tx1">
                        <a:lumMod val="65000"/>
                        <a:lumOff val="35000"/>
                      </a:schemeClr>
                    </a:solidFill>
                    <a:latin typeface="+mn-lt"/>
                    <a:ea typeface="+mn-ea"/>
                    <a:cs typeface="+mn-cs"/>
                  </a:defRPr>
                </a:pPr>
                <a:r>
                  <a:rPr lang="pl-PL" sz="1000" b="0" i="0" u="none" strike="noStrike" kern="1200" baseline="0">
                    <a:solidFill>
                      <a:sysClr val="windowText" lastClr="000000">
                        <a:lumMod val="65000"/>
                        <a:lumOff val="35000"/>
                      </a:sysClr>
                    </a:solidFill>
                  </a:rPr>
                  <a:t> bezrobotnych</a:t>
                </a:r>
              </a:p>
            </c:rich>
          </c:tx>
          <c:layout>
            <c:manualLayout>
              <c:xMode val="edge"/>
              <c:yMode val="edge"/>
              <c:x val="0.1756756756756756"/>
              <c:y val="8.5479774185354809E-2"/>
            </c:manualLayout>
          </c:layout>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45204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pl-PL"/>
  <c:chart>
    <c:autoTitleDeleted val="1"/>
    <c:plotArea>
      <c:layout/>
      <c:barChart>
        <c:barDir val="col"/>
        <c:grouping val="clustered"/>
        <c:ser>
          <c:idx val="0"/>
          <c:order val="0"/>
          <c:tx>
            <c:strRef>
              <c:f>Arkusz1!$A$28</c:f>
              <c:strCache>
                <c:ptCount val="1"/>
                <c:pt idx="0">
                  <c:v>Wrocławski Obszar Funkcjonalny</c:v>
                </c:pt>
              </c:strCache>
            </c:strRef>
          </c:tx>
          <c:spPr>
            <a:solidFill>
              <a:srgbClr val="FFC000"/>
            </a:solidFill>
            <a:ln>
              <a:noFill/>
            </a:ln>
            <a:effectLst/>
          </c:spPr>
          <c:cat>
            <c:strRef>
              <c:f>Arkusz1!$B$27:$G$27</c:f>
              <c:strCache>
                <c:ptCount val="6"/>
                <c:pt idx="0">
                  <c:v>2018</c:v>
                </c:pt>
                <c:pt idx="1">
                  <c:v>2019</c:v>
                </c:pt>
                <c:pt idx="2">
                  <c:v>2020</c:v>
                </c:pt>
                <c:pt idx="3">
                  <c:v>2021</c:v>
                </c:pt>
                <c:pt idx="4">
                  <c:v>2022</c:v>
                </c:pt>
                <c:pt idx="5">
                  <c:v>2023</c:v>
                </c:pt>
              </c:strCache>
            </c:strRef>
          </c:cat>
          <c:val>
            <c:numRef>
              <c:f>Arkusz1!$B$28:$G$28</c:f>
              <c:numCache>
                <c:formatCode>#,##0</c:formatCode>
                <c:ptCount val="6"/>
                <c:pt idx="0">
                  <c:v>5759</c:v>
                </c:pt>
                <c:pt idx="1">
                  <c:v>4800</c:v>
                </c:pt>
                <c:pt idx="2">
                  <c:v>5949</c:v>
                </c:pt>
                <c:pt idx="3">
                  <c:v>6445</c:v>
                </c:pt>
                <c:pt idx="4">
                  <c:v>5074</c:v>
                </c:pt>
                <c:pt idx="5">
                  <c:v>4520</c:v>
                </c:pt>
              </c:numCache>
            </c:numRef>
          </c:val>
          <c:extLst xmlns:c16r2="http://schemas.microsoft.com/office/drawing/2015/06/chart">
            <c:ext xmlns:c16="http://schemas.microsoft.com/office/drawing/2014/chart" uri="{C3380CC4-5D6E-409C-BE32-E72D297353CC}">
              <c16:uniqueId val="{00000000-F03C-40C6-A874-8D835BAA46A1}"/>
            </c:ext>
          </c:extLst>
        </c:ser>
        <c:ser>
          <c:idx val="1"/>
          <c:order val="1"/>
          <c:tx>
            <c:strRef>
              <c:f>Arkusz1!$A$29</c:f>
              <c:strCache>
                <c:ptCount val="1"/>
                <c:pt idx="0">
                  <c:v>Metropolia Krakowska</c:v>
                </c:pt>
              </c:strCache>
            </c:strRef>
          </c:tx>
          <c:spPr>
            <a:solidFill>
              <a:schemeClr val="tx1"/>
            </a:solidFill>
            <a:ln>
              <a:noFill/>
            </a:ln>
            <a:effectLst/>
          </c:spPr>
          <c:cat>
            <c:strRef>
              <c:f>Arkusz1!$B$27:$G$27</c:f>
              <c:strCache>
                <c:ptCount val="6"/>
                <c:pt idx="0">
                  <c:v>2018</c:v>
                </c:pt>
                <c:pt idx="1">
                  <c:v>2019</c:v>
                </c:pt>
                <c:pt idx="2">
                  <c:v>2020</c:v>
                </c:pt>
                <c:pt idx="3">
                  <c:v>2021</c:v>
                </c:pt>
                <c:pt idx="4">
                  <c:v>2022</c:v>
                </c:pt>
                <c:pt idx="5">
                  <c:v>2023</c:v>
                </c:pt>
              </c:strCache>
            </c:strRef>
          </c:cat>
          <c:val>
            <c:numRef>
              <c:f>Arkusz1!$B$29:$G$29</c:f>
              <c:numCache>
                <c:formatCode>#,##0</c:formatCode>
                <c:ptCount val="6"/>
                <c:pt idx="0">
                  <c:v>8046</c:v>
                </c:pt>
                <c:pt idx="1">
                  <c:v>6584</c:v>
                </c:pt>
                <c:pt idx="2">
                  <c:v>8793</c:v>
                </c:pt>
                <c:pt idx="3">
                  <c:v>11542</c:v>
                </c:pt>
                <c:pt idx="4">
                  <c:v>8473</c:v>
                </c:pt>
                <c:pt idx="5">
                  <c:v>6539</c:v>
                </c:pt>
              </c:numCache>
            </c:numRef>
          </c:val>
          <c:extLst xmlns:c16r2="http://schemas.microsoft.com/office/drawing/2015/06/chart">
            <c:ext xmlns:c16="http://schemas.microsoft.com/office/drawing/2014/chart" uri="{C3380CC4-5D6E-409C-BE32-E72D297353CC}">
              <c16:uniqueId val="{00000001-F03C-40C6-A874-8D835BAA46A1}"/>
            </c:ext>
          </c:extLst>
        </c:ser>
        <c:ser>
          <c:idx val="2"/>
          <c:order val="2"/>
          <c:tx>
            <c:strRef>
              <c:f>Arkusz1!$A$30</c:f>
              <c:strCache>
                <c:ptCount val="1"/>
                <c:pt idx="0">
                  <c:v>Metropolia Poznańska</c:v>
                </c:pt>
              </c:strCache>
            </c:strRef>
          </c:tx>
          <c:spPr>
            <a:solidFill>
              <a:srgbClr val="00B0F0"/>
            </a:solidFill>
            <a:ln>
              <a:noFill/>
            </a:ln>
            <a:effectLst/>
          </c:spPr>
          <c:cat>
            <c:strRef>
              <c:f>Arkusz1!$B$27:$G$27</c:f>
              <c:strCache>
                <c:ptCount val="6"/>
                <c:pt idx="0">
                  <c:v>2018</c:v>
                </c:pt>
                <c:pt idx="1">
                  <c:v>2019</c:v>
                </c:pt>
                <c:pt idx="2">
                  <c:v>2020</c:v>
                </c:pt>
                <c:pt idx="3">
                  <c:v>2021</c:v>
                </c:pt>
                <c:pt idx="4">
                  <c:v>2022</c:v>
                </c:pt>
                <c:pt idx="5">
                  <c:v>2023</c:v>
                </c:pt>
              </c:strCache>
            </c:strRef>
          </c:cat>
          <c:val>
            <c:numRef>
              <c:f>Arkusz1!$B$30:$G$30</c:f>
              <c:numCache>
                <c:formatCode>General</c:formatCode>
                <c:ptCount val="6"/>
                <c:pt idx="0">
                  <c:v>3288</c:v>
                </c:pt>
                <c:pt idx="1">
                  <c:v>2406</c:v>
                </c:pt>
                <c:pt idx="2">
                  <c:v>3737</c:v>
                </c:pt>
                <c:pt idx="3">
                  <c:v>4454</c:v>
                </c:pt>
                <c:pt idx="4">
                  <c:v>2759</c:v>
                </c:pt>
                <c:pt idx="5">
                  <c:v>2141</c:v>
                </c:pt>
              </c:numCache>
            </c:numRef>
          </c:val>
          <c:extLst xmlns:c16r2="http://schemas.microsoft.com/office/drawing/2015/06/chart">
            <c:ext xmlns:c16="http://schemas.microsoft.com/office/drawing/2014/chart" uri="{C3380CC4-5D6E-409C-BE32-E72D297353CC}">
              <c16:uniqueId val="{00000002-F03C-40C6-A874-8D835BAA46A1}"/>
            </c:ext>
          </c:extLst>
        </c:ser>
        <c:dLbls/>
        <c:gapWidth val="219"/>
        <c:overlap val="-27"/>
        <c:axId val="94597504"/>
        <c:axId val="94599424"/>
      </c:barChart>
      <c:catAx>
        <c:axId val="94597504"/>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Lata</a:t>
                </a:r>
              </a:p>
            </c:rich>
          </c:tx>
          <c:layout>
            <c:manualLayout>
              <c:xMode val="edge"/>
              <c:yMode val="edge"/>
              <c:x val="0.58158877247782037"/>
              <c:y val="0.88013474024248983"/>
            </c:manualLayout>
          </c:layout>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4599424"/>
        <c:crosses val="autoZero"/>
        <c:auto val="1"/>
        <c:lblAlgn val="ctr"/>
        <c:lblOffset val="100"/>
      </c:catAx>
      <c:valAx>
        <c:axId val="94599424"/>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sz="1000" b="0" i="0" u="none" strike="noStrike" kern="1200" baseline="0">
                    <a:solidFill>
                      <a:sysClr val="windowText" lastClr="000000">
                        <a:lumMod val="65000"/>
                        <a:lumOff val="35000"/>
                      </a:sysClr>
                    </a:solidFill>
                  </a:rPr>
                  <a:t>Liczba bezrobotnych</a:t>
                </a:r>
              </a:p>
            </c:rich>
          </c:tx>
          <c:layout>
            <c:manualLayout>
              <c:xMode val="edge"/>
              <c:yMode val="edge"/>
              <c:x val="0.17190082644628096"/>
              <c:y val="6.380184258344225E-2"/>
            </c:manualLayout>
          </c:layout>
          <c:spPr>
            <a:noFill/>
            <a:ln>
              <a:noFill/>
            </a:ln>
            <a:effectLst/>
          </c:spPr>
        </c:title>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45975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pl-PL"/>
  <c:chart>
    <c:autoTitleDeleted val="1"/>
    <c:plotArea>
      <c:layout/>
      <c:barChart>
        <c:barDir val="col"/>
        <c:grouping val="clustered"/>
        <c:ser>
          <c:idx val="0"/>
          <c:order val="0"/>
          <c:tx>
            <c:strRef>
              <c:f>Arkusz1!$A$4</c:f>
              <c:strCache>
                <c:ptCount val="1"/>
                <c:pt idx="0">
                  <c:v>Wrocławski Obszar Funkcjonalny</c:v>
                </c:pt>
              </c:strCache>
            </c:strRef>
          </c:tx>
          <c:spPr>
            <a:solidFill>
              <a:srgbClr val="FFC000"/>
            </a:solidFill>
            <a:ln>
              <a:noFill/>
            </a:ln>
            <a:effectLst/>
          </c:spPr>
          <c:cat>
            <c:strRef>
              <c:f>Arkusz1!$B$3:$G$3</c:f>
              <c:strCache>
                <c:ptCount val="6"/>
                <c:pt idx="0">
                  <c:v>2018</c:v>
                </c:pt>
                <c:pt idx="1">
                  <c:v>2019</c:v>
                </c:pt>
                <c:pt idx="2">
                  <c:v>2020</c:v>
                </c:pt>
                <c:pt idx="3">
                  <c:v>2021</c:v>
                </c:pt>
                <c:pt idx="4">
                  <c:v>2022</c:v>
                </c:pt>
                <c:pt idx="5">
                  <c:v>2023</c:v>
                </c:pt>
              </c:strCache>
            </c:strRef>
          </c:cat>
          <c:val>
            <c:numRef>
              <c:f>Arkusz1!$B$4:$G$4</c:f>
              <c:numCache>
                <c:formatCode>General</c:formatCode>
                <c:ptCount val="6"/>
                <c:pt idx="0">
                  <c:v>561.30000000000007</c:v>
                </c:pt>
                <c:pt idx="1">
                  <c:v>548.70000000000005</c:v>
                </c:pt>
                <c:pt idx="2">
                  <c:v>520.70000000000005</c:v>
                </c:pt>
                <c:pt idx="3">
                  <c:v>517.5</c:v>
                </c:pt>
                <c:pt idx="4">
                  <c:v>527.1</c:v>
                </c:pt>
                <c:pt idx="5">
                  <c:v>522.5</c:v>
                </c:pt>
              </c:numCache>
            </c:numRef>
          </c:val>
          <c:extLst xmlns:c16r2="http://schemas.microsoft.com/office/drawing/2015/06/chart">
            <c:ext xmlns:c16="http://schemas.microsoft.com/office/drawing/2014/chart" uri="{C3380CC4-5D6E-409C-BE32-E72D297353CC}">
              <c16:uniqueId val="{00000000-EC9C-4F0C-82D2-46C763942CE7}"/>
            </c:ext>
          </c:extLst>
        </c:ser>
        <c:ser>
          <c:idx val="1"/>
          <c:order val="1"/>
          <c:tx>
            <c:strRef>
              <c:f>Arkusz1!$A$5</c:f>
              <c:strCache>
                <c:ptCount val="1"/>
                <c:pt idx="0">
                  <c:v>Metropolia Krakowska</c:v>
                </c:pt>
              </c:strCache>
            </c:strRef>
          </c:tx>
          <c:spPr>
            <a:solidFill>
              <a:schemeClr val="tx1"/>
            </a:solidFill>
            <a:ln>
              <a:noFill/>
            </a:ln>
            <a:effectLst/>
          </c:spPr>
          <c:cat>
            <c:strRef>
              <c:f>Arkusz1!$B$3:$G$3</c:f>
              <c:strCache>
                <c:ptCount val="6"/>
                <c:pt idx="0">
                  <c:v>2018</c:v>
                </c:pt>
                <c:pt idx="1">
                  <c:v>2019</c:v>
                </c:pt>
                <c:pt idx="2">
                  <c:v>2020</c:v>
                </c:pt>
                <c:pt idx="3">
                  <c:v>2021</c:v>
                </c:pt>
                <c:pt idx="4">
                  <c:v>2022</c:v>
                </c:pt>
                <c:pt idx="5">
                  <c:v>2023</c:v>
                </c:pt>
              </c:strCache>
            </c:strRef>
          </c:cat>
          <c:val>
            <c:numRef>
              <c:f>Arkusz1!$B$5:$G$5</c:f>
              <c:numCache>
                <c:formatCode>General</c:formatCode>
                <c:ptCount val="6"/>
                <c:pt idx="0">
                  <c:v>357.2</c:v>
                </c:pt>
                <c:pt idx="1">
                  <c:v>353.59999999999945</c:v>
                </c:pt>
                <c:pt idx="2">
                  <c:v>338.9</c:v>
                </c:pt>
                <c:pt idx="3">
                  <c:v>341.9</c:v>
                </c:pt>
                <c:pt idx="4">
                  <c:v>341.6</c:v>
                </c:pt>
                <c:pt idx="5">
                  <c:v>342.40000000000003</c:v>
                </c:pt>
              </c:numCache>
            </c:numRef>
          </c:val>
          <c:extLst xmlns:c16r2="http://schemas.microsoft.com/office/drawing/2015/06/chart">
            <c:ext xmlns:c16="http://schemas.microsoft.com/office/drawing/2014/chart" uri="{C3380CC4-5D6E-409C-BE32-E72D297353CC}">
              <c16:uniqueId val="{00000001-EC9C-4F0C-82D2-46C763942CE7}"/>
            </c:ext>
          </c:extLst>
        </c:ser>
        <c:ser>
          <c:idx val="2"/>
          <c:order val="2"/>
          <c:tx>
            <c:strRef>
              <c:f>Arkusz1!$A$6</c:f>
              <c:strCache>
                <c:ptCount val="1"/>
                <c:pt idx="0">
                  <c:v>Metropolia Poznań</c:v>
                </c:pt>
              </c:strCache>
            </c:strRef>
          </c:tx>
          <c:spPr>
            <a:solidFill>
              <a:srgbClr val="00B0F0"/>
            </a:solidFill>
            <a:ln>
              <a:noFill/>
            </a:ln>
            <a:effectLst/>
          </c:spPr>
          <c:cat>
            <c:strRef>
              <c:f>Arkusz1!$B$3:$G$3</c:f>
              <c:strCache>
                <c:ptCount val="6"/>
                <c:pt idx="0">
                  <c:v>2018</c:v>
                </c:pt>
                <c:pt idx="1">
                  <c:v>2019</c:v>
                </c:pt>
                <c:pt idx="2">
                  <c:v>2020</c:v>
                </c:pt>
                <c:pt idx="3">
                  <c:v>2021</c:v>
                </c:pt>
                <c:pt idx="4">
                  <c:v>2022</c:v>
                </c:pt>
                <c:pt idx="5">
                  <c:v>2023</c:v>
                </c:pt>
              </c:strCache>
            </c:strRef>
          </c:cat>
          <c:val>
            <c:numRef>
              <c:f>Arkusz1!$B$6:$G$6</c:f>
              <c:numCache>
                <c:formatCode>General</c:formatCode>
                <c:ptCount val="6"/>
                <c:pt idx="0">
                  <c:v>705.40000000000009</c:v>
                </c:pt>
                <c:pt idx="1">
                  <c:v>726</c:v>
                </c:pt>
                <c:pt idx="2">
                  <c:v>708.99999999999989</c:v>
                </c:pt>
                <c:pt idx="3">
                  <c:v>706.4</c:v>
                </c:pt>
                <c:pt idx="4">
                  <c:v>726.00000000000011</c:v>
                </c:pt>
                <c:pt idx="5">
                  <c:v>746.10000000000014</c:v>
                </c:pt>
              </c:numCache>
            </c:numRef>
          </c:val>
          <c:extLst xmlns:c16r2="http://schemas.microsoft.com/office/drawing/2015/06/chart">
            <c:ext xmlns:c16="http://schemas.microsoft.com/office/drawing/2014/chart" uri="{C3380CC4-5D6E-409C-BE32-E72D297353CC}">
              <c16:uniqueId val="{00000002-EC9C-4F0C-82D2-46C763942CE7}"/>
            </c:ext>
          </c:extLst>
        </c:ser>
        <c:dLbls/>
        <c:gapWidth val="219"/>
        <c:overlap val="-27"/>
        <c:axId val="94453120"/>
        <c:axId val="94467584"/>
      </c:barChart>
      <c:catAx>
        <c:axId val="94453120"/>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Lata</a:t>
                </a:r>
              </a:p>
            </c:rich>
          </c:tx>
          <c:layout>
            <c:manualLayout>
              <c:xMode val="edge"/>
              <c:yMode val="edge"/>
              <c:x val="0.52649536010996179"/>
              <c:y val="0.90234842565010964"/>
            </c:manualLayout>
          </c:layout>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4467584"/>
        <c:crosses val="autoZero"/>
        <c:auto val="1"/>
        <c:lblAlgn val="ctr"/>
        <c:lblOffset val="100"/>
      </c:catAx>
      <c:valAx>
        <c:axId val="94467584"/>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Powierzchnia</a:t>
                </a:r>
                <a:r>
                  <a:rPr lang="pl-PL" baseline="0"/>
                  <a:t> terenów</a:t>
                </a:r>
              </a:p>
              <a:p>
                <a:pPr>
                  <a:defRPr sz="1000" b="0" i="0" u="none" strike="noStrike" kern="1200" baseline="0">
                    <a:solidFill>
                      <a:schemeClr val="tx1">
                        <a:lumMod val="65000"/>
                        <a:lumOff val="35000"/>
                      </a:schemeClr>
                    </a:solidFill>
                    <a:latin typeface="+mn-lt"/>
                    <a:ea typeface="+mn-ea"/>
                    <a:cs typeface="+mn-cs"/>
                  </a:defRPr>
                </a:pPr>
                <a:r>
                  <a:rPr lang="pl-PL" baseline="0"/>
                  <a:t> zieleni w ha</a:t>
                </a:r>
                <a:endParaRPr lang="pl-PL"/>
              </a:p>
            </c:rich>
          </c:tx>
          <c:layout>
            <c:manualLayout>
              <c:xMode val="edge"/>
              <c:yMode val="edge"/>
              <c:x val="0.14987877452060833"/>
              <c:y val="2.1969758046455793E-2"/>
            </c:manualLayout>
          </c:layout>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44531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pl-PL"/>
  <c:chart>
    <c:autoTitleDeleted val="1"/>
    <c:plotArea>
      <c:layout/>
      <c:barChart>
        <c:barDir val="col"/>
        <c:grouping val="clustered"/>
        <c:ser>
          <c:idx val="0"/>
          <c:order val="0"/>
          <c:tx>
            <c:strRef>
              <c:f>Arkusz1!$A$18</c:f>
              <c:strCache>
                <c:ptCount val="1"/>
                <c:pt idx="0">
                  <c:v>Wrocławski Obszar Funkcjonalny</c:v>
                </c:pt>
              </c:strCache>
            </c:strRef>
          </c:tx>
          <c:spPr>
            <a:solidFill>
              <a:srgbClr val="FFC000"/>
            </a:solidFill>
            <a:ln>
              <a:noFill/>
            </a:ln>
            <a:effectLst/>
          </c:spPr>
          <c:cat>
            <c:strRef>
              <c:f>Arkusz1!$B$17:$G$17</c:f>
              <c:strCache>
                <c:ptCount val="6"/>
                <c:pt idx="0">
                  <c:v>2018</c:v>
                </c:pt>
                <c:pt idx="1">
                  <c:v>2019</c:v>
                </c:pt>
                <c:pt idx="2">
                  <c:v>2020</c:v>
                </c:pt>
                <c:pt idx="3">
                  <c:v>2021</c:v>
                </c:pt>
                <c:pt idx="4">
                  <c:v>2022</c:v>
                </c:pt>
                <c:pt idx="5">
                  <c:v>2023</c:v>
                </c:pt>
              </c:strCache>
            </c:strRef>
          </c:cat>
          <c:val>
            <c:numRef>
              <c:f>Arkusz1!$B$18:$G$18</c:f>
              <c:numCache>
                <c:formatCode>General</c:formatCode>
                <c:ptCount val="6"/>
                <c:pt idx="0">
                  <c:v>298.79999999999939</c:v>
                </c:pt>
                <c:pt idx="1">
                  <c:v>287.89999999999969</c:v>
                </c:pt>
                <c:pt idx="2">
                  <c:v>272.90000000000003</c:v>
                </c:pt>
                <c:pt idx="3">
                  <c:v>269.5</c:v>
                </c:pt>
                <c:pt idx="4">
                  <c:v>279.70000000000005</c:v>
                </c:pt>
                <c:pt idx="5">
                  <c:v>277.10000000000002</c:v>
                </c:pt>
              </c:numCache>
            </c:numRef>
          </c:val>
          <c:extLst xmlns:c16r2="http://schemas.microsoft.com/office/drawing/2015/06/chart">
            <c:ext xmlns:c16="http://schemas.microsoft.com/office/drawing/2014/chart" uri="{C3380CC4-5D6E-409C-BE32-E72D297353CC}">
              <c16:uniqueId val="{00000000-4056-4BE7-986F-1D1C3CAC8521}"/>
            </c:ext>
          </c:extLst>
        </c:ser>
        <c:ser>
          <c:idx val="1"/>
          <c:order val="1"/>
          <c:tx>
            <c:strRef>
              <c:f>Arkusz1!$A$19</c:f>
              <c:strCache>
                <c:ptCount val="1"/>
                <c:pt idx="0">
                  <c:v>Metropolia Krakowska</c:v>
                </c:pt>
              </c:strCache>
            </c:strRef>
          </c:tx>
          <c:spPr>
            <a:solidFill>
              <a:schemeClr val="tx1"/>
            </a:solidFill>
            <a:ln>
              <a:noFill/>
            </a:ln>
            <a:effectLst/>
          </c:spPr>
          <c:cat>
            <c:strRef>
              <c:f>Arkusz1!$B$17:$G$17</c:f>
              <c:strCache>
                <c:ptCount val="6"/>
                <c:pt idx="0">
                  <c:v>2018</c:v>
                </c:pt>
                <c:pt idx="1">
                  <c:v>2019</c:v>
                </c:pt>
                <c:pt idx="2">
                  <c:v>2020</c:v>
                </c:pt>
                <c:pt idx="3">
                  <c:v>2021</c:v>
                </c:pt>
                <c:pt idx="4">
                  <c:v>2022</c:v>
                </c:pt>
                <c:pt idx="5">
                  <c:v>2023</c:v>
                </c:pt>
              </c:strCache>
            </c:strRef>
          </c:cat>
          <c:val>
            <c:numRef>
              <c:f>Arkusz1!$B$19:$G$19</c:f>
              <c:numCache>
                <c:formatCode>General</c:formatCode>
                <c:ptCount val="6"/>
                <c:pt idx="0">
                  <c:v>95.8</c:v>
                </c:pt>
                <c:pt idx="1">
                  <c:v>95.899999999999991</c:v>
                </c:pt>
                <c:pt idx="2">
                  <c:v>91.7</c:v>
                </c:pt>
                <c:pt idx="3">
                  <c:v>88.8</c:v>
                </c:pt>
                <c:pt idx="4">
                  <c:v>90.4</c:v>
                </c:pt>
                <c:pt idx="5">
                  <c:v>92.899999999999991</c:v>
                </c:pt>
              </c:numCache>
            </c:numRef>
          </c:val>
          <c:extLst xmlns:c16r2="http://schemas.microsoft.com/office/drawing/2015/06/chart">
            <c:ext xmlns:c16="http://schemas.microsoft.com/office/drawing/2014/chart" uri="{C3380CC4-5D6E-409C-BE32-E72D297353CC}">
              <c16:uniqueId val="{00000001-4056-4BE7-986F-1D1C3CAC8521}"/>
            </c:ext>
          </c:extLst>
        </c:ser>
        <c:ser>
          <c:idx val="2"/>
          <c:order val="2"/>
          <c:tx>
            <c:strRef>
              <c:f>Arkusz1!$A$20</c:f>
              <c:strCache>
                <c:ptCount val="1"/>
                <c:pt idx="0">
                  <c:v>Metropolia Poznań</c:v>
                </c:pt>
              </c:strCache>
            </c:strRef>
          </c:tx>
          <c:spPr>
            <a:solidFill>
              <a:srgbClr val="00B0F0"/>
            </a:solidFill>
            <a:ln>
              <a:noFill/>
            </a:ln>
            <a:effectLst/>
          </c:spPr>
          <c:cat>
            <c:strRef>
              <c:f>Arkusz1!$B$17:$G$17</c:f>
              <c:strCache>
                <c:ptCount val="6"/>
                <c:pt idx="0">
                  <c:v>2018</c:v>
                </c:pt>
                <c:pt idx="1">
                  <c:v>2019</c:v>
                </c:pt>
                <c:pt idx="2">
                  <c:v>2020</c:v>
                </c:pt>
                <c:pt idx="3">
                  <c:v>2021</c:v>
                </c:pt>
                <c:pt idx="4">
                  <c:v>2022</c:v>
                </c:pt>
                <c:pt idx="5">
                  <c:v>2023</c:v>
                </c:pt>
              </c:strCache>
            </c:strRef>
          </c:cat>
          <c:val>
            <c:numRef>
              <c:f>Arkusz1!$B$20:$G$20</c:f>
              <c:numCache>
                <c:formatCode>General</c:formatCode>
                <c:ptCount val="6"/>
                <c:pt idx="0">
                  <c:v>552.20000000000005</c:v>
                </c:pt>
                <c:pt idx="1">
                  <c:v>562.19999999999993</c:v>
                </c:pt>
                <c:pt idx="2">
                  <c:v>558.29999999999995</c:v>
                </c:pt>
                <c:pt idx="3">
                  <c:v>565</c:v>
                </c:pt>
                <c:pt idx="4">
                  <c:v>577.20000000000005</c:v>
                </c:pt>
                <c:pt idx="5">
                  <c:v>599.70000000000005</c:v>
                </c:pt>
              </c:numCache>
            </c:numRef>
          </c:val>
          <c:extLst xmlns:c16r2="http://schemas.microsoft.com/office/drawing/2015/06/chart">
            <c:ext xmlns:c16="http://schemas.microsoft.com/office/drawing/2014/chart" uri="{C3380CC4-5D6E-409C-BE32-E72D297353CC}">
              <c16:uniqueId val="{00000002-4056-4BE7-986F-1D1C3CAC8521}"/>
            </c:ext>
          </c:extLst>
        </c:ser>
        <c:dLbls/>
        <c:gapWidth val="219"/>
        <c:overlap val="-27"/>
        <c:axId val="94313472"/>
        <c:axId val="94327936"/>
      </c:barChart>
      <c:catAx>
        <c:axId val="94313472"/>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Lata</a:t>
                </a:r>
              </a:p>
            </c:rich>
          </c:tx>
          <c:layout>
            <c:manualLayout>
              <c:xMode val="edge"/>
              <c:yMode val="edge"/>
              <c:x val="0.52209690161386935"/>
              <c:y val="0.89153432547274258"/>
            </c:manualLayout>
          </c:layout>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4327936"/>
        <c:crosses val="autoZero"/>
        <c:auto val="1"/>
        <c:lblAlgn val="ctr"/>
        <c:lblOffset val="100"/>
      </c:catAx>
      <c:valAx>
        <c:axId val="94327936"/>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sz="1000" b="0" i="0" u="none" strike="noStrike" baseline="0">
                    <a:effectLst/>
                  </a:rPr>
                  <a:t>Powierzchnia parków, z</a:t>
                </a:r>
              </a:p>
              <a:p>
                <a:pPr>
                  <a:defRPr sz="1000" b="0" i="0" u="none" strike="noStrike" kern="1200" baseline="0">
                    <a:solidFill>
                      <a:schemeClr val="tx1">
                        <a:lumMod val="65000"/>
                        <a:lumOff val="35000"/>
                      </a:schemeClr>
                    </a:solidFill>
                    <a:latin typeface="+mn-lt"/>
                    <a:ea typeface="+mn-ea"/>
                    <a:cs typeface="+mn-cs"/>
                  </a:defRPr>
                </a:pPr>
                <a:r>
                  <a:rPr lang="pl-PL" sz="1000" b="0" i="0" u="none" strike="noStrike" baseline="0">
                    <a:effectLst/>
                  </a:rPr>
                  <a:t>ieleńców i terenów zieleni osiedlowej  w ha</a:t>
                </a:r>
                <a:endParaRPr lang="pl-PL"/>
              </a:p>
            </c:rich>
          </c:tx>
          <c:layout>
            <c:manualLayout>
              <c:xMode val="edge"/>
              <c:yMode val="edge"/>
              <c:x val="0.1631753031973539"/>
              <c:y val="0"/>
            </c:manualLayout>
          </c:layout>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43134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pl-PL"/>
  <c:chart>
    <c:autoTitleDeleted val="1"/>
    <c:plotArea>
      <c:layout/>
      <c:barChart>
        <c:barDir val="col"/>
        <c:grouping val="clustered"/>
        <c:ser>
          <c:idx val="0"/>
          <c:order val="0"/>
          <c:tx>
            <c:strRef>
              <c:f>Arkusz1!$A$13</c:f>
              <c:strCache>
                <c:ptCount val="1"/>
                <c:pt idx="0">
                  <c:v>Wrocławski obszar funkcjonalny</c:v>
                </c:pt>
              </c:strCache>
            </c:strRef>
          </c:tx>
          <c:spPr>
            <a:solidFill>
              <a:srgbClr val="FFC000"/>
            </a:solidFill>
            <a:ln>
              <a:noFill/>
            </a:ln>
            <a:effectLst/>
          </c:spPr>
          <c:cat>
            <c:strRef>
              <c:f>Arkusz1!$B$12:$G$12</c:f>
              <c:strCache>
                <c:ptCount val="6"/>
                <c:pt idx="0">
                  <c:v>2018</c:v>
                </c:pt>
                <c:pt idx="1">
                  <c:v>2019</c:v>
                </c:pt>
                <c:pt idx="2">
                  <c:v>2020</c:v>
                </c:pt>
                <c:pt idx="3">
                  <c:v>2021</c:v>
                </c:pt>
                <c:pt idx="4">
                  <c:v>2022</c:v>
                </c:pt>
                <c:pt idx="5">
                  <c:v>2023</c:v>
                </c:pt>
              </c:strCache>
            </c:strRef>
          </c:cat>
          <c:val>
            <c:numRef>
              <c:f>Arkusz1!$B$13:$G$13</c:f>
              <c:numCache>
                <c:formatCode>#,##0.00</c:formatCode>
                <c:ptCount val="6"/>
                <c:pt idx="0">
                  <c:v>413517.85</c:v>
                </c:pt>
                <c:pt idx="1">
                  <c:v>451144.44</c:v>
                </c:pt>
                <c:pt idx="2">
                  <c:v>431803.7</c:v>
                </c:pt>
                <c:pt idx="3">
                  <c:v>505711.12</c:v>
                </c:pt>
                <c:pt idx="4">
                  <c:v>485421.67000000004</c:v>
                </c:pt>
                <c:pt idx="5">
                  <c:v>465801.79000000015</c:v>
                </c:pt>
              </c:numCache>
            </c:numRef>
          </c:val>
          <c:extLst xmlns:c16r2="http://schemas.microsoft.com/office/drawing/2015/06/chart">
            <c:ext xmlns:c16="http://schemas.microsoft.com/office/drawing/2014/chart" uri="{C3380CC4-5D6E-409C-BE32-E72D297353CC}">
              <c16:uniqueId val="{00000000-BB72-4051-BDE0-EF6306AAA482}"/>
            </c:ext>
          </c:extLst>
        </c:ser>
        <c:ser>
          <c:idx val="1"/>
          <c:order val="1"/>
          <c:tx>
            <c:strRef>
              <c:f>Arkusz1!$A$14</c:f>
              <c:strCache>
                <c:ptCount val="1"/>
                <c:pt idx="0">
                  <c:v>Metropolia Krakowska</c:v>
                </c:pt>
              </c:strCache>
            </c:strRef>
          </c:tx>
          <c:spPr>
            <a:solidFill>
              <a:schemeClr val="tx1"/>
            </a:solidFill>
            <a:ln>
              <a:noFill/>
            </a:ln>
            <a:effectLst/>
          </c:spPr>
          <c:cat>
            <c:strRef>
              <c:f>Arkusz1!$B$12:$G$12</c:f>
              <c:strCache>
                <c:ptCount val="6"/>
                <c:pt idx="0">
                  <c:v>2018</c:v>
                </c:pt>
                <c:pt idx="1">
                  <c:v>2019</c:v>
                </c:pt>
                <c:pt idx="2">
                  <c:v>2020</c:v>
                </c:pt>
                <c:pt idx="3">
                  <c:v>2021</c:v>
                </c:pt>
                <c:pt idx="4">
                  <c:v>2022</c:v>
                </c:pt>
                <c:pt idx="5">
                  <c:v>2023</c:v>
                </c:pt>
              </c:strCache>
            </c:strRef>
          </c:cat>
          <c:val>
            <c:numRef>
              <c:f>Arkusz1!$B$14:$G$14</c:f>
              <c:numCache>
                <c:formatCode>#,##0.00</c:formatCode>
                <c:ptCount val="6"/>
                <c:pt idx="0">
                  <c:v>430545.68</c:v>
                </c:pt>
                <c:pt idx="1">
                  <c:v>407562.7900000001</c:v>
                </c:pt>
                <c:pt idx="2">
                  <c:v>443703.44</c:v>
                </c:pt>
                <c:pt idx="3">
                  <c:v>461959.08999999997</c:v>
                </c:pt>
                <c:pt idx="4">
                  <c:v>488237.44</c:v>
                </c:pt>
                <c:pt idx="5">
                  <c:v>508304.5</c:v>
                </c:pt>
              </c:numCache>
            </c:numRef>
          </c:val>
          <c:extLst xmlns:c16r2="http://schemas.microsoft.com/office/drawing/2015/06/chart">
            <c:ext xmlns:c16="http://schemas.microsoft.com/office/drawing/2014/chart" uri="{C3380CC4-5D6E-409C-BE32-E72D297353CC}">
              <c16:uniqueId val="{00000001-BB72-4051-BDE0-EF6306AAA482}"/>
            </c:ext>
          </c:extLst>
        </c:ser>
        <c:ser>
          <c:idx val="2"/>
          <c:order val="2"/>
          <c:tx>
            <c:strRef>
              <c:f>Arkusz1!$A$15</c:f>
              <c:strCache>
                <c:ptCount val="1"/>
                <c:pt idx="0">
                  <c:v>Metropolia Poznań</c:v>
                </c:pt>
              </c:strCache>
            </c:strRef>
          </c:tx>
          <c:spPr>
            <a:solidFill>
              <a:srgbClr val="00B0F0"/>
            </a:solidFill>
            <a:ln>
              <a:noFill/>
            </a:ln>
            <a:effectLst/>
          </c:spPr>
          <c:cat>
            <c:strRef>
              <c:f>Arkusz1!$B$12:$G$12</c:f>
              <c:strCache>
                <c:ptCount val="6"/>
                <c:pt idx="0">
                  <c:v>2018</c:v>
                </c:pt>
                <c:pt idx="1">
                  <c:v>2019</c:v>
                </c:pt>
                <c:pt idx="2">
                  <c:v>2020</c:v>
                </c:pt>
                <c:pt idx="3">
                  <c:v>2021</c:v>
                </c:pt>
                <c:pt idx="4">
                  <c:v>2022</c:v>
                </c:pt>
                <c:pt idx="5">
                  <c:v>2023</c:v>
                </c:pt>
              </c:strCache>
            </c:strRef>
          </c:cat>
          <c:val>
            <c:numRef>
              <c:f>Arkusz1!$B$15:$G$15</c:f>
              <c:numCache>
                <c:formatCode>#,##0.00</c:formatCode>
                <c:ptCount val="6"/>
                <c:pt idx="0">
                  <c:v>529060.56000000029</c:v>
                </c:pt>
                <c:pt idx="1">
                  <c:v>548416.28999999934</c:v>
                </c:pt>
                <c:pt idx="2">
                  <c:v>570290.43999999971</c:v>
                </c:pt>
                <c:pt idx="3">
                  <c:v>615470.16</c:v>
                </c:pt>
                <c:pt idx="4">
                  <c:v>652977.4300000004</c:v>
                </c:pt>
                <c:pt idx="5">
                  <c:v>664186.16999999981</c:v>
                </c:pt>
              </c:numCache>
            </c:numRef>
          </c:val>
          <c:extLst xmlns:c16r2="http://schemas.microsoft.com/office/drawing/2015/06/chart">
            <c:ext xmlns:c16="http://schemas.microsoft.com/office/drawing/2014/chart" uri="{C3380CC4-5D6E-409C-BE32-E72D297353CC}">
              <c16:uniqueId val="{00000002-BB72-4051-BDE0-EF6306AAA482}"/>
            </c:ext>
          </c:extLst>
        </c:ser>
        <c:dLbls/>
        <c:gapWidth val="219"/>
        <c:overlap val="-27"/>
        <c:axId val="94640384"/>
        <c:axId val="94654848"/>
      </c:barChart>
      <c:catAx>
        <c:axId val="94640384"/>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Lata </a:t>
                </a:r>
              </a:p>
            </c:rich>
          </c:tx>
          <c:layout>
            <c:manualLayout>
              <c:xMode val="edge"/>
              <c:yMode val="edge"/>
              <c:x val="0.5413157598442333"/>
              <c:y val="0.90276944549029015"/>
            </c:manualLayout>
          </c:layout>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4654848"/>
        <c:crosses val="autoZero"/>
        <c:auto val="1"/>
        <c:lblAlgn val="ctr"/>
        <c:lblOffset val="100"/>
      </c:catAx>
      <c:valAx>
        <c:axId val="94654848"/>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b="0"/>
                  <a:t>Odpady wytworzone </a:t>
                </a:r>
              </a:p>
              <a:p>
                <a:pPr>
                  <a:defRPr sz="1000" b="0" i="0" u="none" strike="noStrike" kern="1200" baseline="0">
                    <a:solidFill>
                      <a:schemeClr val="tx1">
                        <a:lumMod val="65000"/>
                        <a:lumOff val="35000"/>
                      </a:schemeClr>
                    </a:solidFill>
                    <a:latin typeface="+mn-lt"/>
                    <a:ea typeface="+mn-ea"/>
                    <a:cs typeface="+mn-cs"/>
                  </a:defRPr>
                </a:pPr>
                <a:r>
                  <a:rPr lang="pl-PL" b="0"/>
                  <a:t>w ciągu roku w tonach</a:t>
                </a:r>
              </a:p>
            </c:rich>
          </c:tx>
          <c:layout>
            <c:manualLayout>
              <c:xMode val="edge"/>
              <c:yMode val="edge"/>
              <c:x val="9.7099841686455898E-2"/>
              <c:y val="0.1642817172656009"/>
            </c:manualLayout>
          </c:layout>
          <c:spPr>
            <a:noFill/>
            <a:ln>
              <a:noFill/>
            </a:ln>
            <a:effectLst/>
          </c:spPr>
        </c:title>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46403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pl-PL"/>
  <c:chart>
    <c:autoTitleDeleted val="1"/>
    <c:plotArea>
      <c:layout/>
      <c:barChart>
        <c:barDir val="col"/>
        <c:grouping val="clustered"/>
        <c:ser>
          <c:idx val="0"/>
          <c:order val="0"/>
          <c:tx>
            <c:strRef>
              <c:f>Arkusz1!$D$6</c:f>
              <c:strCache>
                <c:ptCount val="1"/>
                <c:pt idx="0">
                  <c:v>0-4</c:v>
                </c:pt>
              </c:strCache>
            </c:strRef>
          </c:tx>
          <c:spPr>
            <a:solidFill>
              <a:schemeClr val="accent1"/>
            </a:solidFill>
            <a:ln>
              <a:noFill/>
            </a:ln>
            <a:effectLst/>
          </c:spPr>
          <c:cat>
            <c:numRef>
              <c:f>Arkusz1!$E$5:$I$5</c:f>
              <c:numCache>
                <c:formatCode>General</c:formatCode>
                <c:ptCount val="5"/>
                <c:pt idx="0">
                  <c:v>2013</c:v>
                </c:pt>
                <c:pt idx="1">
                  <c:v>2023</c:v>
                </c:pt>
                <c:pt idx="2">
                  <c:v>2033</c:v>
                </c:pt>
                <c:pt idx="3">
                  <c:v>2043</c:v>
                </c:pt>
                <c:pt idx="4">
                  <c:v>2053</c:v>
                </c:pt>
              </c:numCache>
            </c:numRef>
          </c:cat>
          <c:val>
            <c:numRef>
              <c:f>Arkusz1!$E$6:$I$6</c:f>
              <c:numCache>
                <c:formatCode>#,##0</c:formatCode>
                <c:ptCount val="5"/>
                <c:pt idx="0">
                  <c:v>50755</c:v>
                </c:pt>
                <c:pt idx="1">
                  <c:v>53396</c:v>
                </c:pt>
                <c:pt idx="2" formatCode="0">
                  <c:v>44982.496610883209</c:v>
                </c:pt>
                <c:pt idx="3" formatCode="0">
                  <c:v>56284.615443751121</c:v>
                </c:pt>
                <c:pt idx="4" formatCode="0">
                  <c:v>59945.44888001353</c:v>
                </c:pt>
              </c:numCache>
            </c:numRef>
          </c:val>
          <c:extLst xmlns:c16r2="http://schemas.microsoft.com/office/drawing/2015/06/chart">
            <c:ext xmlns:c16="http://schemas.microsoft.com/office/drawing/2014/chart" uri="{C3380CC4-5D6E-409C-BE32-E72D297353CC}">
              <c16:uniqueId val="{00000000-84C6-49FB-9157-1E2CDF98B8B6}"/>
            </c:ext>
          </c:extLst>
        </c:ser>
        <c:ser>
          <c:idx val="1"/>
          <c:order val="1"/>
          <c:tx>
            <c:strRef>
              <c:f>Arkusz1!$D$7</c:f>
              <c:strCache>
                <c:ptCount val="1"/>
                <c:pt idx="0">
                  <c:v>5-9</c:v>
                </c:pt>
              </c:strCache>
            </c:strRef>
          </c:tx>
          <c:spPr>
            <a:solidFill>
              <a:schemeClr val="accent2"/>
            </a:solidFill>
            <a:ln>
              <a:noFill/>
            </a:ln>
            <a:effectLst/>
          </c:spPr>
          <c:cat>
            <c:numRef>
              <c:f>Arkusz1!$E$5:$I$5</c:f>
              <c:numCache>
                <c:formatCode>General</c:formatCode>
                <c:ptCount val="5"/>
                <c:pt idx="0">
                  <c:v>2013</c:v>
                </c:pt>
                <c:pt idx="1">
                  <c:v>2023</c:v>
                </c:pt>
                <c:pt idx="2">
                  <c:v>2033</c:v>
                </c:pt>
                <c:pt idx="3">
                  <c:v>2043</c:v>
                </c:pt>
                <c:pt idx="4">
                  <c:v>2053</c:v>
                </c:pt>
              </c:numCache>
            </c:numRef>
          </c:cat>
          <c:val>
            <c:numRef>
              <c:f>Arkusz1!$E$7:$I$7</c:f>
              <c:numCache>
                <c:formatCode>#,##0</c:formatCode>
                <c:ptCount val="5"/>
                <c:pt idx="0">
                  <c:v>45358</c:v>
                </c:pt>
                <c:pt idx="1">
                  <c:v>58372</c:v>
                </c:pt>
                <c:pt idx="2" formatCode="0">
                  <c:v>76901.1485864243</c:v>
                </c:pt>
                <c:pt idx="3" formatCode="0">
                  <c:v>63156.501767665963</c:v>
                </c:pt>
                <c:pt idx="4" formatCode="0">
                  <c:v>71755.701255121618</c:v>
                </c:pt>
              </c:numCache>
            </c:numRef>
          </c:val>
          <c:extLst xmlns:c16r2="http://schemas.microsoft.com/office/drawing/2015/06/chart">
            <c:ext xmlns:c16="http://schemas.microsoft.com/office/drawing/2014/chart" uri="{C3380CC4-5D6E-409C-BE32-E72D297353CC}">
              <c16:uniqueId val="{00000001-84C6-49FB-9157-1E2CDF98B8B6}"/>
            </c:ext>
          </c:extLst>
        </c:ser>
        <c:ser>
          <c:idx val="2"/>
          <c:order val="2"/>
          <c:tx>
            <c:strRef>
              <c:f>Arkusz1!$D$8</c:f>
              <c:strCache>
                <c:ptCount val="1"/>
                <c:pt idx="0">
                  <c:v>10-14</c:v>
                </c:pt>
              </c:strCache>
            </c:strRef>
          </c:tx>
          <c:spPr>
            <a:solidFill>
              <a:schemeClr val="accent3"/>
            </a:solidFill>
            <a:ln>
              <a:noFill/>
            </a:ln>
            <a:effectLst/>
          </c:spPr>
          <c:cat>
            <c:numRef>
              <c:f>Arkusz1!$E$5:$I$5</c:f>
              <c:numCache>
                <c:formatCode>General</c:formatCode>
                <c:ptCount val="5"/>
                <c:pt idx="0">
                  <c:v>2013</c:v>
                </c:pt>
                <c:pt idx="1">
                  <c:v>2023</c:v>
                </c:pt>
                <c:pt idx="2">
                  <c:v>2033</c:v>
                </c:pt>
                <c:pt idx="3">
                  <c:v>2043</c:v>
                </c:pt>
                <c:pt idx="4">
                  <c:v>2053</c:v>
                </c:pt>
              </c:numCache>
            </c:numRef>
          </c:cat>
          <c:val>
            <c:numRef>
              <c:f>Arkusz1!$E$8:$I$8</c:f>
              <c:numCache>
                <c:formatCode>#,##0</c:formatCode>
                <c:ptCount val="5"/>
                <c:pt idx="0">
                  <c:v>36822</c:v>
                </c:pt>
                <c:pt idx="1">
                  <c:v>54460</c:v>
                </c:pt>
                <c:pt idx="2" formatCode="0">
                  <c:v>57293.787016057533</c:v>
                </c:pt>
                <c:pt idx="3" formatCode="0">
                  <c:v>48266.116942738685</c:v>
                </c:pt>
                <c:pt idx="4" formatCode="0">
                  <c:v>60393.264842216304</c:v>
                </c:pt>
              </c:numCache>
            </c:numRef>
          </c:val>
          <c:extLst xmlns:c16r2="http://schemas.microsoft.com/office/drawing/2015/06/chart">
            <c:ext xmlns:c16="http://schemas.microsoft.com/office/drawing/2014/chart" uri="{C3380CC4-5D6E-409C-BE32-E72D297353CC}">
              <c16:uniqueId val="{00000002-84C6-49FB-9157-1E2CDF98B8B6}"/>
            </c:ext>
          </c:extLst>
        </c:ser>
        <c:ser>
          <c:idx val="3"/>
          <c:order val="3"/>
          <c:tx>
            <c:strRef>
              <c:f>Arkusz1!$D$9</c:f>
              <c:strCache>
                <c:ptCount val="1"/>
                <c:pt idx="0">
                  <c:v>15-19</c:v>
                </c:pt>
              </c:strCache>
            </c:strRef>
          </c:tx>
          <c:spPr>
            <a:solidFill>
              <a:schemeClr val="accent4"/>
            </a:solidFill>
            <a:ln>
              <a:noFill/>
            </a:ln>
            <a:effectLst/>
          </c:spPr>
          <c:cat>
            <c:numRef>
              <c:f>Arkusz1!$E$5:$I$5</c:f>
              <c:numCache>
                <c:formatCode>General</c:formatCode>
                <c:ptCount val="5"/>
                <c:pt idx="0">
                  <c:v>2013</c:v>
                </c:pt>
                <c:pt idx="1">
                  <c:v>2023</c:v>
                </c:pt>
                <c:pt idx="2">
                  <c:v>2033</c:v>
                </c:pt>
                <c:pt idx="3">
                  <c:v>2043</c:v>
                </c:pt>
                <c:pt idx="4">
                  <c:v>2053</c:v>
                </c:pt>
              </c:numCache>
            </c:numRef>
          </c:cat>
          <c:val>
            <c:numRef>
              <c:f>Arkusz1!$E$9:$I$9</c:f>
              <c:numCache>
                <c:formatCode>#,##0</c:formatCode>
                <c:ptCount val="5"/>
                <c:pt idx="0">
                  <c:v>42241</c:v>
                </c:pt>
                <c:pt idx="1">
                  <c:v>45976</c:v>
                </c:pt>
                <c:pt idx="2" formatCode="0">
                  <c:v>59167.314960977143</c:v>
                </c:pt>
                <c:pt idx="3" formatCode="0">
                  <c:v>77948.922073491849</c:v>
                </c:pt>
                <c:pt idx="4" formatCode="0">
                  <c:v>64017.005275149146</c:v>
                </c:pt>
              </c:numCache>
            </c:numRef>
          </c:val>
          <c:extLst xmlns:c16r2="http://schemas.microsoft.com/office/drawing/2015/06/chart">
            <c:ext xmlns:c16="http://schemas.microsoft.com/office/drawing/2014/chart" uri="{C3380CC4-5D6E-409C-BE32-E72D297353CC}">
              <c16:uniqueId val="{00000003-84C6-49FB-9157-1E2CDF98B8B6}"/>
            </c:ext>
          </c:extLst>
        </c:ser>
        <c:ser>
          <c:idx val="4"/>
          <c:order val="4"/>
          <c:tx>
            <c:strRef>
              <c:f>Arkusz1!$D$10</c:f>
              <c:strCache>
                <c:ptCount val="1"/>
                <c:pt idx="0">
                  <c:v>20-24</c:v>
                </c:pt>
              </c:strCache>
            </c:strRef>
          </c:tx>
          <c:spPr>
            <a:solidFill>
              <a:schemeClr val="accent5"/>
            </a:solidFill>
            <a:ln>
              <a:noFill/>
            </a:ln>
            <a:effectLst/>
          </c:spPr>
          <c:cat>
            <c:numRef>
              <c:f>Arkusz1!$E$5:$I$5</c:f>
              <c:numCache>
                <c:formatCode>General</c:formatCode>
                <c:ptCount val="5"/>
                <c:pt idx="0">
                  <c:v>2013</c:v>
                </c:pt>
                <c:pt idx="1">
                  <c:v>2023</c:v>
                </c:pt>
                <c:pt idx="2">
                  <c:v>2033</c:v>
                </c:pt>
                <c:pt idx="3">
                  <c:v>2043</c:v>
                </c:pt>
                <c:pt idx="4">
                  <c:v>2053</c:v>
                </c:pt>
              </c:numCache>
            </c:numRef>
          </c:cat>
          <c:val>
            <c:numRef>
              <c:f>Arkusz1!$E$10:$I$10</c:f>
              <c:numCache>
                <c:formatCode>#,##0</c:formatCode>
                <c:ptCount val="5"/>
                <c:pt idx="0">
                  <c:v>57952</c:v>
                </c:pt>
                <c:pt idx="1">
                  <c:v>43120</c:v>
                </c:pt>
                <c:pt idx="2" formatCode="0">
                  <c:v>63774.786812231818</c:v>
                </c:pt>
                <c:pt idx="3" formatCode="0">
                  <c:v>67093.262075183244</c:v>
                </c:pt>
                <c:pt idx="4" formatCode="0">
                  <c:v>56521.507864072897</c:v>
                </c:pt>
              </c:numCache>
            </c:numRef>
          </c:val>
          <c:extLst xmlns:c16r2="http://schemas.microsoft.com/office/drawing/2015/06/chart">
            <c:ext xmlns:c16="http://schemas.microsoft.com/office/drawing/2014/chart" uri="{C3380CC4-5D6E-409C-BE32-E72D297353CC}">
              <c16:uniqueId val="{00000004-84C6-49FB-9157-1E2CDF98B8B6}"/>
            </c:ext>
          </c:extLst>
        </c:ser>
        <c:ser>
          <c:idx val="5"/>
          <c:order val="5"/>
          <c:tx>
            <c:strRef>
              <c:f>Arkusz1!$D$11</c:f>
              <c:strCache>
                <c:ptCount val="1"/>
                <c:pt idx="0">
                  <c:v>25-29</c:v>
                </c:pt>
              </c:strCache>
            </c:strRef>
          </c:tx>
          <c:spPr>
            <a:solidFill>
              <a:schemeClr val="accent6"/>
            </a:solidFill>
            <a:ln>
              <a:noFill/>
            </a:ln>
            <a:effectLst/>
          </c:spPr>
          <c:cat>
            <c:numRef>
              <c:f>Arkusz1!$E$5:$I$5</c:f>
              <c:numCache>
                <c:formatCode>General</c:formatCode>
                <c:ptCount val="5"/>
                <c:pt idx="0">
                  <c:v>2013</c:v>
                </c:pt>
                <c:pt idx="1">
                  <c:v>2023</c:v>
                </c:pt>
                <c:pt idx="2">
                  <c:v>2033</c:v>
                </c:pt>
                <c:pt idx="3">
                  <c:v>2043</c:v>
                </c:pt>
                <c:pt idx="4">
                  <c:v>2053</c:v>
                </c:pt>
              </c:numCache>
            </c:numRef>
          </c:cat>
          <c:val>
            <c:numRef>
              <c:f>Arkusz1!$E$11:$I$11</c:f>
              <c:numCache>
                <c:formatCode>#,##0</c:formatCode>
                <c:ptCount val="5"/>
                <c:pt idx="0">
                  <c:v>82245</c:v>
                </c:pt>
                <c:pt idx="1">
                  <c:v>71710</c:v>
                </c:pt>
                <c:pt idx="2" formatCode="0">
                  <c:v>78050.684406145796</c:v>
                </c:pt>
                <c:pt idx="3" formatCode="0">
                  <c:v>100444.78482639305</c:v>
                </c:pt>
                <c:pt idx="4" formatCode="0">
                  <c:v>132329.18732724371</c:v>
                </c:pt>
              </c:numCache>
            </c:numRef>
          </c:val>
          <c:extLst xmlns:c16r2="http://schemas.microsoft.com/office/drawing/2015/06/chart">
            <c:ext xmlns:c16="http://schemas.microsoft.com/office/drawing/2014/chart" uri="{C3380CC4-5D6E-409C-BE32-E72D297353CC}">
              <c16:uniqueId val="{00000005-84C6-49FB-9157-1E2CDF98B8B6}"/>
            </c:ext>
          </c:extLst>
        </c:ser>
        <c:ser>
          <c:idx val="6"/>
          <c:order val="6"/>
          <c:tx>
            <c:strRef>
              <c:f>Arkusz1!$D$12</c:f>
              <c:strCache>
                <c:ptCount val="1"/>
                <c:pt idx="0">
                  <c:v>30-34</c:v>
                </c:pt>
              </c:strCache>
            </c:strRef>
          </c:tx>
          <c:spPr>
            <a:solidFill>
              <a:schemeClr val="accent1">
                <a:lumMod val="60000"/>
              </a:schemeClr>
            </a:solidFill>
            <a:ln>
              <a:noFill/>
            </a:ln>
            <a:effectLst/>
          </c:spPr>
          <c:cat>
            <c:numRef>
              <c:f>Arkusz1!$E$5:$I$5</c:f>
              <c:numCache>
                <c:formatCode>General</c:formatCode>
                <c:ptCount val="5"/>
                <c:pt idx="0">
                  <c:v>2013</c:v>
                </c:pt>
                <c:pt idx="1">
                  <c:v>2023</c:v>
                </c:pt>
                <c:pt idx="2">
                  <c:v>2033</c:v>
                </c:pt>
                <c:pt idx="3">
                  <c:v>2043</c:v>
                </c:pt>
                <c:pt idx="4">
                  <c:v>2053</c:v>
                </c:pt>
              </c:numCache>
            </c:numRef>
          </c:cat>
          <c:val>
            <c:numRef>
              <c:f>Arkusz1!$E$12:$I$12</c:f>
              <c:numCache>
                <c:formatCode>#,##0</c:formatCode>
                <c:ptCount val="5"/>
                <c:pt idx="0">
                  <c:v>92232</c:v>
                </c:pt>
                <c:pt idx="1">
                  <c:v>94051</c:v>
                </c:pt>
                <c:pt idx="2" formatCode="0">
                  <c:v>69979.968249585858</c:v>
                </c:pt>
                <c:pt idx="3" formatCode="0">
                  <c:v>103500.87097041025</c:v>
                </c:pt>
                <c:pt idx="4" formatCode="0">
                  <c:v>108886.46451258057</c:v>
                </c:pt>
              </c:numCache>
            </c:numRef>
          </c:val>
          <c:extLst xmlns:c16r2="http://schemas.microsoft.com/office/drawing/2015/06/chart">
            <c:ext xmlns:c16="http://schemas.microsoft.com/office/drawing/2014/chart" uri="{C3380CC4-5D6E-409C-BE32-E72D297353CC}">
              <c16:uniqueId val="{00000006-84C6-49FB-9157-1E2CDF98B8B6}"/>
            </c:ext>
          </c:extLst>
        </c:ser>
        <c:ser>
          <c:idx val="7"/>
          <c:order val="7"/>
          <c:tx>
            <c:strRef>
              <c:f>Arkusz1!$D$13</c:f>
              <c:strCache>
                <c:ptCount val="1"/>
                <c:pt idx="0">
                  <c:v>35-39</c:v>
                </c:pt>
              </c:strCache>
            </c:strRef>
          </c:tx>
          <c:spPr>
            <a:solidFill>
              <a:schemeClr val="accent2">
                <a:lumMod val="60000"/>
              </a:schemeClr>
            </a:solidFill>
            <a:ln>
              <a:noFill/>
            </a:ln>
            <a:effectLst/>
          </c:spPr>
          <c:cat>
            <c:numRef>
              <c:f>Arkusz1!$E$5:$I$5</c:f>
              <c:numCache>
                <c:formatCode>General</c:formatCode>
                <c:ptCount val="5"/>
                <c:pt idx="0">
                  <c:v>2013</c:v>
                </c:pt>
                <c:pt idx="1">
                  <c:v>2023</c:v>
                </c:pt>
                <c:pt idx="2">
                  <c:v>2033</c:v>
                </c:pt>
                <c:pt idx="3">
                  <c:v>2043</c:v>
                </c:pt>
                <c:pt idx="4">
                  <c:v>2053</c:v>
                </c:pt>
              </c:numCache>
            </c:numRef>
          </c:cat>
          <c:val>
            <c:numRef>
              <c:f>Arkusz1!$E$13:$I$13</c:f>
              <c:numCache>
                <c:formatCode>#,##0</c:formatCode>
                <c:ptCount val="5"/>
                <c:pt idx="0">
                  <c:v>81460</c:v>
                </c:pt>
                <c:pt idx="1">
                  <c:v>102260</c:v>
                </c:pt>
                <c:pt idx="2" formatCode="0">
                  <c:v>89161.220742902326</c:v>
                </c:pt>
                <c:pt idx="3" formatCode="0">
                  <c:v>97044.963066112919</c:v>
                </c:pt>
                <c:pt idx="4" formatCode="0">
                  <c:v>124888.85277338384</c:v>
                </c:pt>
              </c:numCache>
            </c:numRef>
          </c:val>
          <c:extLst xmlns:c16r2="http://schemas.microsoft.com/office/drawing/2015/06/chart">
            <c:ext xmlns:c16="http://schemas.microsoft.com/office/drawing/2014/chart" uri="{C3380CC4-5D6E-409C-BE32-E72D297353CC}">
              <c16:uniqueId val="{00000007-84C6-49FB-9157-1E2CDF98B8B6}"/>
            </c:ext>
          </c:extLst>
        </c:ser>
        <c:ser>
          <c:idx val="8"/>
          <c:order val="8"/>
          <c:tx>
            <c:strRef>
              <c:f>Arkusz1!$D$14</c:f>
              <c:strCache>
                <c:ptCount val="1"/>
                <c:pt idx="0">
                  <c:v>40-44</c:v>
                </c:pt>
              </c:strCache>
            </c:strRef>
          </c:tx>
          <c:spPr>
            <a:solidFill>
              <a:schemeClr val="accent3">
                <a:lumMod val="60000"/>
              </a:schemeClr>
            </a:solidFill>
            <a:ln>
              <a:noFill/>
            </a:ln>
            <a:effectLst/>
          </c:spPr>
          <c:cat>
            <c:numRef>
              <c:f>Arkusz1!$E$5:$I$5</c:f>
              <c:numCache>
                <c:formatCode>General</c:formatCode>
                <c:ptCount val="5"/>
                <c:pt idx="0">
                  <c:v>2013</c:v>
                </c:pt>
                <c:pt idx="1">
                  <c:v>2023</c:v>
                </c:pt>
                <c:pt idx="2">
                  <c:v>2033</c:v>
                </c:pt>
                <c:pt idx="3">
                  <c:v>2043</c:v>
                </c:pt>
                <c:pt idx="4">
                  <c:v>2053</c:v>
                </c:pt>
              </c:numCache>
            </c:numRef>
          </c:cat>
          <c:val>
            <c:numRef>
              <c:f>Arkusz1!$E$14:$I$14</c:f>
              <c:numCache>
                <c:formatCode>#,##0</c:formatCode>
                <c:ptCount val="5"/>
                <c:pt idx="0">
                  <c:v>62275</c:v>
                </c:pt>
                <c:pt idx="1">
                  <c:v>99068</c:v>
                </c:pt>
                <c:pt idx="2" formatCode="0">
                  <c:v>101021.81962876228</c:v>
                </c:pt>
                <c:pt idx="3" formatCode="0">
                  <c:v>75166.704555360018</c:v>
                </c:pt>
                <c:pt idx="4" formatCode="0">
                  <c:v>111172.09087189475</c:v>
                </c:pt>
              </c:numCache>
            </c:numRef>
          </c:val>
          <c:extLst xmlns:c16r2="http://schemas.microsoft.com/office/drawing/2015/06/chart">
            <c:ext xmlns:c16="http://schemas.microsoft.com/office/drawing/2014/chart" uri="{C3380CC4-5D6E-409C-BE32-E72D297353CC}">
              <c16:uniqueId val="{00000008-84C6-49FB-9157-1E2CDF98B8B6}"/>
            </c:ext>
          </c:extLst>
        </c:ser>
        <c:ser>
          <c:idx val="9"/>
          <c:order val="9"/>
          <c:tx>
            <c:strRef>
              <c:f>Arkusz1!$D$15</c:f>
              <c:strCache>
                <c:ptCount val="1"/>
                <c:pt idx="0">
                  <c:v>45-49</c:v>
                </c:pt>
              </c:strCache>
            </c:strRef>
          </c:tx>
          <c:spPr>
            <a:solidFill>
              <a:schemeClr val="accent4">
                <a:lumMod val="60000"/>
              </a:schemeClr>
            </a:solidFill>
            <a:ln>
              <a:noFill/>
            </a:ln>
            <a:effectLst/>
          </c:spPr>
          <c:cat>
            <c:numRef>
              <c:f>Arkusz1!$E$5:$I$5</c:f>
              <c:numCache>
                <c:formatCode>General</c:formatCode>
                <c:ptCount val="5"/>
                <c:pt idx="0">
                  <c:v>2013</c:v>
                </c:pt>
                <c:pt idx="1">
                  <c:v>2023</c:v>
                </c:pt>
                <c:pt idx="2">
                  <c:v>2033</c:v>
                </c:pt>
                <c:pt idx="3">
                  <c:v>2043</c:v>
                </c:pt>
                <c:pt idx="4">
                  <c:v>2053</c:v>
                </c:pt>
              </c:numCache>
            </c:numRef>
          </c:cat>
          <c:val>
            <c:numRef>
              <c:f>Arkusz1!$E$15:$I$15</c:f>
              <c:numCache>
                <c:formatCode>#,##0</c:formatCode>
                <c:ptCount val="5"/>
                <c:pt idx="0">
                  <c:v>51809</c:v>
                </c:pt>
                <c:pt idx="1">
                  <c:v>82755</c:v>
                </c:pt>
                <c:pt idx="2" formatCode="0">
                  <c:v>103885.66535723055</c:v>
                </c:pt>
                <c:pt idx="3" formatCode="0">
                  <c:v>90578.649921174569</c:v>
                </c:pt>
                <c:pt idx="4" formatCode="0">
                  <c:v>98587.723036289899</c:v>
                </c:pt>
              </c:numCache>
            </c:numRef>
          </c:val>
          <c:extLst xmlns:c16r2="http://schemas.microsoft.com/office/drawing/2015/06/chart">
            <c:ext xmlns:c16="http://schemas.microsoft.com/office/drawing/2014/chart" uri="{C3380CC4-5D6E-409C-BE32-E72D297353CC}">
              <c16:uniqueId val="{00000009-84C6-49FB-9157-1E2CDF98B8B6}"/>
            </c:ext>
          </c:extLst>
        </c:ser>
        <c:ser>
          <c:idx val="10"/>
          <c:order val="10"/>
          <c:tx>
            <c:strRef>
              <c:f>Arkusz1!$D$16</c:f>
              <c:strCache>
                <c:ptCount val="1"/>
                <c:pt idx="0">
                  <c:v>50-54</c:v>
                </c:pt>
              </c:strCache>
            </c:strRef>
          </c:tx>
          <c:spPr>
            <a:solidFill>
              <a:schemeClr val="accent5">
                <a:lumMod val="60000"/>
              </a:schemeClr>
            </a:solidFill>
            <a:ln>
              <a:noFill/>
            </a:ln>
            <a:effectLst/>
          </c:spPr>
          <c:cat>
            <c:numRef>
              <c:f>Arkusz1!$E$5:$I$5</c:f>
              <c:numCache>
                <c:formatCode>General</c:formatCode>
                <c:ptCount val="5"/>
                <c:pt idx="0">
                  <c:v>2013</c:v>
                </c:pt>
                <c:pt idx="1">
                  <c:v>2023</c:v>
                </c:pt>
                <c:pt idx="2">
                  <c:v>2033</c:v>
                </c:pt>
                <c:pt idx="3">
                  <c:v>2043</c:v>
                </c:pt>
                <c:pt idx="4">
                  <c:v>2053</c:v>
                </c:pt>
              </c:numCache>
            </c:numRef>
          </c:cat>
          <c:val>
            <c:numRef>
              <c:f>Arkusz1!$E$16:$I$16</c:f>
              <c:numCache>
                <c:formatCode>#,##0</c:formatCode>
                <c:ptCount val="5"/>
                <c:pt idx="0">
                  <c:v>57830</c:v>
                </c:pt>
                <c:pt idx="1">
                  <c:v>61603</c:v>
                </c:pt>
                <c:pt idx="2" formatCode="0">
                  <c:v>97998.972364512243</c:v>
                </c:pt>
                <c:pt idx="3" formatCode="0">
                  <c:v>99931.708624498453</c:v>
                </c:pt>
                <c:pt idx="4" formatCode="0">
                  <c:v>74355.592143297399</c:v>
                </c:pt>
              </c:numCache>
            </c:numRef>
          </c:val>
          <c:extLst xmlns:c16r2="http://schemas.microsoft.com/office/drawing/2015/06/chart">
            <c:ext xmlns:c16="http://schemas.microsoft.com/office/drawing/2014/chart" uri="{C3380CC4-5D6E-409C-BE32-E72D297353CC}">
              <c16:uniqueId val="{0000000A-84C6-49FB-9157-1E2CDF98B8B6}"/>
            </c:ext>
          </c:extLst>
        </c:ser>
        <c:ser>
          <c:idx val="11"/>
          <c:order val="11"/>
          <c:tx>
            <c:strRef>
              <c:f>Arkusz1!$D$17</c:f>
              <c:strCache>
                <c:ptCount val="1"/>
                <c:pt idx="0">
                  <c:v>55-59</c:v>
                </c:pt>
              </c:strCache>
            </c:strRef>
          </c:tx>
          <c:spPr>
            <a:solidFill>
              <a:schemeClr val="accent6">
                <a:lumMod val="60000"/>
              </a:schemeClr>
            </a:solidFill>
            <a:ln>
              <a:noFill/>
            </a:ln>
            <a:effectLst/>
          </c:spPr>
          <c:cat>
            <c:numRef>
              <c:f>Arkusz1!$E$5:$I$5</c:f>
              <c:numCache>
                <c:formatCode>General</c:formatCode>
                <c:ptCount val="5"/>
                <c:pt idx="0">
                  <c:v>2013</c:v>
                </c:pt>
                <c:pt idx="1">
                  <c:v>2023</c:v>
                </c:pt>
                <c:pt idx="2">
                  <c:v>2033</c:v>
                </c:pt>
                <c:pt idx="3">
                  <c:v>2043</c:v>
                </c:pt>
                <c:pt idx="4">
                  <c:v>2053</c:v>
                </c:pt>
              </c:numCache>
            </c:numRef>
          </c:cat>
          <c:val>
            <c:numRef>
              <c:f>Arkusz1!$E$17:$I$17</c:f>
              <c:numCache>
                <c:formatCode>#,##0</c:formatCode>
                <c:ptCount val="5"/>
                <c:pt idx="0">
                  <c:v>73332</c:v>
                </c:pt>
                <c:pt idx="1">
                  <c:v>49243</c:v>
                </c:pt>
                <c:pt idx="2" formatCode="0">
                  <c:v>78656.304213553638</c:v>
                </c:pt>
                <c:pt idx="3" formatCode="0">
                  <c:v>98740.408407537383</c:v>
                </c:pt>
                <c:pt idx="4" formatCode="0">
                  <c:v>86092.46382034781</c:v>
                </c:pt>
              </c:numCache>
            </c:numRef>
          </c:val>
          <c:extLst xmlns:c16r2="http://schemas.microsoft.com/office/drawing/2015/06/chart">
            <c:ext xmlns:c16="http://schemas.microsoft.com/office/drawing/2014/chart" uri="{C3380CC4-5D6E-409C-BE32-E72D297353CC}">
              <c16:uniqueId val="{0000000B-84C6-49FB-9157-1E2CDF98B8B6}"/>
            </c:ext>
          </c:extLst>
        </c:ser>
        <c:ser>
          <c:idx val="12"/>
          <c:order val="12"/>
          <c:tx>
            <c:strRef>
              <c:f>Arkusz1!$D$18</c:f>
              <c:strCache>
                <c:ptCount val="1"/>
                <c:pt idx="0">
                  <c:v>60-64</c:v>
                </c:pt>
              </c:strCache>
            </c:strRef>
          </c:tx>
          <c:spPr>
            <a:solidFill>
              <a:schemeClr val="accent1">
                <a:lumMod val="80000"/>
                <a:lumOff val="20000"/>
              </a:schemeClr>
            </a:solidFill>
            <a:ln>
              <a:noFill/>
            </a:ln>
            <a:effectLst/>
          </c:spPr>
          <c:cat>
            <c:numRef>
              <c:f>Arkusz1!$E$5:$I$5</c:f>
              <c:numCache>
                <c:formatCode>General</c:formatCode>
                <c:ptCount val="5"/>
                <c:pt idx="0">
                  <c:v>2013</c:v>
                </c:pt>
                <c:pt idx="1">
                  <c:v>2023</c:v>
                </c:pt>
                <c:pt idx="2">
                  <c:v>2033</c:v>
                </c:pt>
                <c:pt idx="3">
                  <c:v>2043</c:v>
                </c:pt>
                <c:pt idx="4">
                  <c:v>2053</c:v>
                </c:pt>
              </c:numCache>
            </c:numRef>
          </c:cat>
          <c:val>
            <c:numRef>
              <c:f>Arkusz1!$E$18:$I$18</c:f>
              <c:numCache>
                <c:formatCode>#,##0</c:formatCode>
                <c:ptCount val="5"/>
                <c:pt idx="0">
                  <c:v>70925</c:v>
                </c:pt>
                <c:pt idx="1">
                  <c:v>53058</c:v>
                </c:pt>
                <c:pt idx="2" formatCode="0">
                  <c:v>56519.660625972676</c:v>
                </c:pt>
                <c:pt idx="3" formatCode="0">
                  <c:v>89912.32017493165</c:v>
                </c:pt>
                <c:pt idx="4" formatCode="0">
                  <c:v>91685.571436946979</c:v>
                </c:pt>
              </c:numCache>
            </c:numRef>
          </c:val>
          <c:extLst xmlns:c16r2="http://schemas.microsoft.com/office/drawing/2015/06/chart">
            <c:ext xmlns:c16="http://schemas.microsoft.com/office/drawing/2014/chart" uri="{C3380CC4-5D6E-409C-BE32-E72D297353CC}">
              <c16:uniqueId val="{0000000C-84C6-49FB-9157-1E2CDF98B8B6}"/>
            </c:ext>
          </c:extLst>
        </c:ser>
        <c:ser>
          <c:idx val="13"/>
          <c:order val="13"/>
          <c:tx>
            <c:strRef>
              <c:f>Arkusz1!$D$19</c:f>
              <c:strCache>
                <c:ptCount val="1"/>
                <c:pt idx="0">
                  <c:v>65-69</c:v>
                </c:pt>
              </c:strCache>
            </c:strRef>
          </c:tx>
          <c:spPr>
            <a:solidFill>
              <a:schemeClr val="accent2">
                <a:lumMod val="80000"/>
                <a:lumOff val="20000"/>
              </a:schemeClr>
            </a:solidFill>
            <a:ln>
              <a:noFill/>
            </a:ln>
            <a:effectLst/>
          </c:spPr>
          <c:cat>
            <c:numRef>
              <c:f>Arkusz1!$E$5:$I$5</c:f>
              <c:numCache>
                <c:formatCode>General</c:formatCode>
                <c:ptCount val="5"/>
                <c:pt idx="0">
                  <c:v>2013</c:v>
                </c:pt>
                <c:pt idx="1">
                  <c:v>2023</c:v>
                </c:pt>
                <c:pt idx="2">
                  <c:v>2033</c:v>
                </c:pt>
                <c:pt idx="3">
                  <c:v>2043</c:v>
                </c:pt>
                <c:pt idx="4">
                  <c:v>2053</c:v>
                </c:pt>
              </c:numCache>
            </c:numRef>
          </c:cat>
          <c:val>
            <c:numRef>
              <c:f>Arkusz1!$E$19:$I$19</c:f>
              <c:numCache>
                <c:formatCode>#,##0</c:formatCode>
                <c:ptCount val="5"/>
                <c:pt idx="0">
                  <c:v>46850</c:v>
                </c:pt>
                <c:pt idx="1">
                  <c:v>64018</c:v>
                </c:pt>
                <c:pt idx="2" formatCode="0">
                  <c:v>42988.577619593081</c:v>
                </c:pt>
                <c:pt idx="3" formatCode="0">
                  <c:v>68666.056880260585</c:v>
                </c:pt>
                <c:pt idx="4" formatCode="0">
                  <c:v>86199.250878657709</c:v>
                </c:pt>
              </c:numCache>
            </c:numRef>
          </c:val>
          <c:extLst xmlns:c16r2="http://schemas.microsoft.com/office/drawing/2015/06/chart">
            <c:ext xmlns:c16="http://schemas.microsoft.com/office/drawing/2014/chart" uri="{C3380CC4-5D6E-409C-BE32-E72D297353CC}">
              <c16:uniqueId val="{0000000D-84C6-49FB-9157-1E2CDF98B8B6}"/>
            </c:ext>
          </c:extLst>
        </c:ser>
        <c:ser>
          <c:idx val="14"/>
          <c:order val="14"/>
          <c:tx>
            <c:strRef>
              <c:f>Arkusz1!$D$20</c:f>
              <c:strCache>
                <c:ptCount val="1"/>
                <c:pt idx="0">
                  <c:v>70-74</c:v>
                </c:pt>
              </c:strCache>
            </c:strRef>
          </c:tx>
          <c:spPr>
            <a:solidFill>
              <a:schemeClr val="accent3">
                <a:lumMod val="80000"/>
                <a:lumOff val="20000"/>
              </a:schemeClr>
            </a:solidFill>
            <a:ln>
              <a:noFill/>
            </a:ln>
            <a:effectLst/>
          </c:spPr>
          <c:cat>
            <c:numRef>
              <c:f>Arkusz1!$E$5:$I$5</c:f>
              <c:numCache>
                <c:formatCode>General</c:formatCode>
                <c:ptCount val="5"/>
                <c:pt idx="0">
                  <c:v>2013</c:v>
                </c:pt>
                <c:pt idx="1">
                  <c:v>2023</c:v>
                </c:pt>
                <c:pt idx="2">
                  <c:v>2033</c:v>
                </c:pt>
                <c:pt idx="3">
                  <c:v>2043</c:v>
                </c:pt>
                <c:pt idx="4">
                  <c:v>2053</c:v>
                </c:pt>
              </c:numCache>
            </c:numRef>
          </c:cat>
          <c:val>
            <c:numRef>
              <c:f>Arkusz1!$E$20:$I$20</c:f>
              <c:numCache>
                <c:formatCode>#,##0</c:formatCode>
                <c:ptCount val="5"/>
                <c:pt idx="0">
                  <c:v>30348</c:v>
                </c:pt>
                <c:pt idx="1">
                  <c:v>58063</c:v>
                </c:pt>
                <c:pt idx="2" formatCode="0">
                  <c:v>43436.117786394083</c:v>
                </c:pt>
                <c:pt idx="3" formatCode="0">
                  <c:v>46270.018398672612</c:v>
                </c:pt>
                <c:pt idx="4" formatCode="0">
                  <c:v>73607.03625402943</c:v>
                </c:pt>
              </c:numCache>
            </c:numRef>
          </c:val>
          <c:extLst xmlns:c16r2="http://schemas.microsoft.com/office/drawing/2015/06/chart">
            <c:ext xmlns:c16="http://schemas.microsoft.com/office/drawing/2014/chart" uri="{C3380CC4-5D6E-409C-BE32-E72D297353CC}">
              <c16:uniqueId val="{0000000E-84C6-49FB-9157-1E2CDF98B8B6}"/>
            </c:ext>
          </c:extLst>
        </c:ser>
        <c:ser>
          <c:idx val="15"/>
          <c:order val="15"/>
          <c:tx>
            <c:strRef>
              <c:f>Arkusz1!$D$21</c:f>
              <c:strCache>
                <c:ptCount val="1"/>
                <c:pt idx="0">
                  <c:v>75-79</c:v>
                </c:pt>
              </c:strCache>
            </c:strRef>
          </c:tx>
          <c:spPr>
            <a:solidFill>
              <a:schemeClr val="accent4">
                <a:lumMod val="80000"/>
                <a:lumOff val="20000"/>
              </a:schemeClr>
            </a:solidFill>
            <a:ln>
              <a:noFill/>
            </a:ln>
            <a:effectLst/>
          </c:spPr>
          <c:cat>
            <c:numRef>
              <c:f>Arkusz1!$E$5:$I$5</c:f>
              <c:numCache>
                <c:formatCode>General</c:formatCode>
                <c:ptCount val="5"/>
                <c:pt idx="0">
                  <c:v>2013</c:v>
                </c:pt>
                <c:pt idx="1">
                  <c:v>2023</c:v>
                </c:pt>
                <c:pt idx="2">
                  <c:v>2033</c:v>
                </c:pt>
                <c:pt idx="3">
                  <c:v>2043</c:v>
                </c:pt>
                <c:pt idx="4">
                  <c:v>2053</c:v>
                </c:pt>
              </c:numCache>
            </c:numRef>
          </c:cat>
          <c:val>
            <c:numRef>
              <c:f>Arkusz1!$E$21:$I$21</c:f>
              <c:numCache>
                <c:formatCode>#,##0</c:formatCode>
                <c:ptCount val="5"/>
                <c:pt idx="0">
                  <c:v>29052</c:v>
                </c:pt>
                <c:pt idx="1">
                  <c:v>35589</c:v>
                </c:pt>
                <c:pt idx="2" formatCode="0">
                  <c:v>48630.450416222047</c:v>
                </c:pt>
                <c:pt idx="3" formatCode="0">
                  <c:v>32655.720147357486</c:v>
                </c:pt>
                <c:pt idx="4" formatCode="0">
                  <c:v>52161.287050407635</c:v>
                </c:pt>
              </c:numCache>
            </c:numRef>
          </c:val>
          <c:extLst xmlns:c16r2="http://schemas.microsoft.com/office/drawing/2015/06/chart">
            <c:ext xmlns:c16="http://schemas.microsoft.com/office/drawing/2014/chart" uri="{C3380CC4-5D6E-409C-BE32-E72D297353CC}">
              <c16:uniqueId val="{0000000F-84C6-49FB-9157-1E2CDF98B8B6}"/>
            </c:ext>
          </c:extLst>
        </c:ser>
        <c:ser>
          <c:idx val="16"/>
          <c:order val="16"/>
          <c:tx>
            <c:strRef>
              <c:f>Arkusz1!$D$22</c:f>
              <c:strCache>
                <c:ptCount val="1"/>
                <c:pt idx="0">
                  <c:v>80-84</c:v>
                </c:pt>
              </c:strCache>
            </c:strRef>
          </c:tx>
          <c:spPr>
            <a:solidFill>
              <a:schemeClr val="accent5">
                <a:lumMod val="80000"/>
                <a:lumOff val="20000"/>
              </a:schemeClr>
            </a:solidFill>
            <a:ln>
              <a:noFill/>
            </a:ln>
            <a:effectLst/>
          </c:spPr>
          <c:cat>
            <c:numRef>
              <c:f>Arkusz1!$E$5:$I$5</c:f>
              <c:numCache>
                <c:formatCode>General</c:formatCode>
                <c:ptCount val="5"/>
                <c:pt idx="0">
                  <c:v>2013</c:v>
                </c:pt>
                <c:pt idx="1">
                  <c:v>2023</c:v>
                </c:pt>
                <c:pt idx="2">
                  <c:v>2033</c:v>
                </c:pt>
                <c:pt idx="3">
                  <c:v>2043</c:v>
                </c:pt>
                <c:pt idx="4">
                  <c:v>2053</c:v>
                </c:pt>
              </c:numCache>
            </c:numRef>
          </c:cat>
          <c:val>
            <c:numRef>
              <c:f>Arkusz1!$E$22:$I$22</c:f>
              <c:numCache>
                <c:formatCode>#,##0</c:formatCode>
                <c:ptCount val="5"/>
                <c:pt idx="0">
                  <c:v>23177</c:v>
                </c:pt>
                <c:pt idx="1">
                  <c:v>20163</c:v>
                </c:pt>
                <c:pt idx="2" formatCode="0">
                  <c:v>38576.653123764285</c:v>
                </c:pt>
                <c:pt idx="3" formatCode="0">
                  <c:v>28858.654373502817</c:v>
                </c:pt>
                <c:pt idx="4" formatCode="0">
                  <c:v>30741.478218414228</c:v>
                </c:pt>
              </c:numCache>
            </c:numRef>
          </c:val>
          <c:extLst xmlns:c16r2="http://schemas.microsoft.com/office/drawing/2015/06/chart">
            <c:ext xmlns:c16="http://schemas.microsoft.com/office/drawing/2014/chart" uri="{C3380CC4-5D6E-409C-BE32-E72D297353CC}">
              <c16:uniqueId val="{00000010-84C6-49FB-9157-1E2CDF98B8B6}"/>
            </c:ext>
          </c:extLst>
        </c:ser>
        <c:ser>
          <c:idx val="17"/>
          <c:order val="17"/>
          <c:tx>
            <c:strRef>
              <c:f>Arkusz1!$D$23</c:f>
              <c:strCache>
                <c:ptCount val="1"/>
                <c:pt idx="0">
                  <c:v>85 i więcej</c:v>
                </c:pt>
              </c:strCache>
            </c:strRef>
          </c:tx>
          <c:spPr>
            <a:solidFill>
              <a:schemeClr val="accent6">
                <a:lumMod val="80000"/>
                <a:lumOff val="20000"/>
              </a:schemeClr>
            </a:solidFill>
            <a:ln>
              <a:noFill/>
            </a:ln>
            <a:effectLst/>
          </c:spPr>
          <c:cat>
            <c:numRef>
              <c:f>Arkusz1!$E$5:$I$5</c:f>
              <c:numCache>
                <c:formatCode>General</c:formatCode>
                <c:ptCount val="5"/>
                <c:pt idx="0">
                  <c:v>2013</c:v>
                </c:pt>
                <c:pt idx="1">
                  <c:v>2023</c:v>
                </c:pt>
                <c:pt idx="2">
                  <c:v>2033</c:v>
                </c:pt>
                <c:pt idx="3">
                  <c:v>2043</c:v>
                </c:pt>
                <c:pt idx="4">
                  <c:v>2053</c:v>
                </c:pt>
              </c:numCache>
            </c:numRef>
          </c:cat>
          <c:val>
            <c:numRef>
              <c:f>Arkusz1!$E$23:$I$23</c:f>
              <c:numCache>
                <c:formatCode>#,##0</c:formatCode>
                <c:ptCount val="5"/>
                <c:pt idx="0">
                  <c:v>18228</c:v>
                </c:pt>
                <c:pt idx="1">
                  <c:v>23820</c:v>
                </c:pt>
                <c:pt idx="2" formatCode="0">
                  <c:v>43671.495972738536</c:v>
                </c:pt>
                <c:pt idx="3" formatCode="0">
                  <c:v>48949.060787193172</c:v>
                </c:pt>
                <c:pt idx="4" formatCode="0">
                  <c:v>51319.299085452614</c:v>
                </c:pt>
              </c:numCache>
            </c:numRef>
          </c:val>
          <c:extLst xmlns:c16r2="http://schemas.microsoft.com/office/drawing/2015/06/chart">
            <c:ext xmlns:c16="http://schemas.microsoft.com/office/drawing/2014/chart" uri="{C3380CC4-5D6E-409C-BE32-E72D297353CC}">
              <c16:uniqueId val="{00000011-84C6-49FB-9157-1E2CDF98B8B6}"/>
            </c:ext>
          </c:extLst>
        </c:ser>
        <c:dLbls/>
        <c:gapWidth val="219"/>
        <c:overlap val="-27"/>
        <c:axId val="237138688"/>
        <c:axId val="237140608"/>
      </c:barChart>
      <c:catAx>
        <c:axId val="237138688"/>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Rok prognozy</a:t>
                </a:r>
              </a:p>
            </c:rich>
          </c:tx>
          <c:layout/>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37140608"/>
        <c:crosses val="autoZero"/>
        <c:auto val="1"/>
        <c:lblAlgn val="ctr"/>
        <c:lblOffset val="100"/>
      </c:catAx>
      <c:valAx>
        <c:axId val="237140608"/>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Liczba osób</a:t>
                </a:r>
              </a:p>
            </c:rich>
          </c:tx>
          <c:layout/>
          <c:spPr>
            <a:noFill/>
            <a:ln>
              <a:noFill/>
            </a:ln>
            <a:effectLst/>
          </c:spPr>
        </c:title>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37138688"/>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pl-PL"/>
  <c:chart>
    <c:autoTitleDeleted val="1"/>
    <c:plotArea>
      <c:layout/>
      <c:barChart>
        <c:barDir val="col"/>
        <c:grouping val="clustered"/>
        <c:ser>
          <c:idx val="0"/>
          <c:order val="0"/>
          <c:tx>
            <c:strRef>
              <c:f>Arkusz1!$E$29</c:f>
              <c:strCache>
                <c:ptCount val="1"/>
                <c:pt idx="0">
                  <c:v>2013</c:v>
                </c:pt>
              </c:strCache>
            </c:strRef>
          </c:tx>
          <c:spPr>
            <a:solidFill>
              <a:schemeClr val="accent1"/>
            </a:solidFill>
            <a:ln>
              <a:noFill/>
            </a:ln>
            <a:effectLst/>
          </c:spPr>
          <c:cat>
            <c:strRef>
              <c:f>Arkusz1!$D$30:$D$39</c:f>
              <c:strCache>
                <c:ptCount val="10"/>
                <c:pt idx="0">
                  <c:v>0-4</c:v>
                </c:pt>
                <c:pt idx="1">
                  <c:v>5-14</c:v>
                </c:pt>
                <c:pt idx="2">
                  <c:v>15-19</c:v>
                </c:pt>
                <c:pt idx="3">
                  <c:v>20-39</c:v>
                </c:pt>
                <c:pt idx="4">
                  <c:v>40-59</c:v>
                </c:pt>
                <c:pt idx="5">
                  <c:v>20-64</c:v>
                </c:pt>
                <c:pt idx="6">
                  <c:v>pow. 60</c:v>
                </c:pt>
                <c:pt idx="7">
                  <c:v>pow. 70</c:v>
                </c:pt>
                <c:pt idx="8">
                  <c:v>pow. 80</c:v>
                </c:pt>
                <c:pt idx="9">
                  <c:v>Ogółem</c:v>
                </c:pt>
              </c:strCache>
            </c:strRef>
          </c:cat>
          <c:val>
            <c:numRef>
              <c:f>Arkusz1!$E$30:$E$39</c:f>
              <c:numCache>
                <c:formatCode>#,##0</c:formatCode>
                <c:ptCount val="10"/>
                <c:pt idx="0">
                  <c:v>50755</c:v>
                </c:pt>
                <c:pt idx="1">
                  <c:v>82180</c:v>
                </c:pt>
                <c:pt idx="2">
                  <c:v>42241</c:v>
                </c:pt>
                <c:pt idx="3">
                  <c:v>313889</c:v>
                </c:pt>
                <c:pt idx="4">
                  <c:v>245246</c:v>
                </c:pt>
                <c:pt idx="5">
                  <c:v>630060</c:v>
                </c:pt>
                <c:pt idx="6">
                  <c:v>218580</c:v>
                </c:pt>
                <c:pt idx="7">
                  <c:v>100805</c:v>
                </c:pt>
                <c:pt idx="8">
                  <c:v>41405</c:v>
                </c:pt>
                <c:pt idx="9">
                  <c:v>952891</c:v>
                </c:pt>
              </c:numCache>
            </c:numRef>
          </c:val>
          <c:extLst xmlns:c16r2="http://schemas.microsoft.com/office/drawing/2015/06/chart">
            <c:ext xmlns:c16="http://schemas.microsoft.com/office/drawing/2014/chart" uri="{C3380CC4-5D6E-409C-BE32-E72D297353CC}">
              <c16:uniqueId val="{00000000-9CB4-4625-B69A-3EAC7401BC46}"/>
            </c:ext>
          </c:extLst>
        </c:ser>
        <c:ser>
          <c:idx val="1"/>
          <c:order val="1"/>
          <c:tx>
            <c:strRef>
              <c:f>Arkusz1!$F$29</c:f>
              <c:strCache>
                <c:ptCount val="1"/>
                <c:pt idx="0">
                  <c:v>2023</c:v>
                </c:pt>
              </c:strCache>
            </c:strRef>
          </c:tx>
          <c:spPr>
            <a:solidFill>
              <a:schemeClr val="accent2"/>
            </a:solidFill>
            <a:ln>
              <a:noFill/>
            </a:ln>
            <a:effectLst/>
          </c:spPr>
          <c:cat>
            <c:strRef>
              <c:f>Arkusz1!$D$30:$D$39</c:f>
              <c:strCache>
                <c:ptCount val="10"/>
                <c:pt idx="0">
                  <c:v>0-4</c:v>
                </c:pt>
                <c:pt idx="1">
                  <c:v>5-14</c:v>
                </c:pt>
                <c:pt idx="2">
                  <c:v>15-19</c:v>
                </c:pt>
                <c:pt idx="3">
                  <c:v>20-39</c:v>
                </c:pt>
                <c:pt idx="4">
                  <c:v>40-59</c:v>
                </c:pt>
                <c:pt idx="5">
                  <c:v>20-64</c:v>
                </c:pt>
                <c:pt idx="6">
                  <c:v>pow. 60</c:v>
                </c:pt>
                <c:pt idx="7">
                  <c:v>pow. 70</c:v>
                </c:pt>
                <c:pt idx="8">
                  <c:v>pow. 80</c:v>
                </c:pt>
                <c:pt idx="9">
                  <c:v>Ogółem</c:v>
                </c:pt>
              </c:strCache>
            </c:strRef>
          </c:cat>
          <c:val>
            <c:numRef>
              <c:f>Arkusz1!$F$30:$F$39</c:f>
              <c:numCache>
                <c:formatCode>#,##0</c:formatCode>
                <c:ptCount val="10"/>
                <c:pt idx="0">
                  <c:v>53396</c:v>
                </c:pt>
                <c:pt idx="1">
                  <c:v>112832</c:v>
                </c:pt>
                <c:pt idx="2">
                  <c:v>45976</c:v>
                </c:pt>
                <c:pt idx="3">
                  <c:v>311141</c:v>
                </c:pt>
                <c:pt idx="4">
                  <c:v>292669</c:v>
                </c:pt>
                <c:pt idx="5">
                  <c:v>656868</c:v>
                </c:pt>
                <c:pt idx="6">
                  <c:v>254711</c:v>
                </c:pt>
                <c:pt idx="7">
                  <c:v>137635</c:v>
                </c:pt>
                <c:pt idx="8">
                  <c:v>43983</c:v>
                </c:pt>
                <c:pt idx="9">
                  <c:v>1070725</c:v>
                </c:pt>
              </c:numCache>
            </c:numRef>
          </c:val>
          <c:extLst xmlns:c16r2="http://schemas.microsoft.com/office/drawing/2015/06/chart">
            <c:ext xmlns:c16="http://schemas.microsoft.com/office/drawing/2014/chart" uri="{C3380CC4-5D6E-409C-BE32-E72D297353CC}">
              <c16:uniqueId val="{00000001-9CB4-4625-B69A-3EAC7401BC46}"/>
            </c:ext>
          </c:extLst>
        </c:ser>
        <c:ser>
          <c:idx val="2"/>
          <c:order val="2"/>
          <c:tx>
            <c:strRef>
              <c:f>Arkusz1!$G$29</c:f>
              <c:strCache>
                <c:ptCount val="1"/>
                <c:pt idx="0">
                  <c:v>2033</c:v>
                </c:pt>
              </c:strCache>
            </c:strRef>
          </c:tx>
          <c:spPr>
            <a:solidFill>
              <a:schemeClr val="accent3"/>
            </a:solidFill>
            <a:ln>
              <a:noFill/>
            </a:ln>
            <a:effectLst/>
          </c:spPr>
          <c:cat>
            <c:strRef>
              <c:f>Arkusz1!$D$30:$D$39</c:f>
              <c:strCache>
                <c:ptCount val="10"/>
                <c:pt idx="0">
                  <c:v>0-4</c:v>
                </c:pt>
                <c:pt idx="1">
                  <c:v>5-14</c:v>
                </c:pt>
                <c:pt idx="2">
                  <c:v>15-19</c:v>
                </c:pt>
                <c:pt idx="3">
                  <c:v>20-39</c:v>
                </c:pt>
                <c:pt idx="4">
                  <c:v>40-59</c:v>
                </c:pt>
                <c:pt idx="5">
                  <c:v>20-64</c:v>
                </c:pt>
                <c:pt idx="6">
                  <c:v>pow. 60</c:v>
                </c:pt>
                <c:pt idx="7">
                  <c:v>pow. 70</c:v>
                </c:pt>
                <c:pt idx="8">
                  <c:v>pow. 80</c:v>
                </c:pt>
                <c:pt idx="9">
                  <c:v>Ogółem</c:v>
                </c:pt>
              </c:strCache>
            </c:strRef>
          </c:cat>
          <c:val>
            <c:numRef>
              <c:f>Arkusz1!$G$30:$G$39</c:f>
              <c:numCache>
                <c:formatCode>#,##0</c:formatCode>
                <c:ptCount val="10"/>
                <c:pt idx="0">
                  <c:v>44982.496610883209</c:v>
                </c:pt>
                <c:pt idx="1">
                  <c:v>134194.93560248168</c:v>
                </c:pt>
                <c:pt idx="2">
                  <c:v>59167.314960977143</c:v>
                </c:pt>
                <c:pt idx="3">
                  <c:v>300966.66021086567</c:v>
                </c:pt>
                <c:pt idx="4">
                  <c:v>381562.76156405854</c:v>
                </c:pt>
                <c:pt idx="5">
                  <c:v>739049.08240089694</c:v>
                </c:pt>
                <c:pt idx="6">
                  <c:v>273822.95554468472</c:v>
                </c:pt>
                <c:pt idx="7">
                  <c:v>174314.71729911919</c:v>
                </c:pt>
                <c:pt idx="8">
                  <c:v>82248.149096502864</c:v>
                </c:pt>
                <c:pt idx="9">
                  <c:v>1194697.1244939514</c:v>
                </c:pt>
              </c:numCache>
            </c:numRef>
          </c:val>
          <c:extLst xmlns:c16r2="http://schemas.microsoft.com/office/drawing/2015/06/chart">
            <c:ext xmlns:c16="http://schemas.microsoft.com/office/drawing/2014/chart" uri="{C3380CC4-5D6E-409C-BE32-E72D297353CC}">
              <c16:uniqueId val="{00000002-9CB4-4625-B69A-3EAC7401BC46}"/>
            </c:ext>
          </c:extLst>
        </c:ser>
        <c:ser>
          <c:idx val="3"/>
          <c:order val="3"/>
          <c:tx>
            <c:strRef>
              <c:f>Arkusz1!$H$29</c:f>
              <c:strCache>
                <c:ptCount val="1"/>
                <c:pt idx="0">
                  <c:v>2043</c:v>
                </c:pt>
              </c:strCache>
            </c:strRef>
          </c:tx>
          <c:spPr>
            <a:solidFill>
              <a:schemeClr val="accent4"/>
            </a:solidFill>
            <a:ln>
              <a:noFill/>
            </a:ln>
            <a:effectLst/>
          </c:spPr>
          <c:cat>
            <c:strRef>
              <c:f>Arkusz1!$D$30:$D$39</c:f>
              <c:strCache>
                <c:ptCount val="10"/>
                <c:pt idx="0">
                  <c:v>0-4</c:v>
                </c:pt>
                <c:pt idx="1">
                  <c:v>5-14</c:v>
                </c:pt>
                <c:pt idx="2">
                  <c:v>15-19</c:v>
                </c:pt>
                <c:pt idx="3">
                  <c:v>20-39</c:v>
                </c:pt>
                <c:pt idx="4">
                  <c:v>40-59</c:v>
                </c:pt>
                <c:pt idx="5">
                  <c:v>20-64</c:v>
                </c:pt>
                <c:pt idx="6">
                  <c:v>pow. 60</c:v>
                </c:pt>
                <c:pt idx="7">
                  <c:v>pow. 70</c:v>
                </c:pt>
                <c:pt idx="8">
                  <c:v>pow. 80</c:v>
                </c:pt>
                <c:pt idx="9">
                  <c:v>Ogółem</c:v>
                </c:pt>
              </c:strCache>
            </c:strRef>
          </c:cat>
          <c:val>
            <c:numRef>
              <c:f>Arkusz1!$H$30:$H$39</c:f>
              <c:numCache>
                <c:formatCode>#,##0</c:formatCode>
                <c:ptCount val="10"/>
                <c:pt idx="0">
                  <c:v>56284.615443751121</c:v>
                </c:pt>
                <c:pt idx="1">
                  <c:v>111422.61871040479</c:v>
                </c:pt>
                <c:pt idx="2">
                  <c:v>77948.922073491849</c:v>
                </c:pt>
                <c:pt idx="3">
                  <c:v>368083.88093809958</c:v>
                </c:pt>
                <c:pt idx="4">
                  <c:v>364417.47150857095</c:v>
                </c:pt>
                <c:pt idx="5">
                  <c:v>822413.67262160161</c:v>
                </c:pt>
                <c:pt idx="6">
                  <c:v>315311.83076191833</c:v>
                </c:pt>
                <c:pt idx="7">
                  <c:v>156733.45370672588</c:v>
                </c:pt>
                <c:pt idx="8">
                  <c:v>77807.715160696025</c:v>
                </c:pt>
                <c:pt idx="9">
                  <c:v>1293469.3394362375</c:v>
                </c:pt>
              </c:numCache>
            </c:numRef>
          </c:val>
          <c:extLst xmlns:c16r2="http://schemas.microsoft.com/office/drawing/2015/06/chart">
            <c:ext xmlns:c16="http://schemas.microsoft.com/office/drawing/2014/chart" uri="{C3380CC4-5D6E-409C-BE32-E72D297353CC}">
              <c16:uniqueId val="{00000003-9CB4-4625-B69A-3EAC7401BC46}"/>
            </c:ext>
          </c:extLst>
        </c:ser>
        <c:ser>
          <c:idx val="4"/>
          <c:order val="4"/>
          <c:tx>
            <c:strRef>
              <c:f>Arkusz1!$I$29</c:f>
              <c:strCache>
                <c:ptCount val="1"/>
                <c:pt idx="0">
                  <c:v>2053</c:v>
                </c:pt>
              </c:strCache>
            </c:strRef>
          </c:tx>
          <c:spPr>
            <a:solidFill>
              <a:schemeClr val="accent5"/>
            </a:solidFill>
            <a:ln>
              <a:noFill/>
            </a:ln>
            <a:effectLst/>
          </c:spPr>
          <c:cat>
            <c:strRef>
              <c:f>Arkusz1!$D$30:$D$39</c:f>
              <c:strCache>
                <c:ptCount val="10"/>
                <c:pt idx="0">
                  <c:v>0-4</c:v>
                </c:pt>
                <c:pt idx="1">
                  <c:v>5-14</c:v>
                </c:pt>
                <c:pt idx="2">
                  <c:v>15-19</c:v>
                </c:pt>
                <c:pt idx="3">
                  <c:v>20-39</c:v>
                </c:pt>
                <c:pt idx="4">
                  <c:v>40-59</c:v>
                </c:pt>
                <c:pt idx="5">
                  <c:v>20-64</c:v>
                </c:pt>
                <c:pt idx="6">
                  <c:v>pow. 60</c:v>
                </c:pt>
                <c:pt idx="7">
                  <c:v>pow. 70</c:v>
                </c:pt>
                <c:pt idx="8">
                  <c:v>pow. 80</c:v>
                </c:pt>
                <c:pt idx="9">
                  <c:v>Ogółem</c:v>
                </c:pt>
              </c:strCache>
            </c:strRef>
          </c:cat>
          <c:val>
            <c:numRef>
              <c:f>Arkusz1!$I$30:$I$39</c:f>
              <c:numCache>
                <c:formatCode>#,##0</c:formatCode>
                <c:ptCount val="10"/>
                <c:pt idx="0">
                  <c:v>59945.44888001353</c:v>
                </c:pt>
                <c:pt idx="1">
                  <c:v>132148.96609733798</c:v>
                </c:pt>
                <c:pt idx="2">
                  <c:v>64017.005275149146</c:v>
                </c:pt>
                <c:pt idx="3">
                  <c:v>422626.01247728086</c:v>
                </c:pt>
                <c:pt idx="4">
                  <c:v>370207.86987183004</c:v>
                </c:pt>
                <c:pt idx="5">
                  <c:v>884519.45378605847</c:v>
                </c:pt>
                <c:pt idx="6">
                  <c:v>385713.92292390874</c:v>
                </c:pt>
                <c:pt idx="7">
                  <c:v>207829.10060830408</c:v>
                </c:pt>
                <c:pt idx="8">
                  <c:v>82060.777303866838</c:v>
                </c:pt>
                <c:pt idx="9">
                  <c:v>1434659.2255255196</c:v>
                </c:pt>
              </c:numCache>
            </c:numRef>
          </c:val>
          <c:extLst xmlns:c16r2="http://schemas.microsoft.com/office/drawing/2015/06/chart">
            <c:ext xmlns:c16="http://schemas.microsoft.com/office/drawing/2014/chart" uri="{C3380CC4-5D6E-409C-BE32-E72D297353CC}">
              <c16:uniqueId val="{00000004-9CB4-4625-B69A-3EAC7401BC46}"/>
            </c:ext>
          </c:extLst>
        </c:ser>
        <c:dLbls/>
        <c:gapWidth val="219"/>
        <c:overlap val="-27"/>
        <c:axId val="240404352"/>
        <c:axId val="240439296"/>
      </c:barChart>
      <c:catAx>
        <c:axId val="240404352"/>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Grupy wieku</a:t>
                </a:r>
              </a:p>
            </c:rich>
          </c:tx>
          <c:layout/>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40439296"/>
        <c:crosses val="autoZero"/>
        <c:auto val="1"/>
        <c:lblAlgn val="ctr"/>
        <c:lblOffset val="100"/>
      </c:catAx>
      <c:valAx>
        <c:axId val="240439296"/>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Liczba osób</a:t>
                </a:r>
              </a:p>
            </c:rich>
          </c:tx>
          <c:layout/>
          <c:spPr>
            <a:noFill/>
            <a:ln>
              <a:noFill/>
            </a:ln>
            <a:effectLst/>
          </c:spPr>
        </c:title>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4040435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pl-PL"/>
  <c:chart>
    <c:autoTitleDeleted val="1"/>
    <c:plotArea>
      <c:layout/>
      <c:barChart>
        <c:barDir val="col"/>
        <c:grouping val="clustered"/>
        <c:ser>
          <c:idx val="0"/>
          <c:order val="0"/>
          <c:tx>
            <c:strRef>
              <c:f>Arkusz1!$D$6</c:f>
              <c:strCache>
                <c:ptCount val="1"/>
                <c:pt idx="0">
                  <c:v>0-4</c:v>
                </c:pt>
              </c:strCache>
            </c:strRef>
          </c:tx>
          <c:spPr>
            <a:solidFill>
              <a:schemeClr val="accent1"/>
            </a:solidFill>
            <a:ln>
              <a:noFill/>
            </a:ln>
            <a:effectLst/>
          </c:spPr>
          <c:cat>
            <c:numRef>
              <c:f>Arkusz1!$E$5:$I$5</c:f>
              <c:numCache>
                <c:formatCode>General</c:formatCode>
                <c:ptCount val="5"/>
                <c:pt idx="0">
                  <c:v>2013</c:v>
                </c:pt>
                <c:pt idx="1">
                  <c:v>2023</c:v>
                </c:pt>
                <c:pt idx="2">
                  <c:v>2033</c:v>
                </c:pt>
                <c:pt idx="3">
                  <c:v>2043</c:v>
                </c:pt>
                <c:pt idx="4">
                  <c:v>2053</c:v>
                </c:pt>
              </c:numCache>
            </c:numRef>
          </c:cat>
          <c:val>
            <c:numRef>
              <c:f>Arkusz1!$E$6:$I$6</c:f>
              <c:numCache>
                <c:formatCode>#,##0</c:formatCode>
                <c:ptCount val="5"/>
                <c:pt idx="0">
                  <c:v>50755</c:v>
                </c:pt>
                <c:pt idx="1">
                  <c:v>53396</c:v>
                </c:pt>
                <c:pt idx="2" formatCode="0">
                  <c:v>44982.496610883209</c:v>
                </c:pt>
                <c:pt idx="3" formatCode="0">
                  <c:v>51772.82171335398</c:v>
                </c:pt>
                <c:pt idx="4" formatCode="0">
                  <c:v>52499.187061953075</c:v>
                </c:pt>
              </c:numCache>
            </c:numRef>
          </c:val>
          <c:extLst xmlns:c16r2="http://schemas.microsoft.com/office/drawing/2015/06/chart">
            <c:ext xmlns:c16="http://schemas.microsoft.com/office/drawing/2014/chart" uri="{C3380CC4-5D6E-409C-BE32-E72D297353CC}">
              <c16:uniqueId val="{00000000-D872-481C-A192-B8057A86764E}"/>
            </c:ext>
          </c:extLst>
        </c:ser>
        <c:ser>
          <c:idx val="1"/>
          <c:order val="1"/>
          <c:tx>
            <c:strRef>
              <c:f>Arkusz1!$D$7</c:f>
              <c:strCache>
                <c:ptCount val="1"/>
                <c:pt idx="0">
                  <c:v>5-9</c:v>
                </c:pt>
              </c:strCache>
            </c:strRef>
          </c:tx>
          <c:spPr>
            <a:solidFill>
              <a:schemeClr val="accent2"/>
            </a:solidFill>
            <a:ln>
              <a:noFill/>
            </a:ln>
            <a:effectLst/>
          </c:spPr>
          <c:cat>
            <c:numRef>
              <c:f>Arkusz1!$E$5:$I$5</c:f>
              <c:numCache>
                <c:formatCode>General</c:formatCode>
                <c:ptCount val="5"/>
                <c:pt idx="0">
                  <c:v>2013</c:v>
                </c:pt>
                <c:pt idx="1">
                  <c:v>2023</c:v>
                </c:pt>
                <c:pt idx="2">
                  <c:v>2033</c:v>
                </c:pt>
                <c:pt idx="3">
                  <c:v>2043</c:v>
                </c:pt>
                <c:pt idx="4">
                  <c:v>2053</c:v>
                </c:pt>
              </c:numCache>
            </c:numRef>
          </c:cat>
          <c:val>
            <c:numRef>
              <c:f>Arkusz1!$E$7:$I$7</c:f>
              <c:numCache>
                <c:formatCode>#,##0</c:formatCode>
                <c:ptCount val="5"/>
                <c:pt idx="0">
                  <c:v>45358</c:v>
                </c:pt>
                <c:pt idx="1">
                  <c:v>58372</c:v>
                </c:pt>
                <c:pt idx="2" formatCode="0">
                  <c:v>76901.1485864243</c:v>
                </c:pt>
                <c:pt idx="3" formatCode="0">
                  <c:v>56281.881205311882</c:v>
                </c:pt>
                <c:pt idx="4" formatCode="0">
                  <c:v>54675.162168637122</c:v>
                </c:pt>
              </c:numCache>
            </c:numRef>
          </c:val>
          <c:extLst xmlns:c16r2="http://schemas.microsoft.com/office/drawing/2015/06/chart">
            <c:ext xmlns:c16="http://schemas.microsoft.com/office/drawing/2014/chart" uri="{C3380CC4-5D6E-409C-BE32-E72D297353CC}">
              <c16:uniqueId val="{00000001-D872-481C-A192-B8057A86764E}"/>
            </c:ext>
          </c:extLst>
        </c:ser>
        <c:ser>
          <c:idx val="2"/>
          <c:order val="2"/>
          <c:tx>
            <c:strRef>
              <c:f>Arkusz1!$D$8</c:f>
              <c:strCache>
                <c:ptCount val="1"/>
                <c:pt idx="0">
                  <c:v>10-14</c:v>
                </c:pt>
              </c:strCache>
            </c:strRef>
          </c:tx>
          <c:spPr>
            <a:solidFill>
              <a:schemeClr val="accent3"/>
            </a:solidFill>
            <a:ln>
              <a:noFill/>
            </a:ln>
            <a:effectLst/>
          </c:spPr>
          <c:cat>
            <c:numRef>
              <c:f>Arkusz1!$E$5:$I$5</c:f>
              <c:numCache>
                <c:formatCode>General</c:formatCode>
                <c:ptCount val="5"/>
                <c:pt idx="0">
                  <c:v>2013</c:v>
                </c:pt>
                <c:pt idx="1">
                  <c:v>2023</c:v>
                </c:pt>
                <c:pt idx="2">
                  <c:v>2033</c:v>
                </c:pt>
                <c:pt idx="3">
                  <c:v>2043</c:v>
                </c:pt>
                <c:pt idx="4">
                  <c:v>2053</c:v>
                </c:pt>
              </c:numCache>
            </c:numRef>
          </c:cat>
          <c:val>
            <c:numRef>
              <c:f>Arkusz1!$E$8:$I$8</c:f>
              <c:numCache>
                <c:formatCode>#,##0</c:formatCode>
                <c:ptCount val="5"/>
                <c:pt idx="0">
                  <c:v>36822</c:v>
                </c:pt>
                <c:pt idx="1">
                  <c:v>54460</c:v>
                </c:pt>
                <c:pt idx="2" formatCode="0">
                  <c:v>57293.787016057533</c:v>
                </c:pt>
                <c:pt idx="3" formatCode="0">
                  <c:v>48266.116942738685</c:v>
                </c:pt>
                <c:pt idx="4" formatCode="0">
                  <c:v>55552.120392262004</c:v>
                </c:pt>
              </c:numCache>
            </c:numRef>
          </c:val>
          <c:extLst xmlns:c16r2="http://schemas.microsoft.com/office/drawing/2015/06/chart">
            <c:ext xmlns:c16="http://schemas.microsoft.com/office/drawing/2014/chart" uri="{C3380CC4-5D6E-409C-BE32-E72D297353CC}">
              <c16:uniqueId val="{00000002-D872-481C-A192-B8057A86764E}"/>
            </c:ext>
          </c:extLst>
        </c:ser>
        <c:ser>
          <c:idx val="3"/>
          <c:order val="3"/>
          <c:tx>
            <c:strRef>
              <c:f>Arkusz1!$D$9</c:f>
              <c:strCache>
                <c:ptCount val="1"/>
                <c:pt idx="0">
                  <c:v>15-19</c:v>
                </c:pt>
              </c:strCache>
            </c:strRef>
          </c:tx>
          <c:spPr>
            <a:solidFill>
              <a:schemeClr val="accent4"/>
            </a:solidFill>
            <a:ln>
              <a:noFill/>
            </a:ln>
            <a:effectLst/>
          </c:spPr>
          <c:cat>
            <c:numRef>
              <c:f>Arkusz1!$E$5:$I$5</c:f>
              <c:numCache>
                <c:formatCode>General</c:formatCode>
                <c:ptCount val="5"/>
                <c:pt idx="0">
                  <c:v>2013</c:v>
                </c:pt>
                <c:pt idx="1">
                  <c:v>2023</c:v>
                </c:pt>
                <c:pt idx="2">
                  <c:v>2033</c:v>
                </c:pt>
                <c:pt idx="3">
                  <c:v>2043</c:v>
                </c:pt>
                <c:pt idx="4">
                  <c:v>2053</c:v>
                </c:pt>
              </c:numCache>
            </c:numRef>
          </c:cat>
          <c:val>
            <c:numRef>
              <c:f>Arkusz1!$E$9:$I$9</c:f>
              <c:numCache>
                <c:formatCode>#,##0</c:formatCode>
                <c:ptCount val="5"/>
                <c:pt idx="0">
                  <c:v>42241</c:v>
                </c:pt>
                <c:pt idx="1">
                  <c:v>45976</c:v>
                </c:pt>
                <c:pt idx="2" formatCode="0">
                  <c:v>59167.314960977143</c:v>
                </c:pt>
                <c:pt idx="3" formatCode="0">
                  <c:v>77948.922073491849</c:v>
                </c:pt>
                <c:pt idx="4" formatCode="0">
                  <c:v>57048.718424432715</c:v>
                </c:pt>
              </c:numCache>
            </c:numRef>
          </c:val>
          <c:extLst xmlns:c16r2="http://schemas.microsoft.com/office/drawing/2015/06/chart">
            <c:ext xmlns:c16="http://schemas.microsoft.com/office/drawing/2014/chart" uri="{C3380CC4-5D6E-409C-BE32-E72D297353CC}">
              <c16:uniqueId val="{00000003-D872-481C-A192-B8057A86764E}"/>
            </c:ext>
          </c:extLst>
        </c:ser>
        <c:ser>
          <c:idx val="4"/>
          <c:order val="4"/>
          <c:tx>
            <c:strRef>
              <c:f>Arkusz1!$D$10</c:f>
              <c:strCache>
                <c:ptCount val="1"/>
                <c:pt idx="0">
                  <c:v>20-24</c:v>
                </c:pt>
              </c:strCache>
            </c:strRef>
          </c:tx>
          <c:spPr>
            <a:solidFill>
              <a:schemeClr val="accent5"/>
            </a:solidFill>
            <a:ln>
              <a:noFill/>
            </a:ln>
            <a:effectLst/>
          </c:spPr>
          <c:cat>
            <c:numRef>
              <c:f>Arkusz1!$E$5:$I$5</c:f>
              <c:numCache>
                <c:formatCode>General</c:formatCode>
                <c:ptCount val="5"/>
                <c:pt idx="0">
                  <c:v>2013</c:v>
                </c:pt>
                <c:pt idx="1">
                  <c:v>2023</c:v>
                </c:pt>
                <c:pt idx="2">
                  <c:v>2033</c:v>
                </c:pt>
                <c:pt idx="3">
                  <c:v>2043</c:v>
                </c:pt>
                <c:pt idx="4">
                  <c:v>2053</c:v>
                </c:pt>
              </c:numCache>
            </c:numRef>
          </c:cat>
          <c:val>
            <c:numRef>
              <c:f>Arkusz1!$E$10:$I$10</c:f>
              <c:numCache>
                <c:formatCode>#,##0</c:formatCode>
                <c:ptCount val="5"/>
                <c:pt idx="0">
                  <c:v>57952</c:v>
                </c:pt>
                <c:pt idx="1">
                  <c:v>43120</c:v>
                </c:pt>
                <c:pt idx="2" formatCode="0">
                  <c:v>63774.786812231818</c:v>
                </c:pt>
                <c:pt idx="3" formatCode="0">
                  <c:v>67093.262075183244</c:v>
                </c:pt>
                <c:pt idx="4" formatCode="0">
                  <c:v>56521.507864072897</c:v>
                </c:pt>
              </c:numCache>
            </c:numRef>
          </c:val>
          <c:extLst xmlns:c16r2="http://schemas.microsoft.com/office/drawing/2015/06/chart">
            <c:ext xmlns:c16="http://schemas.microsoft.com/office/drawing/2014/chart" uri="{C3380CC4-5D6E-409C-BE32-E72D297353CC}">
              <c16:uniqueId val="{00000004-D872-481C-A192-B8057A86764E}"/>
            </c:ext>
          </c:extLst>
        </c:ser>
        <c:ser>
          <c:idx val="5"/>
          <c:order val="5"/>
          <c:tx>
            <c:strRef>
              <c:f>Arkusz1!$D$11</c:f>
              <c:strCache>
                <c:ptCount val="1"/>
                <c:pt idx="0">
                  <c:v>25-29</c:v>
                </c:pt>
              </c:strCache>
            </c:strRef>
          </c:tx>
          <c:spPr>
            <a:solidFill>
              <a:schemeClr val="accent6"/>
            </a:solidFill>
            <a:ln>
              <a:noFill/>
            </a:ln>
            <a:effectLst/>
          </c:spPr>
          <c:cat>
            <c:numRef>
              <c:f>Arkusz1!$E$5:$I$5</c:f>
              <c:numCache>
                <c:formatCode>General</c:formatCode>
                <c:ptCount val="5"/>
                <c:pt idx="0">
                  <c:v>2013</c:v>
                </c:pt>
                <c:pt idx="1">
                  <c:v>2023</c:v>
                </c:pt>
                <c:pt idx="2">
                  <c:v>2033</c:v>
                </c:pt>
                <c:pt idx="3">
                  <c:v>2043</c:v>
                </c:pt>
                <c:pt idx="4">
                  <c:v>2053</c:v>
                </c:pt>
              </c:numCache>
            </c:numRef>
          </c:cat>
          <c:val>
            <c:numRef>
              <c:f>Arkusz1!$E$11:$I$11</c:f>
              <c:numCache>
                <c:formatCode>#,##0</c:formatCode>
                <c:ptCount val="5"/>
                <c:pt idx="0">
                  <c:v>82245</c:v>
                </c:pt>
                <c:pt idx="1">
                  <c:v>71710</c:v>
                </c:pt>
                <c:pt idx="2" formatCode="0">
                  <c:v>62067.600000000006</c:v>
                </c:pt>
                <c:pt idx="3" formatCode="0">
                  <c:v>79875.875197319125</c:v>
                </c:pt>
                <c:pt idx="4" formatCode="0">
                  <c:v>105231.044799214</c:v>
                </c:pt>
              </c:numCache>
            </c:numRef>
          </c:val>
          <c:extLst xmlns:c16r2="http://schemas.microsoft.com/office/drawing/2015/06/chart">
            <c:ext xmlns:c16="http://schemas.microsoft.com/office/drawing/2014/chart" uri="{C3380CC4-5D6E-409C-BE32-E72D297353CC}">
              <c16:uniqueId val="{00000005-D872-481C-A192-B8057A86764E}"/>
            </c:ext>
          </c:extLst>
        </c:ser>
        <c:ser>
          <c:idx val="6"/>
          <c:order val="6"/>
          <c:tx>
            <c:strRef>
              <c:f>Arkusz1!$D$12</c:f>
              <c:strCache>
                <c:ptCount val="1"/>
                <c:pt idx="0">
                  <c:v>30-34</c:v>
                </c:pt>
              </c:strCache>
            </c:strRef>
          </c:tx>
          <c:spPr>
            <a:solidFill>
              <a:schemeClr val="accent1">
                <a:lumMod val="60000"/>
              </a:schemeClr>
            </a:solidFill>
            <a:ln>
              <a:noFill/>
            </a:ln>
            <a:effectLst/>
          </c:spPr>
          <c:cat>
            <c:numRef>
              <c:f>Arkusz1!$E$5:$I$5</c:f>
              <c:numCache>
                <c:formatCode>General</c:formatCode>
                <c:ptCount val="5"/>
                <c:pt idx="0">
                  <c:v>2013</c:v>
                </c:pt>
                <c:pt idx="1">
                  <c:v>2023</c:v>
                </c:pt>
                <c:pt idx="2">
                  <c:v>2033</c:v>
                </c:pt>
                <c:pt idx="3">
                  <c:v>2043</c:v>
                </c:pt>
                <c:pt idx="4">
                  <c:v>2053</c:v>
                </c:pt>
              </c:numCache>
            </c:numRef>
          </c:cat>
          <c:val>
            <c:numRef>
              <c:f>Arkusz1!$E$12:$I$12</c:f>
              <c:numCache>
                <c:formatCode>#,##0</c:formatCode>
                <c:ptCount val="5"/>
                <c:pt idx="0">
                  <c:v>92232</c:v>
                </c:pt>
                <c:pt idx="1">
                  <c:v>94051</c:v>
                </c:pt>
                <c:pt idx="2" formatCode="0">
                  <c:v>56487.200000000004</c:v>
                </c:pt>
                <c:pt idx="3" formatCode="0">
                  <c:v>83544.970724023689</c:v>
                </c:pt>
                <c:pt idx="4" formatCode="0">
                  <c:v>87892.173318490328</c:v>
                </c:pt>
              </c:numCache>
            </c:numRef>
          </c:val>
          <c:extLst xmlns:c16r2="http://schemas.microsoft.com/office/drawing/2015/06/chart">
            <c:ext xmlns:c16="http://schemas.microsoft.com/office/drawing/2014/chart" uri="{C3380CC4-5D6E-409C-BE32-E72D297353CC}">
              <c16:uniqueId val="{00000006-D872-481C-A192-B8057A86764E}"/>
            </c:ext>
          </c:extLst>
        </c:ser>
        <c:ser>
          <c:idx val="7"/>
          <c:order val="7"/>
          <c:tx>
            <c:strRef>
              <c:f>Arkusz1!$D$13</c:f>
              <c:strCache>
                <c:ptCount val="1"/>
                <c:pt idx="0">
                  <c:v>35-39</c:v>
                </c:pt>
              </c:strCache>
            </c:strRef>
          </c:tx>
          <c:spPr>
            <a:solidFill>
              <a:schemeClr val="accent2">
                <a:lumMod val="60000"/>
              </a:schemeClr>
            </a:solidFill>
            <a:ln>
              <a:noFill/>
            </a:ln>
            <a:effectLst/>
          </c:spPr>
          <c:cat>
            <c:numRef>
              <c:f>Arkusz1!$E$5:$I$5</c:f>
              <c:numCache>
                <c:formatCode>General</c:formatCode>
                <c:ptCount val="5"/>
                <c:pt idx="0">
                  <c:v>2013</c:v>
                </c:pt>
                <c:pt idx="1">
                  <c:v>2023</c:v>
                </c:pt>
                <c:pt idx="2">
                  <c:v>2033</c:v>
                </c:pt>
                <c:pt idx="3">
                  <c:v>2043</c:v>
                </c:pt>
                <c:pt idx="4">
                  <c:v>2053</c:v>
                </c:pt>
              </c:numCache>
            </c:numRef>
          </c:cat>
          <c:val>
            <c:numRef>
              <c:f>Arkusz1!$E$13:$I$13</c:f>
              <c:numCache>
                <c:formatCode>#,##0</c:formatCode>
                <c:ptCount val="5"/>
                <c:pt idx="0">
                  <c:v>81460</c:v>
                </c:pt>
                <c:pt idx="1">
                  <c:v>102260</c:v>
                </c:pt>
                <c:pt idx="2" formatCode="0">
                  <c:v>80315.200000000012</c:v>
                </c:pt>
                <c:pt idx="3" formatCode="0">
                  <c:v>69515.71199999997</c:v>
                </c:pt>
                <c:pt idx="4" formatCode="0">
                  <c:v>89460.980220997415</c:v>
                </c:pt>
              </c:numCache>
            </c:numRef>
          </c:val>
          <c:extLst xmlns:c16r2="http://schemas.microsoft.com/office/drawing/2015/06/chart">
            <c:ext xmlns:c16="http://schemas.microsoft.com/office/drawing/2014/chart" uri="{C3380CC4-5D6E-409C-BE32-E72D297353CC}">
              <c16:uniqueId val="{00000007-D872-481C-A192-B8057A86764E}"/>
            </c:ext>
          </c:extLst>
        </c:ser>
        <c:ser>
          <c:idx val="8"/>
          <c:order val="8"/>
          <c:tx>
            <c:strRef>
              <c:f>Arkusz1!$D$14</c:f>
              <c:strCache>
                <c:ptCount val="1"/>
                <c:pt idx="0">
                  <c:v>40-44</c:v>
                </c:pt>
              </c:strCache>
            </c:strRef>
          </c:tx>
          <c:spPr>
            <a:solidFill>
              <a:schemeClr val="accent3">
                <a:lumMod val="60000"/>
              </a:schemeClr>
            </a:solidFill>
            <a:ln>
              <a:noFill/>
            </a:ln>
            <a:effectLst/>
          </c:spPr>
          <c:cat>
            <c:numRef>
              <c:f>Arkusz1!$E$5:$I$5</c:f>
              <c:numCache>
                <c:formatCode>General</c:formatCode>
                <c:ptCount val="5"/>
                <c:pt idx="0">
                  <c:v>2013</c:v>
                </c:pt>
                <c:pt idx="1">
                  <c:v>2023</c:v>
                </c:pt>
                <c:pt idx="2">
                  <c:v>2033</c:v>
                </c:pt>
                <c:pt idx="3">
                  <c:v>2043</c:v>
                </c:pt>
                <c:pt idx="4">
                  <c:v>2053</c:v>
                </c:pt>
              </c:numCache>
            </c:numRef>
          </c:cat>
          <c:val>
            <c:numRef>
              <c:f>Arkusz1!$E$14:$I$14</c:f>
              <c:numCache>
                <c:formatCode>#,##0</c:formatCode>
                <c:ptCount val="5"/>
                <c:pt idx="0">
                  <c:v>62275</c:v>
                </c:pt>
                <c:pt idx="1">
                  <c:v>99068</c:v>
                </c:pt>
                <c:pt idx="2" formatCode="0">
                  <c:v>101021.81962876228</c:v>
                </c:pt>
                <c:pt idx="3" formatCode="0">
                  <c:v>60673.886824529502</c:v>
                </c:pt>
                <c:pt idx="4" formatCode="0">
                  <c:v>89737.110327083661</c:v>
                </c:pt>
              </c:numCache>
            </c:numRef>
          </c:val>
          <c:extLst xmlns:c16r2="http://schemas.microsoft.com/office/drawing/2015/06/chart">
            <c:ext xmlns:c16="http://schemas.microsoft.com/office/drawing/2014/chart" uri="{C3380CC4-5D6E-409C-BE32-E72D297353CC}">
              <c16:uniqueId val="{00000008-D872-481C-A192-B8057A86764E}"/>
            </c:ext>
          </c:extLst>
        </c:ser>
        <c:ser>
          <c:idx val="9"/>
          <c:order val="9"/>
          <c:tx>
            <c:strRef>
              <c:f>Arkusz1!$D$15</c:f>
              <c:strCache>
                <c:ptCount val="1"/>
                <c:pt idx="0">
                  <c:v>45-49</c:v>
                </c:pt>
              </c:strCache>
            </c:strRef>
          </c:tx>
          <c:spPr>
            <a:solidFill>
              <a:schemeClr val="accent4">
                <a:lumMod val="60000"/>
              </a:schemeClr>
            </a:solidFill>
            <a:ln>
              <a:noFill/>
            </a:ln>
            <a:effectLst/>
          </c:spPr>
          <c:cat>
            <c:numRef>
              <c:f>Arkusz1!$E$5:$I$5</c:f>
              <c:numCache>
                <c:formatCode>General</c:formatCode>
                <c:ptCount val="5"/>
                <c:pt idx="0">
                  <c:v>2013</c:v>
                </c:pt>
                <c:pt idx="1">
                  <c:v>2023</c:v>
                </c:pt>
                <c:pt idx="2">
                  <c:v>2033</c:v>
                </c:pt>
                <c:pt idx="3">
                  <c:v>2043</c:v>
                </c:pt>
                <c:pt idx="4">
                  <c:v>2053</c:v>
                </c:pt>
              </c:numCache>
            </c:numRef>
          </c:cat>
          <c:val>
            <c:numRef>
              <c:f>Arkusz1!$E$15:$I$15</c:f>
              <c:numCache>
                <c:formatCode>#,##0</c:formatCode>
                <c:ptCount val="5"/>
                <c:pt idx="0">
                  <c:v>51809</c:v>
                </c:pt>
                <c:pt idx="1">
                  <c:v>82755</c:v>
                </c:pt>
                <c:pt idx="2" formatCode="0">
                  <c:v>103885.66535723055</c:v>
                </c:pt>
                <c:pt idx="3" formatCode="0">
                  <c:v>81592.000687453969</c:v>
                </c:pt>
                <c:pt idx="4" formatCode="0">
                  <c:v>70620.829199116153</c:v>
                </c:pt>
              </c:numCache>
            </c:numRef>
          </c:val>
          <c:extLst xmlns:c16r2="http://schemas.microsoft.com/office/drawing/2015/06/chart">
            <c:ext xmlns:c16="http://schemas.microsoft.com/office/drawing/2014/chart" uri="{C3380CC4-5D6E-409C-BE32-E72D297353CC}">
              <c16:uniqueId val="{00000009-D872-481C-A192-B8057A86764E}"/>
            </c:ext>
          </c:extLst>
        </c:ser>
        <c:ser>
          <c:idx val="10"/>
          <c:order val="10"/>
          <c:tx>
            <c:strRef>
              <c:f>Arkusz1!$D$16</c:f>
              <c:strCache>
                <c:ptCount val="1"/>
                <c:pt idx="0">
                  <c:v>50-54</c:v>
                </c:pt>
              </c:strCache>
            </c:strRef>
          </c:tx>
          <c:spPr>
            <a:solidFill>
              <a:schemeClr val="accent5">
                <a:lumMod val="60000"/>
              </a:schemeClr>
            </a:solidFill>
            <a:ln>
              <a:noFill/>
            </a:ln>
            <a:effectLst/>
          </c:spPr>
          <c:cat>
            <c:numRef>
              <c:f>Arkusz1!$E$5:$I$5</c:f>
              <c:numCache>
                <c:formatCode>General</c:formatCode>
                <c:ptCount val="5"/>
                <c:pt idx="0">
                  <c:v>2013</c:v>
                </c:pt>
                <c:pt idx="1">
                  <c:v>2023</c:v>
                </c:pt>
                <c:pt idx="2">
                  <c:v>2033</c:v>
                </c:pt>
                <c:pt idx="3">
                  <c:v>2043</c:v>
                </c:pt>
                <c:pt idx="4">
                  <c:v>2053</c:v>
                </c:pt>
              </c:numCache>
            </c:numRef>
          </c:cat>
          <c:val>
            <c:numRef>
              <c:f>Arkusz1!$E$16:$I$16</c:f>
              <c:numCache>
                <c:formatCode>#,##0</c:formatCode>
                <c:ptCount val="5"/>
                <c:pt idx="0">
                  <c:v>57830</c:v>
                </c:pt>
                <c:pt idx="1">
                  <c:v>61603</c:v>
                </c:pt>
                <c:pt idx="2" formatCode="0">
                  <c:v>97998.972364512243</c:v>
                </c:pt>
                <c:pt idx="3" formatCode="0">
                  <c:v>99931.708624498453</c:v>
                </c:pt>
                <c:pt idx="4" formatCode="0">
                  <c:v>60019.164191914657</c:v>
                </c:pt>
              </c:numCache>
            </c:numRef>
          </c:val>
          <c:extLst xmlns:c16r2="http://schemas.microsoft.com/office/drawing/2015/06/chart">
            <c:ext xmlns:c16="http://schemas.microsoft.com/office/drawing/2014/chart" uri="{C3380CC4-5D6E-409C-BE32-E72D297353CC}">
              <c16:uniqueId val="{0000000A-D872-481C-A192-B8057A86764E}"/>
            </c:ext>
          </c:extLst>
        </c:ser>
        <c:ser>
          <c:idx val="11"/>
          <c:order val="11"/>
          <c:tx>
            <c:strRef>
              <c:f>Arkusz1!$D$17</c:f>
              <c:strCache>
                <c:ptCount val="1"/>
                <c:pt idx="0">
                  <c:v>55-59</c:v>
                </c:pt>
              </c:strCache>
            </c:strRef>
          </c:tx>
          <c:spPr>
            <a:solidFill>
              <a:schemeClr val="accent6">
                <a:lumMod val="60000"/>
              </a:schemeClr>
            </a:solidFill>
            <a:ln>
              <a:noFill/>
            </a:ln>
            <a:effectLst/>
          </c:spPr>
          <c:cat>
            <c:numRef>
              <c:f>Arkusz1!$E$5:$I$5</c:f>
              <c:numCache>
                <c:formatCode>General</c:formatCode>
                <c:ptCount val="5"/>
                <c:pt idx="0">
                  <c:v>2013</c:v>
                </c:pt>
                <c:pt idx="1">
                  <c:v>2023</c:v>
                </c:pt>
                <c:pt idx="2">
                  <c:v>2033</c:v>
                </c:pt>
                <c:pt idx="3">
                  <c:v>2043</c:v>
                </c:pt>
                <c:pt idx="4">
                  <c:v>2053</c:v>
                </c:pt>
              </c:numCache>
            </c:numRef>
          </c:cat>
          <c:val>
            <c:numRef>
              <c:f>Arkusz1!$E$17:$I$17</c:f>
              <c:numCache>
                <c:formatCode>#,##0</c:formatCode>
                <c:ptCount val="5"/>
                <c:pt idx="0">
                  <c:v>73332</c:v>
                </c:pt>
                <c:pt idx="1">
                  <c:v>49243</c:v>
                </c:pt>
                <c:pt idx="2" formatCode="0">
                  <c:v>78656.304213553638</c:v>
                </c:pt>
                <c:pt idx="3" formatCode="0">
                  <c:v>98740.408407537383</c:v>
                </c:pt>
                <c:pt idx="4" formatCode="0">
                  <c:v>77550.90601733861</c:v>
                </c:pt>
              </c:numCache>
            </c:numRef>
          </c:val>
          <c:extLst xmlns:c16r2="http://schemas.microsoft.com/office/drawing/2015/06/chart">
            <c:ext xmlns:c16="http://schemas.microsoft.com/office/drawing/2014/chart" uri="{C3380CC4-5D6E-409C-BE32-E72D297353CC}">
              <c16:uniqueId val="{0000000B-D872-481C-A192-B8057A86764E}"/>
            </c:ext>
          </c:extLst>
        </c:ser>
        <c:ser>
          <c:idx val="12"/>
          <c:order val="12"/>
          <c:tx>
            <c:strRef>
              <c:f>Arkusz1!$D$18</c:f>
              <c:strCache>
                <c:ptCount val="1"/>
                <c:pt idx="0">
                  <c:v>60-64</c:v>
                </c:pt>
              </c:strCache>
            </c:strRef>
          </c:tx>
          <c:spPr>
            <a:solidFill>
              <a:schemeClr val="accent1">
                <a:lumMod val="80000"/>
                <a:lumOff val="20000"/>
              </a:schemeClr>
            </a:solidFill>
            <a:ln>
              <a:noFill/>
            </a:ln>
            <a:effectLst/>
          </c:spPr>
          <c:cat>
            <c:numRef>
              <c:f>Arkusz1!$E$5:$I$5</c:f>
              <c:numCache>
                <c:formatCode>General</c:formatCode>
                <c:ptCount val="5"/>
                <c:pt idx="0">
                  <c:v>2013</c:v>
                </c:pt>
                <c:pt idx="1">
                  <c:v>2023</c:v>
                </c:pt>
                <c:pt idx="2">
                  <c:v>2033</c:v>
                </c:pt>
                <c:pt idx="3">
                  <c:v>2043</c:v>
                </c:pt>
                <c:pt idx="4">
                  <c:v>2053</c:v>
                </c:pt>
              </c:numCache>
            </c:numRef>
          </c:cat>
          <c:val>
            <c:numRef>
              <c:f>Arkusz1!$E$18:$I$18</c:f>
              <c:numCache>
                <c:formatCode>#,##0</c:formatCode>
                <c:ptCount val="5"/>
                <c:pt idx="0">
                  <c:v>70925</c:v>
                </c:pt>
                <c:pt idx="1">
                  <c:v>53058</c:v>
                </c:pt>
                <c:pt idx="2" formatCode="0">
                  <c:v>56519.660625972676</c:v>
                </c:pt>
                <c:pt idx="3" formatCode="0">
                  <c:v>89912.32017493165</c:v>
                </c:pt>
                <c:pt idx="4" formatCode="0">
                  <c:v>91685.571436946979</c:v>
                </c:pt>
              </c:numCache>
            </c:numRef>
          </c:val>
          <c:extLst xmlns:c16r2="http://schemas.microsoft.com/office/drawing/2015/06/chart">
            <c:ext xmlns:c16="http://schemas.microsoft.com/office/drawing/2014/chart" uri="{C3380CC4-5D6E-409C-BE32-E72D297353CC}">
              <c16:uniqueId val="{0000000C-D872-481C-A192-B8057A86764E}"/>
            </c:ext>
          </c:extLst>
        </c:ser>
        <c:ser>
          <c:idx val="13"/>
          <c:order val="13"/>
          <c:tx>
            <c:strRef>
              <c:f>Arkusz1!$D$19</c:f>
              <c:strCache>
                <c:ptCount val="1"/>
                <c:pt idx="0">
                  <c:v>65-69</c:v>
                </c:pt>
              </c:strCache>
            </c:strRef>
          </c:tx>
          <c:spPr>
            <a:solidFill>
              <a:schemeClr val="accent2">
                <a:lumMod val="80000"/>
                <a:lumOff val="20000"/>
              </a:schemeClr>
            </a:solidFill>
            <a:ln>
              <a:noFill/>
            </a:ln>
            <a:effectLst/>
          </c:spPr>
          <c:cat>
            <c:numRef>
              <c:f>Arkusz1!$E$5:$I$5</c:f>
              <c:numCache>
                <c:formatCode>General</c:formatCode>
                <c:ptCount val="5"/>
                <c:pt idx="0">
                  <c:v>2013</c:v>
                </c:pt>
                <c:pt idx="1">
                  <c:v>2023</c:v>
                </c:pt>
                <c:pt idx="2">
                  <c:v>2033</c:v>
                </c:pt>
                <c:pt idx="3">
                  <c:v>2043</c:v>
                </c:pt>
                <c:pt idx="4">
                  <c:v>2053</c:v>
                </c:pt>
              </c:numCache>
            </c:numRef>
          </c:cat>
          <c:val>
            <c:numRef>
              <c:f>Arkusz1!$E$19:$I$19</c:f>
              <c:numCache>
                <c:formatCode>#,##0</c:formatCode>
                <c:ptCount val="5"/>
                <c:pt idx="0">
                  <c:v>46850</c:v>
                </c:pt>
                <c:pt idx="1">
                  <c:v>64018</c:v>
                </c:pt>
                <c:pt idx="2" formatCode="0">
                  <c:v>42988.577619593081</c:v>
                </c:pt>
                <c:pt idx="3" formatCode="0">
                  <c:v>68666.056880260585</c:v>
                </c:pt>
                <c:pt idx="4" formatCode="0">
                  <c:v>86199.250878657709</c:v>
                </c:pt>
              </c:numCache>
            </c:numRef>
          </c:val>
          <c:extLst xmlns:c16r2="http://schemas.microsoft.com/office/drawing/2015/06/chart">
            <c:ext xmlns:c16="http://schemas.microsoft.com/office/drawing/2014/chart" uri="{C3380CC4-5D6E-409C-BE32-E72D297353CC}">
              <c16:uniqueId val="{0000000D-D872-481C-A192-B8057A86764E}"/>
            </c:ext>
          </c:extLst>
        </c:ser>
        <c:ser>
          <c:idx val="14"/>
          <c:order val="14"/>
          <c:tx>
            <c:strRef>
              <c:f>Arkusz1!$D$20</c:f>
              <c:strCache>
                <c:ptCount val="1"/>
                <c:pt idx="0">
                  <c:v>70-74</c:v>
                </c:pt>
              </c:strCache>
            </c:strRef>
          </c:tx>
          <c:spPr>
            <a:solidFill>
              <a:schemeClr val="accent3">
                <a:lumMod val="80000"/>
                <a:lumOff val="20000"/>
              </a:schemeClr>
            </a:solidFill>
            <a:ln>
              <a:noFill/>
            </a:ln>
            <a:effectLst/>
          </c:spPr>
          <c:cat>
            <c:numRef>
              <c:f>Arkusz1!$E$5:$I$5</c:f>
              <c:numCache>
                <c:formatCode>General</c:formatCode>
                <c:ptCount val="5"/>
                <c:pt idx="0">
                  <c:v>2013</c:v>
                </c:pt>
                <c:pt idx="1">
                  <c:v>2023</c:v>
                </c:pt>
                <c:pt idx="2">
                  <c:v>2033</c:v>
                </c:pt>
                <c:pt idx="3">
                  <c:v>2043</c:v>
                </c:pt>
                <c:pt idx="4">
                  <c:v>2053</c:v>
                </c:pt>
              </c:numCache>
            </c:numRef>
          </c:cat>
          <c:val>
            <c:numRef>
              <c:f>Arkusz1!$E$20:$I$20</c:f>
              <c:numCache>
                <c:formatCode>#,##0</c:formatCode>
                <c:ptCount val="5"/>
                <c:pt idx="0">
                  <c:v>30348</c:v>
                </c:pt>
                <c:pt idx="1">
                  <c:v>58063</c:v>
                </c:pt>
                <c:pt idx="2" formatCode="0">
                  <c:v>43436.117786394083</c:v>
                </c:pt>
                <c:pt idx="3" formatCode="0">
                  <c:v>46270.018398672612</c:v>
                </c:pt>
                <c:pt idx="4" formatCode="0">
                  <c:v>73607.03625402943</c:v>
                </c:pt>
              </c:numCache>
            </c:numRef>
          </c:val>
          <c:extLst xmlns:c16r2="http://schemas.microsoft.com/office/drawing/2015/06/chart">
            <c:ext xmlns:c16="http://schemas.microsoft.com/office/drawing/2014/chart" uri="{C3380CC4-5D6E-409C-BE32-E72D297353CC}">
              <c16:uniqueId val="{0000000E-D872-481C-A192-B8057A86764E}"/>
            </c:ext>
          </c:extLst>
        </c:ser>
        <c:ser>
          <c:idx val="15"/>
          <c:order val="15"/>
          <c:tx>
            <c:strRef>
              <c:f>Arkusz1!$D$21</c:f>
              <c:strCache>
                <c:ptCount val="1"/>
                <c:pt idx="0">
                  <c:v>75-79</c:v>
                </c:pt>
              </c:strCache>
            </c:strRef>
          </c:tx>
          <c:spPr>
            <a:solidFill>
              <a:schemeClr val="accent4">
                <a:lumMod val="80000"/>
                <a:lumOff val="20000"/>
              </a:schemeClr>
            </a:solidFill>
            <a:ln>
              <a:noFill/>
            </a:ln>
            <a:effectLst/>
          </c:spPr>
          <c:cat>
            <c:numRef>
              <c:f>Arkusz1!$E$5:$I$5</c:f>
              <c:numCache>
                <c:formatCode>General</c:formatCode>
                <c:ptCount val="5"/>
                <c:pt idx="0">
                  <c:v>2013</c:v>
                </c:pt>
                <c:pt idx="1">
                  <c:v>2023</c:v>
                </c:pt>
                <c:pt idx="2">
                  <c:v>2033</c:v>
                </c:pt>
                <c:pt idx="3">
                  <c:v>2043</c:v>
                </c:pt>
                <c:pt idx="4">
                  <c:v>2053</c:v>
                </c:pt>
              </c:numCache>
            </c:numRef>
          </c:cat>
          <c:val>
            <c:numRef>
              <c:f>Arkusz1!$E$21:$I$21</c:f>
              <c:numCache>
                <c:formatCode>#,##0</c:formatCode>
                <c:ptCount val="5"/>
                <c:pt idx="0">
                  <c:v>29052</c:v>
                </c:pt>
                <c:pt idx="1">
                  <c:v>35589</c:v>
                </c:pt>
                <c:pt idx="2" formatCode="0">
                  <c:v>48630.450416222047</c:v>
                </c:pt>
                <c:pt idx="3" formatCode="0">
                  <c:v>32655.720147357486</c:v>
                </c:pt>
                <c:pt idx="4" formatCode="0">
                  <c:v>52161.287050407635</c:v>
                </c:pt>
              </c:numCache>
            </c:numRef>
          </c:val>
          <c:extLst xmlns:c16r2="http://schemas.microsoft.com/office/drawing/2015/06/chart">
            <c:ext xmlns:c16="http://schemas.microsoft.com/office/drawing/2014/chart" uri="{C3380CC4-5D6E-409C-BE32-E72D297353CC}">
              <c16:uniqueId val="{0000000F-D872-481C-A192-B8057A86764E}"/>
            </c:ext>
          </c:extLst>
        </c:ser>
        <c:ser>
          <c:idx val="16"/>
          <c:order val="16"/>
          <c:tx>
            <c:strRef>
              <c:f>Arkusz1!$D$22</c:f>
              <c:strCache>
                <c:ptCount val="1"/>
                <c:pt idx="0">
                  <c:v>80-84</c:v>
                </c:pt>
              </c:strCache>
            </c:strRef>
          </c:tx>
          <c:spPr>
            <a:solidFill>
              <a:schemeClr val="accent5">
                <a:lumMod val="80000"/>
                <a:lumOff val="20000"/>
              </a:schemeClr>
            </a:solidFill>
            <a:ln>
              <a:noFill/>
            </a:ln>
            <a:effectLst/>
          </c:spPr>
          <c:cat>
            <c:numRef>
              <c:f>Arkusz1!$E$5:$I$5</c:f>
              <c:numCache>
                <c:formatCode>General</c:formatCode>
                <c:ptCount val="5"/>
                <c:pt idx="0">
                  <c:v>2013</c:v>
                </c:pt>
                <c:pt idx="1">
                  <c:v>2023</c:v>
                </c:pt>
                <c:pt idx="2">
                  <c:v>2033</c:v>
                </c:pt>
                <c:pt idx="3">
                  <c:v>2043</c:v>
                </c:pt>
                <c:pt idx="4">
                  <c:v>2053</c:v>
                </c:pt>
              </c:numCache>
            </c:numRef>
          </c:cat>
          <c:val>
            <c:numRef>
              <c:f>Arkusz1!$E$22:$I$22</c:f>
              <c:numCache>
                <c:formatCode>#,##0</c:formatCode>
                <c:ptCount val="5"/>
                <c:pt idx="0">
                  <c:v>23177</c:v>
                </c:pt>
                <c:pt idx="1">
                  <c:v>20163</c:v>
                </c:pt>
                <c:pt idx="2" formatCode="0">
                  <c:v>38576.653123764285</c:v>
                </c:pt>
                <c:pt idx="3" formatCode="0">
                  <c:v>28858.654373502817</c:v>
                </c:pt>
                <c:pt idx="4" formatCode="0">
                  <c:v>30741.478218414228</c:v>
                </c:pt>
              </c:numCache>
            </c:numRef>
          </c:val>
          <c:extLst xmlns:c16r2="http://schemas.microsoft.com/office/drawing/2015/06/chart">
            <c:ext xmlns:c16="http://schemas.microsoft.com/office/drawing/2014/chart" uri="{C3380CC4-5D6E-409C-BE32-E72D297353CC}">
              <c16:uniqueId val="{00000010-D872-481C-A192-B8057A86764E}"/>
            </c:ext>
          </c:extLst>
        </c:ser>
        <c:ser>
          <c:idx val="17"/>
          <c:order val="17"/>
          <c:tx>
            <c:strRef>
              <c:f>Arkusz1!$D$23</c:f>
              <c:strCache>
                <c:ptCount val="1"/>
                <c:pt idx="0">
                  <c:v>85 i więcej</c:v>
                </c:pt>
              </c:strCache>
            </c:strRef>
          </c:tx>
          <c:spPr>
            <a:solidFill>
              <a:schemeClr val="accent6">
                <a:lumMod val="80000"/>
                <a:lumOff val="20000"/>
              </a:schemeClr>
            </a:solidFill>
            <a:ln>
              <a:noFill/>
            </a:ln>
            <a:effectLst/>
          </c:spPr>
          <c:cat>
            <c:numRef>
              <c:f>Arkusz1!$E$5:$I$5</c:f>
              <c:numCache>
                <c:formatCode>General</c:formatCode>
                <c:ptCount val="5"/>
                <c:pt idx="0">
                  <c:v>2013</c:v>
                </c:pt>
                <c:pt idx="1">
                  <c:v>2023</c:v>
                </c:pt>
                <c:pt idx="2">
                  <c:v>2033</c:v>
                </c:pt>
                <c:pt idx="3">
                  <c:v>2043</c:v>
                </c:pt>
                <c:pt idx="4">
                  <c:v>2053</c:v>
                </c:pt>
              </c:numCache>
            </c:numRef>
          </c:cat>
          <c:val>
            <c:numRef>
              <c:f>Arkusz1!$E$23:$I$23</c:f>
              <c:numCache>
                <c:formatCode>#,##0</c:formatCode>
                <c:ptCount val="5"/>
                <c:pt idx="0">
                  <c:v>18228</c:v>
                </c:pt>
                <c:pt idx="1">
                  <c:v>23820</c:v>
                </c:pt>
                <c:pt idx="2" formatCode="0">
                  <c:v>43671.495972738536</c:v>
                </c:pt>
                <c:pt idx="3" formatCode="0">
                  <c:v>48949.060787193172</c:v>
                </c:pt>
                <c:pt idx="4" formatCode="0">
                  <c:v>51319.299085452614</c:v>
                </c:pt>
              </c:numCache>
            </c:numRef>
          </c:val>
          <c:extLst xmlns:c16r2="http://schemas.microsoft.com/office/drawing/2015/06/chart">
            <c:ext xmlns:c16="http://schemas.microsoft.com/office/drawing/2014/chart" uri="{C3380CC4-5D6E-409C-BE32-E72D297353CC}">
              <c16:uniqueId val="{00000011-D872-481C-A192-B8057A86764E}"/>
            </c:ext>
          </c:extLst>
        </c:ser>
        <c:dLbls/>
        <c:gapWidth val="219"/>
        <c:overlap val="-27"/>
        <c:axId val="171672704"/>
        <c:axId val="171674624"/>
      </c:barChart>
      <c:catAx>
        <c:axId val="171672704"/>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Rok prognozy</a:t>
                </a:r>
              </a:p>
            </c:rich>
          </c:tx>
          <c:layout/>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1674624"/>
        <c:crosses val="autoZero"/>
        <c:auto val="1"/>
        <c:lblAlgn val="ctr"/>
        <c:lblOffset val="100"/>
      </c:catAx>
      <c:valAx>
        <c:axId val="171674624"/>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Liczba osób</a:t>
                </a:r>
              </a:p>
            </c:rich>
          </c:tx>
          <c:layout/>
          <c:spPr>
            <a:noFill/>
            <a:ln>
              <a:noFill/>
            </a:ln>
            <a:effectLst/>
          </c:spPr>
        </c:title>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1672704"/>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pl-PL"/>
  <c:chart>
    <c:autoTitleDeleted val="1"/>
    <c:plotArea>
      <c:layout/>
      <c:barChart>
        <c:barDir val="col"/>
        <c:grouping val="clustered"/>
        <c:ser>
          <c:idx val="0"/>
          <c:order val="0"/>
          <c:tx>
            <c:strRef>
              <c:f>Arkusz1!$E$29</c:f>
              <c:strCache>
                <c:ptCount val="1"/>
                <c:pt idx="0">
                  <c:v>2013</c:v>
                </c:pt>
              </c:strCache>
            </c:strRef>
          </c:tx>
          <c:spPr>
            <a:solidFill>
              <a:schemeClr val="accent1"/>
            </a:solidFill>
            <a:ln>
              <a:noFill/>
            </a:ln>
            <a:effectLst/>
          </c:spPr>
          <c:cat>
            <c:strRef>
              <c:f>Arkusz1!$D$30:$D$39</c:f>
              <c:strCache>
                <c:ptCount val="10"/>
                <c:pt idx="0">
                  <c:v>0-4</c:v>
                </c:pt>
                <c:pt idx="1">
                  <c:v>5-14</c:v>
                </c:pt>
                <c:pt idx="2">
                  <c:v>15-19</c:v>
                </c:pt>
                <c:pt idx="3">
                  <c:v>20-39</c:v>
                </c:pt>
                <c:pt idx="4">
                  <c:v>40-59</c:v>
                </c:pt>
                <c:pt idx="5">
                  <c:v>20-64</c:v>
                </c:pt>
                <c:pt idx="6">
                  <c:v>pow. 60</c:v>
                </c:pt>
                <c:pt idx="7">
                  <c:v>pow. 70</c:v>
                </c:pt>
                <c:pt idx="8">
                  <c:v>pow. 80</c:v>
                </c:pt>
                <c:pt idx="9">
                  <c:v>Ogółem</c:v>
                </c:pt>
              </c:strCache>
            </c:strRef>
          </c:cat>
          <c:val>
            <c:numRef>
              <c:f>Arkusz1!$E$30:$E$39</c:f>
              <c:numCache>
                <c:formatCode>#,##0</c:formatCode>
                <c:ptCount val="10"/>
                <c:pt idx="0">
                  <c:v>50755</c:v>
                </c:pt>
                <c:pt idx="1">
                  <c:v>82180</c:v>
                </c:pt>
                <c:pt idx="2">
                  <c:v>42241</c:v>
                </c:pt>
                <c:pt idx="3">
                  <c:v>313889</c:v>
                </c:pt>
                <c:pt idx="4">
                  <c:v>245246</c:v>
                </c:pt>
                <c:pt idx="5">
                  <c:v>630060</c:v>
                </c:pt>
                <c:pt idx="6">
                  <c:v>218580</c:v>
                </c:pt>
                <c:pt idx="7">
                  <c:v>100805</c:v>
                </c:pt>
                <c:pt idx="8">
                  <c:v>41405</c:v>
                </c:pt>
                <c:pt idx="9">
                  <c:v>952891</c:v>
                </c:pt>
              </c:numCache>
            </c:numRef>
          </c:val>
          <c:extLst xmlns:c16r2="http://schemas.microsoft.com/office/drawing/2015/06/chart">
            <c:ext xmlns:c16="http://schemas.microsoft.com/office/drawing/2014/chart" uri="{C3380CC4-5D6E-409C-BE32-E72D297353CC}">
              <c16:uniqueId val="{00000000-F05E-42A3-B44F-050DB14CFC98}"/>
            </c:ext>
          </c:extLst>
        </c:ser>
        <c:ser>
          <c:idx val="1"/>
          <c:order val="1"/>
          <c:tx>
            <c:strRef>
              <c:f>Arkusz1!$F$29</c:f>
              <c:strCache>
                <c:ptCount val="1"/>
                <c:pt idx="0">
                  <c:v>2023</c:v>
                </c:pt>
              </c:strCache>
            </c:strRef>
          </c:tx>
          <c:spPr>
            <a:solidFill>
              <a:schemeClr val="accent2"/>
            </a:solidFill>
            <a:ln>
              <a:noFill/>
            </a:ln>
            <a:effectLst/>
          </c:spPr>
          <c:cat>
            <c:strRef>
              <c:f>Arkusz1!$D$30:$D$39</c:f>
              <c:strCache>
                <c:ptCount val="10"/>
                <c:pt idx="0">
                  <c:v>0-4</c:v>
                </c:pt>
                <c:pt idx="1">
                  <c:v>5-14</c:v>
                </c:pt>
                <c:pt idx="2">
                  <c:v>15-19</c:v>
                </c:pt>
                <c:pt idx="3">
                  <c:v>20-39</c:v>
                </c:pt>
                <c:pt idx="4">
                  <c:v>40-59</c:v>
                </c:pt>
                <c:pt idx="5">
                  <c:v>20-64</c:v>
                </c:pt>
                <c:pt idx="6">
                  <c:v>pow. 60</c:v>
                </c:pt>
                <c:pt idx="7">
                  <c:v>pow. 70</c:v>
                </c:pt>
                <c:pt idx="8">
                  <c:v>pow. 80</c:v>
                </c:pt>
                <c:pt idx="9">
                  <c:v>Ogółem</c:v>
                </c:pt>
              </c:strCache>
            </c:strRef>
          </c:cat>
          <c:val>
            <c:numRef>
              <c:f>Arkusz1!$F$30:$F$39</c:f>
              <c:numCache>
                <c:formatCode>#,##0</c:formatCode>
                <c:ptCount val="10"/>
                <c:pt idx="0">
                  <c:v>53396</c:v>
                </c:pt>
                <c:pt idx="1">
                  <c:v>112832</c:v>
                </c:pt>
                <c:pt idx="2">
                  <c:v>45976</c:v>
                </c:pt>
                <c:pt idx="3">
                  <c:v>311141</c:v>
                </c:pt>
                <c:pt idx="4">
                  <c:v>292669</c:v>
                </c:pt>
                <c:pt idx="5">
                  <c:v>656868</c:v>
                </c:pt>
                <c:pt idx="6">
                  <c:v>254711</c:v>
                </c:pt>
                <c:pt idx="7">
                  <c:v>137635</c:v>
                </c:pt>
                <c:pt idx="8">
                  <c:v>43983</c:v>
                </c:pt>
                <c:pt idx="9">
                  <c:v>1070725</c:v>
                </c:pt>
              </c:numCache>
            </c:numRef>
          </c:val>
          <c:extLst xmlns:c16r2="http://schemas.microsoft.com/office/drawing/2015/06/chart">
            <c:ext xmlns:c16="http://schemas.microsoft.com/office/drawing/2014/chart" uri="{C3380CC4-5D6E-409C-BE32-E72D297353CC}">
              <c16:uniqueId val="{00000001-F05E-42A3-B44F-050DB14CFC98}"/>
            </c:ext>
          </c:extLst>
        </c:ser>
        <c:ser>
          <c:idx val="2"/>
          <c:order val="2"/>
          <c:tx>
            <c:strRef>
              <c:f>Arkusz1!$G$29</c:f>
              <c:strCache>
                <c:ptCount val="1"/>
                <c:pt idx="0">
                  <c:v>2033</c:v>
                </c:pt>
              </c:strCache>
            </c:strRef>
          </c:tx>
          <c:spPr>
            <a:solidFill>
              <a:schemeClr val="accent3"/>
            </a:solidFill>
            <a:ln>
              <a:noFill/>
            </a:ln>
            <a:effectLst/>
          </c:spPr>
          <c:cat>
            <c:strRef>
              <c:f>Arkusz1!$D$30:$D$39</c:f>
              <c:strCache>
                <c:ptCount val="10"/>
                <c:pt idx="0">
                  <c:v>0-4</c:v>
                </c:pt>
                <c:pt idx="1">
                  <c:v>5-14</c:v>
                </c:pt>
                <c:pt idx="2">
                  <c:v>15-19</c:v>
                </c:pt>
                <c:pt idx="3">
                  <c:v>20-39</c:v>
                </c:pt>
                <c:pt idx="4">
                  <c:v>40-59</c:v>
                </c:pt>
                <c:pt idx="5">
                  <c:v>20-64</c:v>
                </c:pt>
                <c:pt idx="6">
                  <c:v>pow. 60</c:v>
                </c:pt>
                <c:pt idx="7">
                  <c:v>pow. 70</c:v>
                </c:pt>
                <c:pt idx="8">
                  <c:v>pow. 80</c:v>
                </c:pt>
                <c:pt idx="9">
                  <c:v>Ogółem</c:v>
                </c:pt>
              </c:strCache>
            </c:strRef>
          </c:cat>
          <c:val>
            <c:numRef>
              <c:f>Arkusz1!$G$30:$G$39</c:f>
              <c:numCache>
                <c:formatCode>#,##0</c:formatCode>
                <c:ptCount val="10"/>
                <c:pt idx="0">
                  <c:v>44982.496610883209</c:v>
                </c:pt>
                <c:pt idx="1">
                  <c:v>134194.93560248168</c:v>
                </c:pt>
                <c:pt idx="2">
                  <c:v>59167.314960977143</c:v>
                </c:pt>
                <c:pt idx="3">
                  <c:v>262644.78681223188</c:v>
                </c:pt>
                <c:pt idx="4">
                  <c:v>381562.76156405854</c:v>
                </c:pt>
                <c:pt idx="5">
                  <c:v>700727.20900226326</c:v>
                </c:pt>
                <c:pt idx="6">
                  <c:v>273822.95554468472</c:v>
                </c:pt>
                <c:pt idx="7">
                  <c:v>174314.71729911919</c:v>
                </c:pt>
                <c:pt idx="8">
                  <c:v>82248.149096502864</c:v>
                </c:pt>
                <c:pt idx="9">
                  <c:v>1156375.2510953166</c:v>
                </c:pt>
              </c:numCache>
            </c:numRef>
          </c:val>
          <c:extLst xmlns:c16r2="http://schemas.microsoft.com/office/drawing/2015/06/chart">
            <c:ext xmlns:c16="http://schemas.microsoft.com/office/drawing/2014/chart" uri="{C3380CC4-5D6E-409C-BE32-E72D297353CC}">
              <c16:uniqueId val="{00000002-F05E-42A3-B44F-050DB14CFC98}"/>
            </c:ext>
          </c:extLst>
        </c:ser>
        <c:ser>
          <c:idx val="3"/>
          <c:order val="3"/>
          <c:tx>
            <c:strRef>
              <c:f>Arkusz1!$H$29</c:f>
              <c:strCache>
                <c:ptCount val="1"/>
                <c:pt idx="0">
                  <c:v>2043</c:v>
                </c:pt>
              </c:strCache>
            </c:strRef>
          </c:tx>
          <c:spPr>
            <a:solidFill>
              <a:schemeClr val="accent4"/>
            </a:solidFill>
            <a:ln>
              <a:noFill/>
            </a:ln>
            <a:effectLst/>
          </c:spPr>
          <c:cat>
            <c:strRef>
              <c:f>Arkusz1!$D$30:$D$39</c:f>
              <c:strCache>
                <c:ptCount val="10"/>
                <c:pt idx="0">
                  <c:v>0-4</c:v>
                </c:pt>
                <c:pt idx="1">
                  <c:v>5-14</c:v>
                </c:pt>
                <c:pt idx="2">
                  <c:v>15-19</c:v>
                </c:pt>
                <c:pt idx="3">
                  <c:v>20-39</c:v>
                </c:pt>
                <c:pt idx="4">
                  <c:v>40-59</c:v>
                </c:pt>
                <c:pt idx="5">
                  <c:v>20-64</c:v>
                </c:pt>
                <c:pt idx="6">
                  <c:v>pow. 60</c:v>
                </c:pt>
                <c:pt idx="7">
                  <c:v>pow. 70</c:v>
                </c:pt>
                <c:pt idx="8">
                  <c:v>pow. 80</c:v>
                </c:pt>
                <c:pt idx="9">
                  <c:v>Ogółem</c:v>
                </c:pt>
              </c:strCache>
            </c:strRef>
          </c:cat>
          <c:val>
            <c:numRef>
              <c:f>Arkusz1!$H$30:$H$39</c:f>
              <c:numCache>
                <c:formatCode>#,##0</c:formatCode>
                <c:ptCount val="10"/>
                <c:pt idx="0">
                  <c:v>51772.82171335398</c:v>
                </c:pt>
                <c:pt idx="1">
                  <c:v>104547.99814805057</c:v>
                </c:pt>
                <c:pt idx="2">
                  <c:v>77948.922073491849</c:v>
                </c:pt>
                <c:pt idx="3">
                  <c:v>300029.81999652617</c:v>
                </c:pt>
                <c:pt idx="4">
                  <c:v>340938.00454401964</c:v>
                </c:pt>
                <c:pt idx="5">
                  <c:v>730880.1447154769</c:v>
                </c:pt>
                <c:pt idx="6">
                  <c:v>315311.83076191833</c:v>
                </c:pt>
                <c:pt idx="7">
                  <c:v>156733.45370672588</c:v>
                </c:pt>
                <c:pt idx="8">
                  <c:v>77807.715160696025</c:v>
                </c:pt>
                <c:pt idx="9">
                  <c:v>1190549.3972373602</c:v>
                </c:pt>
              </c:numCache>
            </c:numRef>
          </c:val>
          <c:extLst xmlns:c16r2="http://schemas.microsoft.com/office/drawing/2015/06/chart">
            <c:ext xmlns:c16="http://schemas.microsoft.com/office/drawing/2014/chart" uri="{C3380CC4-5D6E-409C-BE32-E72D297353CC}">
              <c16:uniqueId val="{00000003-F05E-42A3-B44F-050DB14CFC98}"/>
            </c:ext>
          </c:extLst>
        </c:ser>
        <c:ser>
          <c:idx val="4"/>
          <c:order val="4"/>
          <c:tx>
            <c:strRef>
              <c:f>Arkusz1!$I$29</c:f>
              <c:strCache>
                <c:ptCount val="1"/>
                <c:pt idx="0">
                  <c:v>2053</c:v>
                </c:pt>
              </c:strCache>
            </c:strRef>
          </c:tx>
          <c:spPr>
            <a:solidFill>
              <a:schemeClr val="accent5"/>
            </a:solidFill>
            <a:ln>
              <a:noFill/>
            </a:ln>
            <a:effectLst/>
          </c:spPr>
          <c:cat>
            <c:strRef>
              <c:f>Arkusz1!$D$30:$D$39</c:f>
              <c:strCache>
                <c:ptCount val="10"/>
                <c:pt idx="0">
                  <c:v>0-4</c:v>
                </c:pt>
                <c:pt idx="1">
                  <c:v>5-14</c:v>
                </c:pt>
                <c:pt idx="2">
                  <c:v>15-19</c:v>
                </c:pt>
                <c:pt idx="3">
                  <c:v>20-39</c:v>
                </c:pt>
                <c:pt idx="4">
                  <c:v>40-59</c:v>
                </c:pt>
                <c:pt idx="5">
                  <c:v>20-64</c:v>
                </c:pt>
                <c:pt idx="6">
                  <c:v>pow. 60</c:v>
                </c:pt>
                <c:pt idx="7">
                  <c:v>pow. 70</c:v>
                </c:pt>
                <c:pt idx="8">
                  <c:v>pow. 80</c:v>
                </c:pt>
                <c:pt idx="9">
                  <c:v>Ogółem</c:v>
                </c:pt>
              </c:strCache>
            </c:strRef>
          </c:cat>
          <c:val>
            <c:numRef>
              <c:f>Arkusz1!$I$30:$I$39</c:f>
              <c:numCache>
                <c:formatCode>#,##0</c:formatCode>
                <c:ptCount val="10"/>
                <c:pt idx="0">
                  <c:v>52499.187061953075</c:v>
                </c:pt>
                <c:pt idx="1">
                  <c:v>110227.28256089917</c:v>
                </c:pt>
                <c:pt idx="2">
                  <c:v>57048.718424432715</c:v>
                </c:pt>
                <c:pt idx="3">
                  <c:v>339105.70620277495</c:v>
                </c:pt>
                <c:pt idx="4">
                  <c:v>297928.00973545318</c:v>
                </c:pt>
                <c:pt idx="5">
                  <c:v>728719.28737517342</c:v>
                </c:pt>
                <c:pt idx="6">
                  <c:v>385713.92292390874</c:v>
                </c:pt>
                <c:pt idx="7">
                  <c:v>207829.10060830408</c:v>
                </c:pt>
                <c:pt idx="8">
                  <c:v>82060.777303866838</c:v>
                </c:pt>
                <c:pt idx="9">
                  <c:v>1242522.8269094231</c:v>
                </c:pt>
              </c:numCache>
            </c:numRef>
          </c:val>
          <c:extLst xmlns:c16r2="http://schemas.microsoft.com/office/drawing/2015/06/chart">
            <c:ext xmlns:c16="http://schemas.microsoft.com/office/drawing/2014/chart" uri="{C3380CC4-5D6E-409C-BE32-E72D297353CC}">
              <c16:uniqueId val="{00000004-F05E-42A3-B44F-050DB14CFC98}"/>
            </c:ext>
          </c:extLst>
        </c:ser>
        <c:dLbls/>
        <c:gapWidth val="219"/>
        <c:overlap val="-27"/>
        <c:axId val="173832448"/>
        <c:axId val="173846912"/>
      </c:barChart>
      <c:catAx>
        <c:axId val="173832448"/>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Grupy wieku</a:t>
                </a:r>
              </a:p>
            </c:rich>
          </c:tx>
          <c:layout/>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3846912"/>
        <c:crosses val="autoZero"/>
        <c:auto val="1"/>
        <c:lblAlgn val="ctr"/>
        <c:lblOffset val="100"/>
      </c:catAx>
      <c:valAx>
        <c:axId val="173846912"/>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Liczba osób</a:t>
                </a:r>
              </a:p>
            </c:rich>
          </c:tx>
          <c:layout/>
          <c:spPr>
            <a:noFill/>
            <a:ln>
              <a:noFill/>
            </a:ln>
            <a:effectLst/>
          </c:spPr>
        </c:title>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38324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pl-PL"/>
  <c:chart>
    <c:autoTitleDeleted val="1"/>
    <c:plotArea>
      <c:layout/>
      <c:barChart>
        <c:barDir val="col"/>
        <c:grouping val="clustered"/>
        <c:ser>
          <c:idx val="2"/>
          <c:order val="2"/>
          <c:tx>
            <c:strRef>
              <c:f>Arkusz1!$V$23</c:f>
              <c:strCache>
                <c:ptCount val="1"/>
                <c:pt idx="0">
                  <c:v>saldo</c:v>
                </c:pt>
              </c:strCache>
            </c:strRef>
          </c:tx>
          <c:spPr>
            <a:solidFill>
              <a:schemeClr val="accent3"/>
            </a:solidFill>
            <a:ln>
              <a:noFill/>
            </a:ln>
            <a:effectLst/>
          </c:spPr>
          <c:cat>
            <c:numRef>
              <c:f>Arkusz1!$W$20:$AD$20</c:f>
              <c:numCache>
                <c:formatCode>General</c:formatCode>
                <c:ptCount val="8"/>
                <c:pt idx="0">
                  <c:v>2025</c:v>
                </c:pt>
                <c:pt idx="1">
                  <c:v>2030</c:v>
                </c:pt>
                <c:pt idx="2">
                  <c:v>2035</c:v>
                </c:pt>
                <c:pt idx="3">
                  <c:v>2040</c:v>
                </c:pt>
                <c:pt idx="4">
                  <c:v>2024</c:v>
                </c:pt>
                <c:pt idx="5">
                  <c:v>2050</c:v>
                </c:pt>
                <c:pt idx="6">
                  <c:v>2055</c:v>
                </c:pt>
                <c:pt idx="7">
                  <c:v>2060</c:v>
                </c:pt>
              </c:numCache>
            </c:numRef>
          </c:cat>
          <c:val>
            <c:numRef>
              <c:f>Arkusz1!$W$23:$AD$23</c:f>
              <c:numCache>
                <c:formatCode>0.0</c:formatCode>
                <c:ptCount val="8"/>
                <c:pt idx="0">
                  <c:v>-8</c:v>
                </c:pt>
                <c:pt idx="1">
                  <c:v>10.30000000000002</c:v>
                </c:pt>
                <c:pt idx="2">
                  <c:v>75.7</c:v>
                </c:pt>
                <c:pt idx="3">
                  <c:v>83.2</c:v>
                </c:pt>
                <c:pt idx="4">
                  <c:v>89.200000000000017</c:v>
                </c:pt>
                <c:pt idx="5">
                  <c:v>93.8</c:v>
                </c:pt>
                <c:pt idx="6">
                  <c:v>97.800000000000011</c:v>
                </c:pt>
                <c:pt idx="7">
                  <c:v>101.3</c:v>
                </c:pt>
              </c:numCache>
            </c:numRef>
          </c:val>
          <c:extLst xmlns:c16r2="http://schemas.microsoft.com/office/drawing/2015/06/chart">
            <c:ext xmlns:c16="http://schemas.microsoft.com/office/drawing/2014/chart" uri="{C3380CC4-5D6E-409C-BE32-E72D297353CC}">
              <c16:uniqueId val="{00000000-71A0-47C3-9D30-6FFA12ED5912}"/>
            </c:ext>
          </c:extLst>
        </c:ser>
        <c:dLbls/>
        <c:gapWidth val="219"/>
        <c:axId val="171731200"/>
        <c:axId val="171741568"/>
      </c:barChart>
      <c:lineChart>
        <c:grouping val="standard"/>
        <c:ser>
          <c:idx val="0"/>
          <c:order val="0"/>
          <c:tx>
            <c:strRef>
              <c:f>Arkusz1!$V$21</c:f>
              <c:strCache>
                <c:ptCount val="1"/>
                <c:pt idx="0">
                  <c:v>imigracja</c:v>
                </c:pt>
              </c:strCache>
            </c:strRef>
          </c:tx>
          <c:spPr>
            <a:ln w="28575" cap="rnd">
              <a:solidFill>
                <a:schemeClr val="accent1"/>
              </a:solidFill>
              <a:round/>
            </a:ln>
            <a:effectLst/>
          </c:spPr>
          <c:marker>
            <c:symbol val="none"/>
          </c:marker>
          <c:cat>
            <c:numRef>
              <c:f>Arkusz1!$W$20:$AD$20</c:f>
              <c:numCache>
                <c:formatCode>General</c:formatCode>
                <c:ptCount val="8"/>
                <c:pt idx="0">
                  <c:v>2025</c:v>
                </c:pt>
                <c:pt idx="1">
                  <c:v>2030</c:v>
                </c:pt>
                <c:pt idx="2">
                  <c:v>2035</c:v>
                </c:pt>
                <c:pt idx="3">
                  <c:v>2040</c:v>
                </c:pt>
                <c:pt idx="4">
                  <c:v>2024</c:v>
                </c:pt>
                <c:pt idx="5">
                  <c:v>2050</c:v>
                </c:pt>
                <c:pt idx="6">
                  <c:v>2055</c:v>
                </c:pt>
                <c:pt idx="7">
                  <c:v>2060</c:v>
                </c:pt>
              </c:numCache>
            </c:numRef>
          </c:cat>
          <c:val>
            <c:numRef>
              <c:f>Arkusz1!$W$21:$AD$21</c:f>
              <c:numCache>
                <c:formatCode>0.0</c:formatCode>
                <c:ptCount val="8"/>
                <c:pt idx="0">
                  <c:v>100.8</c:v>
                </c:pt>
                <c:pt idx="1">
                  <c:v>115.4</c:v>
                </c:pt>
                <c:pt idx="2">
                  <c:v>124</c:v>
                </c:pt>
                <c:pt idx="3">
                  <c:v>130</c:v>
                </c:pt>
                <c:pt idx="4">
                  <c:v>134.80000000000001</c:v>
                </c:pt>
                <c:pt idx="5">
                  <c:v>138.6</c:v>
                </c:pt>
                <c:pt idx="6">
                  <c:v>141.9</c:v>
                </c:pt>
                <c:pt idx="7">
                  <c:v>144.69999999999999</c:v>
                </c:pt>
              </c:numCache>
            </c:numRef>
          </c:val>
          <c:extLst xmlns:c16r2="http://schemas.microsoft.com/office/drawing/2015/06/chart">
            <c:ext xmlns:c16="http://schemas.microsoft.com/office/drawing/2014/chart" uri="{C3380CC4-5D6E-409C-BE32-E72D297353CC}">
              <c16:uniqueId val="{00000001-71A0-47C3-9D30-6FFA12ED5912}"/>
            </c:ext>
          </c:extLst>
        </c:ser>
        <c:ser>
          <c:idx val="1"/>
          <c:order val="1"/>
          <c:tx>
            <c:strRef>
              <c:f>Arkusz1!$V$22</c:f>
              <c:strCache>
                <c:ptCount val="1"/>
                <c:pt idx="0">
                  <c:v>emigracja</c:v>
                </c:pt>
              </c:strCache>
            </c:strRef>
          </c:tx>
          <c:spPr>
            <a:ln w="28575" cap="rnd">
              <a:solidFill>
                <a:schemeClr val="accent2"/>
              </a:solidFill>
              <a:round/>
            </a:ln>
            <a:effectLst/>
          </c:spPr>
          <c:marker>
            <c:symbol val="none"/>
          </c:marker>
          <c:cat>
            <c:numRef>
              <c:f>Arkusz1!$W$20:$AD$20</c:f>
              <c:numCache>
                <c:formatCode>General</c:formatCode>
                <c:ptCount val="8"/>
                <c:pt idx="0">
                  <c:v>2025</c:v>
                </c:pt>
                <c:pt idx="1">
                  <c:v>2030</c:v>
                </c:pt>
                <c:pt idx="2">
                  <c:v>2035</c:v>
                </c:pt>
                <c:pt idx="3">
                  <c:v>2040</c:v>
                </c:pt>
                <c:pt idx="4">
                  <c:v>2024</c:v>
                </c:pt>
                <c:pt idx="5">
                  <c:v>2050</c:v>
                </c:pt>
                <c:pt idx="6">
                  <c:v>2055</c:v>
                </c:pt>
                <c:pt idx="7">
                  <c:v>2060</c:v>
                </c:pt>
              </c:numCache>
            </c:numRef>
          </c:cat>
          <c:val>
            <c:numRef>
              <c:f>Arkusz1!$W$22:$AD$22</c:f>
              <c:numCache>
                <c:formatCode>0.0</c:formatCode>
                <c:ptCount val="8"/>
                <c:pt idx="0">
                  <c:v>108.8</c:v>
                </c:pt>
                <c:pt idx="1">
                  <c:v>105.1</c:v>
                </c:pt>
                <c:pt idx="2">
                  <c:v>48.3</c:v>
                </c:pt>
                <c:pt idx="3">
                  <c:v>46.8</c:v>
                </c:pt>
                <c:pt idx="4">
                  <c:v>45.6</c:v>
                </c:pt>
                <c:pt idx="5">
                  <c:v>44.8</c:v>
                </c:pt>
                <c:pt idx="6">
                  <c:v>44.1</c:v>
                </c:pt>
                <c:pt idx="7">
                  <c:v>43.4</c:v>
                </c:pt>
              </c:numCache>
            </c:numRef>
          </c:val>
          <c:extLst xmlns:c16r2="http://schemas.microsoft.com/office/drawing/2015/06/chart">
            <c:ext xmlns:c16="http://schemas.microsoft.com/office/drawing/2014/chart" uri="{C3380CC4-5D6E-409C-BE32-E72D297353CC}">
              <c16:uniqueId val="{00000002-71A0-47C3-9D30-6FFA12ED5912}"/>
            </c:ext>
          </c:extLst>
        </c:ser>
        <c:dLbls/>
        <c:marker val="1"/>
        <c:axId val="171731200"/>
        <c:axId val="171741568"/>
      </c:lineChart>
      <c:catAx>
        <c:axId val="171731200"/>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Rok</a:t>
                </a:r>
                <a:r>
                  <a:rPr lang="pl-PL" baseline="0"/>
                  <a:t> prognozy</a:t>
                </a:r>
                <a:endParaRPr lang="pl-PL"/>
              </a:p>
            </c:rich>
          </c:tx>
          <c:layout/>
          <c:spPr>
            <a:noFill/>
            <a:ln>
              <a:noFill/>
            </a:ln>
            <a:effectLst/>
          </c:spPr>
        </c:title>
        <c:numFmt formatCode="General" sourceLinked="1"/>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1741568"/>
        <c:crosses val="autoZero"/>
        <c:auto val="1"/>
        <c:lblAlgn val="ctr"/>
        <c:lblOffset val="100"/>
      </c:catAx>
      <c:valAx>
        <c:axId val="171741568"/>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Liczba</a:t>
                </a:r>
                <a:r>
                  <a:rPr lang="pl-PL" baseline="0"/>
                  <a:t> osób w tys.</a:t>
                </a:r>
                <a:endParaRPr lang="pl-PL"/>
              </a:p>
            </c:rich>
          </c:tx>
          <c:layout/>
          <c:spPr>
            <a:noFill/>
            <a:ln>
              <a:noFill/>
            </a:ln>
            <a:effectLst/>
          </c:spPr>
        </c:title>
        <c:numFmt formatCode="0.0" sourceLinked="1"/>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17312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pl-PL"/>
  <c:chart>
    <c:autoTitleDeleted val="1"/>
    <c:plotArea>
      <c:layout/>
      <c:barChart>
        <c:barDir val="col"/>
        <c:grouping val="clustered"/>
        <c:ser>
          <c:idx val="0"/>
          <c:order val="0"/>
          <c:tx>
            <c:strRef>
              <c:f>Arkusz1!$H$85</c:f>
              <c:strCache>
                <c:ptCount val="1"/>
                <c:pt idx="0">
                  <c:v>pow. 60</c:v>
                </c:pt>
              </c:strCache>
            </c:strRef>
          </c:tx>
          <c:spPr>
            <a:solidFill>
              <a:schemeClr val="accent1"/>
            </a:solidFill>
            <a:ln>
              <a:noFill/>
            </a:ln>
            <a:effectLst/>
          </c:spPr>
          <c:cat>
            <c:numRef>
              <c:f>Arkusz1!$I$84:$M$84</c:f>
              <c:numCache>
                <c:formatCode>General</c:formatCode>
                <c:ptCount val="5"/>
                <c:pt idx="0">
                  <c:v>2013</c:v>
                </c:pt>
                <c:pt idx="1">
                  <c:v>2023</c:v>
                </c:pt>
                <c:pt idx="2">
                  <c:v>2033</c:v>
                </c:pt>
                <c:pt idx="3">
                  <c:v>2043</c:v>
                </c:pt>
                <c:pt idx="4">
                  <c:v>2053</c:v>
                </c:pt>
              </c:numCache>
            </c:numRef>
          </c:cat>
          <c:val>
            <c:numRef>
              <c:f>Arkusz1!$I$85:$M$85</c:f>
              <c:numCache>
                <c:formatCode>0</c:formatCode>
                <c:ptCount val="5"/>
                <c:pt idx="0">
                  <c:v>218580</c:v>
                </c:pt>
                <c:pt idx="1">
                  <c:v>254711</c:v>
                </c:pt>
                <c:pt idx="2">
                  <c:v>273822.95554468472</c:v>
                </c:pt>
                <c:pt idx="3">
                  <c:v>315311.83076191833</c:v>
                </c:pt>
                <c:pt idx="4">
                  <c:v>385713.92292390874</c:v>
                </c:pt>
              </c:numCache>
            </c:numRef>
          </c:val>
          <c:extLst xmlns:c16r2="http://schemas.microsoft.com/office/drawing/2015/06/chart">
            <c:ext xmlns:c16="http://schemas.microsoft.com/office/drawing/2014/chart" uri="{C3380CC4-5D6E-409C-BE32-E72D297353CC}">
              <c16:uniqueId val="{00000000-0F4B-4DAE-BD23-3FD1C26B6AD9}"/>
            </c:ext>
          </c:extLst>
        </c:ser>
        <c:ser>
          <c:idx val="1"/>
          <c:order val="1"/>
          <c:tx>
            <c:strRef>
              <c:f>Arkusz1!$H$86</c:f>
              <c:strCache>
                <c:ptCount val="1"/>
                <c:pt idx="0">
                  <c:v>pow. 70</c:v>
                </c:pt>
              </c:strCache>
            </c:strRef>
          </c:tx>
          <c:spPr>
            <a:solidFill>
              <a:schemeClr val="accent2"/>
            </a:solidFill>
            <a:ln>
              <a:noFill/>
            </a:ln>
            <a:effectLst/>
          </c:spPr>
          <c:cat>
            <c:numRef>
              <c:f>Arkusz1!$I$84:$M$84</c:f>
              <c:numCache>
                <c:formatCode>General</c:formatCode>
                <c:ptCount val="5"/>
                <c:pt idx="0">
                  <c:v>2013</c:v>
                </c:pt>
                <c:pt idx="1">
                  <c:v>2023</c:v>
                </c:pt>
                <c:pt idx="2">
                  <c:v>2033</c:v>
                </c:pt>
                <c:pt idx="3">
                  <c:v>2043</c:v>
                </c:pt>
                <c:pt idx="4">
                  <c:v>2053</c:v>
                </c:pt>
              </c:numCache>
            </c:numRef>
          </c:cat>
          <c:val>
            <c:numRef>
              <c:f>Arkusz1!$I$86:$M$86</c:f>
              <c:numCache>
                <c:formatCode>0</c:formatCode>
                <c:ptCount val="5"/>
                <c:pt idx="0">
                  <c:v>100805</c:v>
                </c:pt>
                <c:pt idx="1">
                  <c:v>137635</c:v>
                </c:pt>
                <c:pt idx="2">
                  <c:v>174314.71729911919</c:v>
                </c:pt>
                <c:pt idx="3">
                  <c:v>156733.45370672588</c:v>
                </c:pt>
                <c:pt idx="4">
                  <c:v>207829.10060830408</c:v>
                </c:pt>
              </c:numCache>
            </c:numRef>
          </c:val>
          <c:extLst xmlns:c16r2="http://schemas.microsoft.com/office/drawing/2015/06/chart">
            <c:ext xmlns:c16="http://schemas.microsoft.com/office/drawing/2014/chart" uri="{C3380CC4-5D6E-409C-BE32-E72D297353CC}">
              <c16:uniqueId val="{00000001-0F4B-4DAE-BD23-3FD1C26B6AD9}"/>
            </c:ext>
          </c:extLst>
        </c:ser>
        <c:ser>
          <c:idx val="2"/>
          <c:order val="2"/>
          <c:tx>
            <c:strRef>
              <c:f>Arkusz1!$H$87</c:f>
              <c:strCache>
                <c:ptCount val="1"/>
                <c:pt idx="0">
                  <c:v>pow. 80</c:v>
                </c:pt>
              </c:strCache>
            </c:strRef>
          </c:tx>
          <c:spPr>
            <a:solidFill>
              <a:schemeClr val="accent3"/>
            </a:solidFill>
            <a:ln>
              <a:noFill/>
            </a:ln>
            <a:effectLst/>
          </c:spPr>
          <c:cat>
            <c:numRef>
              <c:f>Arkusz1!$I$84:$M$84</c:f>
              <c:numCache>
                <c:formatCode>General</c:formatCode>
                <c:ptCount val="5"/>
                <c:pt idx="0">
                  <c:v>2013</c:v>
                </c:pt>
                <c:pt idx="1">
                  <c:v>2023</c:v>
                </c:pt>
                <c:pt idx="2">
                  <c:v>2033</c:v>
                </c:pt>
                <c:pt idx="3">
                  <c:v>2043</c:v>
                </c:pt>
                <c:pt idx="4">
                  <c:v>2053</c:v>
                </c:pt>
              </c:numCache>
            </c:numRef>
          </c:cat>
          <c:val>
            <c:numRef>
              <c:f>Arkusz1!$I$87:$M$87</c:f>
              <c:numCache>
                <c:formatCode>0</c:formatCode>
                <c:ptCount val="5"/>
                <c:pt idx="0">
                  <c:v>41405</c:v>
                </c:pt>
                <c:pt idx="1">
                  <c:v>43983</c:v>
                </c:pt>
                <c:pt idx="2">
                  <c:v>82248.149096502864</c:v>
                </c:pt>
                <c:pt idx="3">
                  <c:v>77807.715160696025</c:v>
                </c:pt>
                <c:pt idx="4">
                  <c:v>82060.777303866838</c:v>
                </c:pt>
              </c:numCache>
            </c:numRef>
          </c:val>
          <c:extLst xmlns:c16r2="http://schemas.microsoft.com/office/drawing/2015/06/chart">
            <c:ext xmlns:c16="http://schemas.microsoft.com/office/drawing/2014/chart" uri="{C3380CC4-5D6E-409C-BE32-E72D297353CC}">
              <c16:uniqueId val="{00000002-0F4B-4DAE-BD23-3FD1C26B6AD9}"/>
            </c:ext>
          </c:extLst>
        </c:ser>
        <c:dLbls/>
        <c:gapWidth val="219"/>
        <c:overlap val="-27"/>
        <c:axId val="195237760"/>
        <c:axId val="195256320"/>
      </c:barChart>
      <c:catAx>
        <c:axId val="195237760"/>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Rok prognozy</a:t>
                </a:r>
              </a:p>
            </c:rich>
          </c:tx>
          <c:layout/>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5256320"/>
        <c:crosses val="autoZero"/>
        <c:auto val="1"/>
        <c:lblAlgn val="ctr"/>
        <c:lblOffset val="100"/>
      </c:catAx>
      <c:valAx>
        <c:axId val="195256320"/>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Liczba osób</a:t>
                </a:r>
              </a:p>
            </c:rich>
          </c:tx>
          <c:layout/>
          <c:spPr>
            <a:noFill/>
            <a:ln>
              <a:noFill/>
            </a:ln>
            <a:effectLst/>
          </c:spPr>
        </c:title>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523776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pl-PL"/>
  <c:chart>
    <c:autoTitleDeleted val="1"/>
    <c:plotArea>
      <c:layout/>
      <c:barChart>
        <c:barDir val="col"/>
        <c:grouping val="clustered"/>
        <c:ser>
          <c:idx val="0"/>
          <c:order val="0"/>
          <c:tx>
            <c:strRef>
              <c:f>Arkusz1!$H$99</c:f>
              <c:strCache>
                <c:ptCount val="1"/>
                <c:pt idx="0">
                  <c:v>0-19</c:v>
                </c:pt>
              </c:strCache>
            </c:strRef>
          </c:tx>
          <c:spPr>
            <a:solidFill>
              <a:schemeClr val="accent1"/>
            </a:solidFill>
            <a:ln>
              <a:noFill/>
            </a:ln>
            <a:effectLst/>
          </c:spPr>
          <c:cat>
            <c:numRef>
              <c:f>Arkusz1!$I$98:$M$98</c:f>
              <c:numCache>
                <c:formatCode>General</c:formatCode>
                <c:ptCount val="5"/>
                <c:pt idx="0">
                  <c:v>2013</c:v>
                </c:pt>
                <c:pt idx="1">
                  <c:v>2023</c:v>
                </c:pt>
                <c:pt idx="2">
                  <c:v>2033</c:v>
                </c:pt>
                <c:pt idx="3">
                  <c:v>2043</c:v>
                </c:pt>
                <c:pt idx="4">
                  <c:v>2053</c:v>
                </c:pt>
              </c:numCache>
            </c:numRef>
          </c:cat>
          <c:val>
            <c:numRef>
              <c:f>Arkusz1!$I$99:$M$99</c:f>
              <c:numCache>
                <c:formatCode>0</c:formatCode>
                <c:ptCount val="5"/>
                <c:pt idx="0">
                  <c:v>175176</c:v>
                </c:pt>
                <c:pt idx="1">
                  <c:v>212204</c:v>
                </c:pt>
                <c:pt idx="2">
                  <c:v>238344.74717434245</c:v>
                </c:pt>
                <c:pt idx="3">
                  <c:v>234269.74193489639</c:v>
                </c:pt>
                <c:pt idx="4">
                  <c:v>219775.18804728496</c:v>
                </c:pt>
              </c:numCache>
            </c:numRef>
          </c:val>
          <c:extLst xmlns:c16r2="http://schemas.microsoft.com/office/drawing/2015/06/chart">
            <c:ext xmlns:c16="http://schemas.microsoft.com/office/drawing/2014/chart" uri="{C3380CC4-5D6E-409C-BE32-E72D297353CC}">
              <c16:uniqueId val="{00000000-A884-442B-93A8-93FEE77DF71B}"/>
            </c:ext>
          </c:extLst>
        </c:ser>
        <c:ser>
          <c:idx val="1"/>
          <c:order val="1"/>
          <c:tx>
            <c:strRef>
              <c:f>Arkusz1!$H$100</c:f>
              <c:strCache>
                <c:ptCount val="1"/>
                <c:pt idx="0">
                  <c:v>20-64</c:v>
                </c:pt>
              </c:strCache>
            </c:strRef>
          </c:tx>
          <c:spPr>
            <a:solidFill>
              <a:schemeClr val="accent2"/>
            </a:solidFill>
            <a:ln>
              <a:noFill/>
            </a:ln>
            <a:effectLst/>
          </c:spPr>
          <c:cat>
            <c:numRef>
              <c:f>Arkusz1!$I$98:$M$98</c:f>
              <c:numCache>
                <c:formatCode>General</c:formatCode>
                <c:ptCount val="5"/>
                <c:pt idx="0">
                  <c:v>2013</c:v>
                </c:pt>
                <c:pt idx="1">
                  <c:v>2023</c:v>
                </c:pt>
                <c:pt idx="2">
                  <c:v>2033</c:v>
                </c:pt>
                <c:pt idx="3">
                  <c:v>2043</c:v>
                </c:pt>
                <c:pt idx="4">
                  <c:v>2053</c:v>
                </c:pt>
              </c:numCache>
            </c:numRef>
          </c:cat>
          <c:val>
            <c:numRef>
              <c:f>Arkusz1!$I$100:$M$100</c:f>
              <c:numCache>
                <c:formatCode>0</c:formatCode>
                <c:ptCount val="5"/>
                <c:pt idx="0">
                  <c:v>630060</c:v>
                </c:pt>
                <c:pt idx="1">
                  <c:v>656868</c:v>
                </c:pt>
                <c:pt idx="2">
                  <c:v>700727.20900226326</c:v>
                </c:pt>
                <c:pt idx="3">
                  <c:v>730880.1447154769</c:v>
                </c:pt>
                <c:pt idx="4">
                  <c:v>728719.28737517342</c:v>
                </c:pt>
              </c:numCache>
            </c:numRef>
          </c:val>
          <c:extLst xmlns:c16r2="http://schemas.microsoft.com/office/drawing/2015/06/chart">
            <c:ext xmlns:c16="http://schemas.microsoft.com/office/drawing/2014/chart" uri="{C3380CC4-5D6E-409C-BE32-E72D297353CC}">
              <c16:uniqueId val="{00000001-A884-442B-93A8-93FEE77DF71B}"/>
            </c:ext>
          </c:extLst>
        </c:ser>
        <c:ser>
          <c:idx val="2"/>
          <c:order val="2"/>
          <c:tx>
            <c:strRef>
              <c:f>Arkusz1!$H$101</c:f>
              <c:strCache>
                <c:ptCount val="1"/>
                <c:pt idx="0">
                  <c:v>pow. 65</c:v>
                </c:pt>
              </c:strCache>
            </c:strRef>
          </c:tx>
          <c:spPr>
            <a:solidFill>
              <a:schemeClr val="accent3"/>
            </a:solidFill>
            <a:ln>
              <a:noFill/>
            </a:ln>
            <a:effectLst/>
          </c:spPr>
          <c:cat>
            <c:numRef>
              <c:f>Arkusz1!$I$98:$M$98</c:f>
              <c:numCache>
                <c:formatCode>General</c:formatCode>
                <c:ptCount val="5"/>
                <c:pt idx="0">
                  <c:v>2013</c:v>
                </c:pt>
                <c:pt idx="1">
                  <c:v>2023</c:v>
                </c:pt>
                <c:pt idx="2">
                  <c:v>2033</c:v>
                </c:pt>
                <c:pt idx="3">
                  <c:v>2043</c:v>
                </c:pt>
                <c:pt idx="4">
                  <c:v>2053</c:v>
                </c:pt>
              </c:numCache>
            </c:numRef>
          </c:cat>
          <c:val>
            <c:numRef>
              <c:f>Arkusz1!$I$101:$M$101</c:f>
              <c:numCache>
                <c:formatCode>0</c:formatCode>
                <c:ptCount val="5"/>
                <c:pt idx="0">
                  <c:v>147655</c:v>
                </c:pt>
                <c:pt idx="1">
                  <c:v>201653</c:v>
                </c:pt>
                <c:pt idx="2">
                  <c:v>217303.29491871211</c:v>
                </c:pt>
                <c:pt idx="3">
                  <c:v>225399.51058698673</c:v>
                </c:pt>
                <c:pt idx="4">
                  <c:v>294028.35148696188</c:v>
                </c:pt>
              </c:numCache>
            </c:numRef>
          </c:val>
          <c:extLst xmlns:c16r2="http://schemas.microsoft.com/office/drawing/2015/06/chart">
            <c:ext xmlns:c16="http://schemas.microsoft.com/office/drawing/2014/chart" uri="{C3380CC4-5D6E-409C-BE32-E72D297353CC}">
              <c16:uniqueId val="{00000002-A884-442B-93A8-93FEE77DF71B}"/>
            </c:ext>
          </c:extLst>
        </c:ser>
        <c:dLbls/>
        <c:gapWidth val="219"/>
        <c:axId val="216097152"/>
        <c:axId val="216099072"/>
      </c:barChart>
      <c:lineChart>
        <c:grouping val="standard"/>
        <c:ser>
          <c:idx val="3"/>
          <c:order val="3"/>
          <c:tx>
            <c:strRef>
              <c:f>Arkusz1!$H$102</c:f>
              <c:strCache>
                <c:ptCount val="1"/>
                <c:pt idx="0">
                  <c:v>Udział osób w wieku pow. 65</c:v>
                </c:pt>
              </c:strCache>
            </c:strRef>
          </c:tx>
          <c:spPr>
            <a:ln w="28575" cap="rnd">
              <a:solidFill>
                <a:schemeClr val="accent4"/>
              </a:solidFill>
              <a:round/>
            </a:ln>
            <a:effectLst/>
          </c:spPr>
          <c:marker>
            <c:symbol val="none"/>
          </c:marker>
          <c:cat>
            <c:numRef>
              <c:f>Arkusz1!$I$98:$M$98</c:f>
              <c:numCache>
                <c:formatCode>General</c:formatCode>
                <c:ptCount val="5"/>
                <c:pt idx="0">
                  <c:v>2013</c:v>
                </c:pt>
                <c:pt idx="1">
                  <c:v>2023</c:v>
                </c:pt>
                <c:pt idx="2">
                  <c:v>2033</c:v>
                </c:pt>
                <c:pt idx="3">
                  <c:v>2043</c:v>
                </c:pt>
                <c:pt idx="4">
                  <c:v>2053</c:v>
                </c:pt>
              </c:numCache>
            </c:numRef>
          </c:cat>
          <c:val>
            <c:numRef>
              <c:f>Arkusz1!$I$102:$M$102</c:f>
              <c:numCache>
                <c:formatCode>0.0</c:formatCode>
                <c:ptCount val="5"/>
                <c:pt idx="0">
                  <c:v>15.495476397615274</c:v>
                </c:pt>
                <c:pt idx="1">
                  <c:v>18.833313876111959</c:v>
                </c:pt>
                <c:pt idx="2">
                  <c:v>18.7917628566404</c:v>
                </c:pt>
                <c:pt idx="3">
                  <c:v>18.932394666699306</c:v>
                </c:pt>
                <c:pt idx="4">
                  <c:v>23.663818894845644</c:v>
                </c:pt>
              </c:numCache>
            </c:numRef>
          </c:val>
          <c:extLst xmlns:c16r2="http://schemas.microsoft.com/office/drawing/2015/06/chart">
            <c:ext xmlns:c16="http://schemas.microsoft.com/office/drawing/2014/chart" uri="{C3380CC4-5D6E-409C-BE32-E72D297353CC}">
              <c16:uniqueId val="{00000003-A884-442B-93A8-93FEE77DF71B}"/>
            </c:ext>
          </c:extLst>
        </c:ser>
        <c:dLbls/>
        <c:marker val="1"/>
        <c:axId val="216115456"/>
        <c:axId val="216113536"/>
      </c:lineChart>
      <c:catAx>
        <c:axId val="216097152"/>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Rok</a:t>
                </a:r>
                <a:r>
                  <a:rPr lang="pl-PL" baseline="0"/>
                  <a:t> prognozy</a:t>
                </a:r>
                <a:endParaRPr lang="pl-PL"/>
              </a:p>
            </c:rich>
          </c:tx>
          <c:layout/>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16099072"/>
        <c:crosses val="autoZero"/>
        <c:auto val="1"/>
        <c:lblAlgn val="ctr"/>
        <c:lblOffset val="100"/>
      </c:catAx>
      <c:valAx>
        <c:axId val="216099072"/>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Liczba</a:t>
                </a:r>
                <a:r>
                  <a:rPr lang="pl-PL" baseline="0"/>
                  <a:t> osób</a:t>
                </a:r>
                <a:endParaRPr lang="pl-PL"/>
              </a:p>
            </c:rich>
          </c:tx>
          <c:layout/>
          <c:spPr>
            <a:noFill/>
            <a:ln>
              <a:noFill/>
            </a:ln>
            <a:effectLst/>
          </c:spPr>
        </c:title>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16097152"/>
        <c:crosses val="autoZero"/>
        <c:crossBetween val="between"/>
      </c:valAx>
      <c:valAx>
        <c:axId val="216113536"/>
        <c:scaling>
          <c:orientation val="minMax"/>
        </c:scaling>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Udział</a:t>
                </a:r>
                <a:r>
                  <a:rPr lang="pl-PL" baseline="0"/>
                  <a:t> osób w wieku pow. 65 r. ż.</a:t>
                </a:r>
                <a:endParaRPr lang="pl-PL"/>
              </a:p>
            </c:rich>
          </c:tx>
          <c:layout/>
          <c:spPr>
            <a:noFill/>
            <a:ln>
              <a:noFill/>
            </a:ln>
            <a:effectLst/>
          </c:spPr>
        </c:title>
        <c:numFmt formatCode="0.0" sourceLinked="1"/>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16115456"/>
        <c:crosses val="max"/>
        <c:crossBetween val="between"/>
      </c:valAx>
      <c:catAx>
        <c:axId val="216115456"/>
        <c:scaling>
          <c:orientation val="minMax"/>
        </c:scaling>
        <c:delete val="1"/>
        <c:axPos val="b"/>
        <c:numFmt formatCode="General" sourceLinked="1"/>
        <c:tickLblPos val="none"/>
        <c:crossAx val="216113536"/>
        <c:crosses val="autoZero"/>
        <c:auto val="1"/>
        <c:lblAlgn val="ctr"/>
        <c:lblOffset val="10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WrOF">
      <a:dk1>
        <a:sysClr val="windowText" lastClr="000000"/>
      </a:dk1>
      <a:lt1>
        <a:sysClr val="window" lastClr="FFFFFF"/>
      </a:lt1>
      <a:dk2>
        <a:srgbClr val="0E2841"/>
      </a:dk2>
      <a:lt2>
        <a:srgbClr val="E8E8E8"/>
      </a:lt2>
      <a:accent1>
        <a:srgbClr val="1E7DBF"/>
      </a:accent1>
      <a:accent2>
        <a:srgbClr val="F3CD42"/>
      </a:accent2>
      <a:accent3>
        <a:srgbClr val="363735"/>
      </a:accent3>
      <a:accent4>
        <a:srgbClr val="196B24"/>
      </a:accent4>
      <a:accent5>
        <a:srgbClr val="C00000"/>
      </a:accent5>
      <a:accent6>
        <a:srgbClr val="7030A0"/>
      </a:accent6>
      <a:hlink>
        <a:srgbClr val="467886"/>
      </a:hlink>
      <a:folHlink>
        <a:srgbClr val="96607D"/>
      </a:folHlink>
    </a:clrScheme>
    <a:fontScheme name="Pakiet 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5039D6-BE24-4BB6-B2F9-4D0994E05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131</Pages>
  <Words>36808</Words>
  <Characters>220852</Characters>
  <Application>Microsoft Office Word</Application>
  <DocSecurity>0</DocSecurity>
  <Lines>1840</Lines>
  <Paragraphs>514</Paragraphs>
  <ScaleCrop>false</ScaleCrop>
  <HeadingPairs>
    <vt:vector size="2" baseType="variant">
      <vt:variant>
        <vt:lpstr>Tytuł</vt:lpstr>
      </vt:variant>
      <vt:variant>
        <vt:i4>1</vt:i4>
      </vt:variant>
    </vt:vector>
  </HeadingPairs>
  <TitlesOfParts>
    <vt:vector size="1" baseType="lpstr">
      <vt:lpstr/>
    </vt:vector>
  </TitlesOfParts>
  <Company>Centrum Usług Informatycznych we Wrocławiu</Company>
  <LinksUpToDate>false</LinksUpToDate>
  <CharactersWithSpaces>257146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Karłowski</dc:creator>
  <cp:lastModifiedBy>umropo01</cp:lastModifiedBy>
  <cp:revision>4</cp:revision>
  <cp:lastPrinted>2025-05-29T10:03:00Z</cp:lastPrinted>
  <dcterms:created xsi:type="dcterms:W3CDTF">2025-05-19T09:11:00Z</dcterms:created>
  <dcterms:modified xsi:type="dcterms:W3CDTF">2025-05-29T10:58:00Z</dcterms:modified>
</cp:coreProperties>
</file>