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C30C" w14:textId="6FEBE6BC" w:rsidR="004469F7" w:rsidRPr="00045D7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045D7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6F2C8D">
        <w:rPr>
          <w:rFonts w:ascii="Verdana" w:hAnsi="Verdana"/>
          <w:b w:val="0"/>
          <w:bCs/>
          <w:sz w:val="22"/>
          <w:szCs w:val="22"/>
        </w:rPr>
        <w:t>3600/25</w:t>
      </w:r>
    </w:p>
    <w:p w14:paraId="4F138DD5" w14:textId="77777777" w:rsidR="004469F7" w:rsidRPr="00045D7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Prezydenta Wrocławia</w:t>
      </w:r>
    </w:p>
    <w:p w14:paraId="3C350290" w14:textId="661E51DF" w:rsidR="004469F7" w:rsidRPr="00045D7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802DE8" w:rsidRPr="00045D7F">
        <w:rPr>
          <w:rFonts w:ascii="Verdana" w:hAnsi="Verdana"/>
          <w:sz w:val="22"/>
          <w:szCs w:val="22"/>
        </w:rPr>
        <w:t xml:space="preserve"> dnia</w:t>
      </w:r>
      <w:r w:rsidR="006F2C8D">
        <w:rPr>
          <w:rFonts w:ascii="Verdana" w:hAnsi="Verdana"/>
          <w:sz w:val="22"/>
          <w:szCs w:val="22"/>
        </w:rPr>
        <w:t xml:space="preserve"> 16 października 2025 r.</w:t>
      </w:r>
    </w:p>
    <w:p w14:paraId="58B03483" w14:textId="6DA465CA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OGŁOSZENIE O PRZETARGU </w:t>
      </w:r>
      <w:r w:rsidRPr="00045D7F">
        <w:rPr>
          <w:rFonts w:ascii="Verdana" w:hAnsi="Verdana"/>
          <w:sz w:val="22"/>
          <w:szCs w:val="22"/>
        </w:rPr>
        <w:br/>
      </w:r>
      <w:r w:rsidRPr="00045D7F">
        <w:rPr>
          <w:rFonts w:ascii="Verdana" w:hAnsi="Verdana"/>
          <w:b w:val="0"/>
          <w:sz w:val="22"/>
          <w:szCs w:val="22"/>
        </w:rPr>
        <w:t>WS</w:t>
      </w:r>
      <w:r w:rsidR="00EE032F">
        <w:rPr>
          <w:rFonts w:ascii="Verdana" w:hAnsi="Verdana"/>
          <w:b w:val="0"/>
          <w:sz w:val="22"/>
          <w:szCs w:val="22"/>
        </w:rPr>
        <w:t>L</w:t>
      </w:r>
      <w:r w:rsidR="005B20C5">
        <w:rPr>
          <w:rFonts w:ascii="Verdana" w:hAnsi="Verdana"/>
          <w:b w:val="0"/>
          <w:sz w:val="22"/>
          <w:szCs w:val="22"/>
        </w:rPr>
        <w:t>-L-III/PLU/</w:t>
      </w:r>
      <w:r w:rsidR="006F2C8D">
        <w:rPr>
          <w:rFonts w:ascii="Verdana" w:hAnsi="Verdana"/>
          <w:b w:val="0"/>
          <w:sz w:val="22"/>
          <w:szCs w:val="22"/>
        </w:rPr>
        <w:t>594</w:t>
      </w:r>
      <w:r w:rsidRPr="00045D7F">
        <w:rPr>
          <w:rFonts w:ascii="Verdana" w:hAnsi="Verdana"/>
          <w:b w:val="0"/>
          <w:sz w:val="22"/>
          <w:szCs w:val="22"/>
        </w:rPr>
        <w:t>/2</w:t>
      </w:r>
      <w:r w:rsidR="00841FC7">
        <w:rPr>
          <w:rFonts w:ascii="Verdana" w:hAnsi="Verdana"/>
          <w:b w:val="0"/>
          <w:sz w:val="22"/>
          <w:szCs w:val="22"/>
        </w:rPr>
        <w:t>5</w:t>
      </w:r>
      <w:r w:rsidRPr="00045D7F">
        <w:rPr>
          <w:rFonts w:ascii="Verdana" w:hAnsi="Verdana"/>
          <w:b w:val="0"/>
          <w:sz w:val="22"/>
          <w:szCs w:val="22"/>
        </w:rPr>
        <w:t xml:space="preserve"> z dnia</w:t>
      </w:r>
      <w:r w:rsidR="006F2C8D">
        <w:rPr>
          <w:rFonts w:ascii="Verdana" w:hAnsi="Verdana"/>
          <w:b w:val="0"/>
          <w:sz w:val="22"/>
          <w:szCs w:val="22"/>
        </w:rPr>
        <w:t xml:space="preserve"> </w:t>
      </w:r>
      <w:r w:rsidR="006F2C8D" w:rsidRPr="006F2C8D">
        <w:rPr>
          <w:rFonts w:ascii="Verdana" w:hAnsi="Verdana"/>
          <w:b w:val="0"/>
          <w:sz w:val="22"/>
          <w:szCs w:val="22"/>
        </w:rPr>
        <w:t>16.10.2025 r</w:t>
      </w:r>
      <w:r w:rsidR="006F2C8D">
        <w:rPr>
          <w:rFonts w:ascii="Verdana" w:hAnsi="Verdana"/>
          <w:b w:val="0"/>
          <w:sz w:val="22"/>
          <w:szCs w:val="22"/>
        </w:rPr>
        <w:t>.</w:t>
      </w:r>
    </w:p>
    <w:p w14:paraId="7ADB7C7F" w14:textId="77777777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 WROCŁAWIA</w:t>
      </w:r>
    </w:p>
    <w:p w14:paraId="51441E74" w14:textId="65B589D1" w:rsidR="00553104" w:rsidRPr="00045D7F" w:rsidRDefault="00553104" w:rsidP="00822055">
      <w:pPr>
        <w:spacing w:before="120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Na podstawie: art. 3</w:t>
      </w:r>
      <w:r w:rsidR="00044587">
        <w:rPr>
          <w:rFonts w:ascii="Verdana" w:hAnsi="Verdana"/>
          <w:sz w:val="22"/>
          <w:szCs w:val="22"/>
        </w:rPr>
        <w:t>7</w:t>
      </w:r>
      <w:r w:rsidRPr="00045D7F">
        <w:rPr>
          <w:rFonts w:ascii="Verdana" w:hAnsi="Verdana"/>
          <w:sz w:val="22"/>
          <w:szCs w:val="22"/>
        </w:rPr>
        <w:t xml:space="preserve"> ust.</w:t>
      </w:r>
      <w:r w:rsidR="00E43651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D65998" w:rsidRPr="00045D7F">
        <w:rPr>
          <w:rFonts w:ascii="Verdana" w:hAnsi="Verdana"/>
          <w:sz w:val="22"/>
          <w:szCs w:val="22"/>
        </w:rPr>
        <w:t>art. 40 ust. 1 ustawy z dnia 21 sierpnia 1997 r. o gospodarce nieruchomościami (Dz. U. z 202</w:t>
      </w:r>
      <w:r w:rsidR="005B20C5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5B20C5">
        <w:rPr>
          <w:rFonts w:ascii="Verdana" w:hAnsi="Verdana"/>
          <w:sz w:val="22"/>
          <w:szCs w:val="22"/>
        </w:rPr>
        <w:t>1145</w:t>
      </w:r>
      <w:r w:rsidR="00F97896">
        <w:rPr>
          <w:rFonts w:ascii="Verdana" w:hAnsi="Verdana"/>
          <w:sz w:val="22"/>
          <w:szCs w:val="22"/>
        </w:rPr>
        <w:t xml:space="preserve"> z </w:t>
      </w:r>
      <w:proofErr w:type="spellStart"/>
      <w:r w:rsidR="00F97896">
        <w:rPr>
          <w:rFonts w:ascii="Verdana" w:hAnsi="Verdana"/>
          <w:sz w:val="22"/>
          <w:szCs w:val="22"/>
        </w:rPr>
        <w:t>pózn</w:t>
      </w:r>
      <w:proofErr w:type="spellEnd"/>
      <w:r w:rsidR="00F97896">
        <w:rPr>
          <w:rFonts w:ascii="Verdana" w:hAnsi="Verdana"/>
          <w:sz w:val="22"/>
          <w:szCs w:val="22"/>
        </w:rPr>
        <w:t>. zm.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 3,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 6 i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F97896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F97896">
        <w:rPr>
          <w:rFonts w:ascii="Verdana" w:hAnsi="Verdana"/>
          <w:sz w:val="22"/>
          <w:szCs w:val="22"/>
        </w:rPr>
        <w:t>5388</w:t>
      </w:r>
      <w:r w:rsidR="00044587">
        <w:rPr>
          <w:rFonts w:ascii="Verdana" w:hAnsi="Verdana"/>
          <w:sz w:val="22"/>
          <w:szCs w:val="22"/>
        </w:rPr>
        <w:t>, z 2025 r. poz. 3360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Pr="00045D7F">
        <w:rPr>
          <w:rFonts w:ascii="Verdana" w:hAnsi="Verdana"/>
          <w:sz w:val="22"/>
          <w:szCs w:val="22"/>
        </w:rPr>
        <w:t>zarządzenia nr</w:t>
      </w:r>
      <w:r w:rsidR="005B20C5">
        <w:rPr>
          <w:rFonts w:ascii="Verdana" w:hAnsi="Verdana"/>
          <w:sz w:val="22"/>
          <w:szCs w:val="22"/>
        </w:rPr>
        <w:t> </w:t>
      </w:r>
      <w:r w:rsidR="00044587">
        <w:rPr>
          <w:rFonts w:ascii="Verdana" w:hAnsi="Verdana"/>
          <w:sz w:val="22"/>
          <w:szCs w:val="22"/>
        </w:rPr>
        <w:t>2</w:t>
      </w:r>
      <w:r w:rsidR="00BF3539">
        <w:rPr>
          <w:rFonts w:ascii="Verdana" w:hAnsi="Verdana"/>
          <w:sz w:val="22"/>
          <w:szCs w:val="22"/>
        </w:rPr>
        <w:t>994</w:t>
      </w:r>
      <w:r w:rsidR="00044587">
        <w:rPr>
          <w:rFonts w:ascii="Verdana" w:hAnsi="Verdana"/>
          <w:sz w:val="22"/>
          <w:szCs w:val="22"/>
        </w:rPr>
        <w:t>/25</w:t>
      </w:r>
      <w:r w:rsidR="00F321EA" w:rsidRPr="00045D7F">
        <w:rPr>
          <w:rFonts w:ascii="Verdana" w:hAnsi="Verdana"/>
          <w:sz w:val="22"/>
          <w:szCs w:val="22"/>
        </w:rPr>
        <w:t xml:space="preserve"> Prezydenta Wrocławia z </w:t>
      </w:r>
      <w:r w:rsidRPr="00045D7F">
        <w:rPr>
          <w:rFonts w:ascii="Verdana" w:hAnsi="Verdana"/>
          <w:sz w:val="22"/>
          <w:szCs w:val="22"/>
        </w:rPr>
        <w:t xml:space="preserve">dnia </w:t>
      </w:r>
      <w:r w:rsidR="00044587">
        <w:rPr>
          <w:rFonts w:ascii="Verdana" w:hAnsi="Verdana"/>
          <w:sz w:val="22"/>
          <w:szCs w:val="22"/>
        </w:rPr>
        <w:t>1</w:t>
      </w:r>
      <w:r w:rsidR="00BF3539">
        <w:rPr>
          <w:rFonts w:ascii="Verdana" w:hAnsi="Verdana"/>
          <w:sz w:val="22"/>
          <w:szCs w:val="22"/>
        </w:rPr>
        <w:t>1 lipca</w:t>
      </w:r>
      <w:r w:rsidR="00982BB3" w:rsidRPr="00045D7F">
        <w:rPr>
          <w:rFonts w:ascii="Verdana" w:hAnsi="Verdana"/>
          <w:sz w:val="22"/>
          <w:szCs w:val="22"/>
        </w:rPr>
        <w:t xml:space="preserve"> </w:t>
      </w:r>
      <w:r w:rsidR="007F4237" w:rsidRPr="00045D7F">
        <w:rPr>
          <w:rFonts w:ascii="Verdana" w:hAnsi="Verdana"/>
          <w:sz w:val="22"/>
          <w:szCs w:val="22"/>
        </w:rPr>
        <w:t>202</w:t>
      </w:r>
      <w:r w:rsidR="00044587">
        <w:rPr>
          <w:rFonts w:ascii="Verdana" w:hAnsi="Verdana"/>
          <w:sz w:val="22"/>
          <w:szCs w:val="22"/>
        </w:rPr>
        <w:t xml:space="preserve">5 </w:t>
      </w:r>
      <w:r w:rsidRPr="00045D7F">
        <w:rPr>
          <w:rFonts w:ascii="Verdana" w:hAnsi="Verdana"/>
          <w:sz w:val="22"/>
          <w:szCs w:val="22"/>
        </w:rPr>
        <w:t>r.</w:t>
      </w:r>
    </w:p>
    <w:p w14:paraId="3D512DF8" w14:textId="512CE2E3" w:rsidR="004469F7" w:rsidRPr="00045D7F" w:rsidRDefault="00802DE8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ogłasza przetarg ustny nieograniczony na sprzedaż wolnego lokalu </w:t>
      </w:r>
      <w:r w:rsidR="00B04B89">
        <w:rPr>
          <w:rFonts w:ascii="Verdana" w:hAnsi="Verdana"/>
          <w:sz w:val="22"/>
          <w:szCs w:val="22"/>
        </w:rPr>
        <w:t xml:space="preserve">użytkowego </w:t>
      </w:r>
      <w:r w:rsidRPr="00045D7F">
        <w:rPr>
          <w:rFonts w:ascii="Verdana" w:hAnsi="Verdana"/>
          <w:sz w:val="22"/>
          <w:szCs w:val="22"/>
        </w:rPr>
        <w:t>w budynku wielolokalowym wraz z</w:t>
      </w:r>
      <w:r w:rsidR="001334C0" w:rsidRPr="00045D7F">
        <w:rPr>
          <w:rFonts w:ascii="Verdana" w:hAnsi="Verdana"/>
          <w:sz w:val="22"/>
          <w:szCs w:val="22"/>
        </w:rPr>
        <w:t xml:space="preserve"> udziałem w </w:t>
      </w:r>
      <w:r w:rsidRPr="00045D7F">
        <w:rPr>
          <w:rFonts w:ascii="Verdana" w:hAnsi="Verdana"/>
          <w:sz w:val="22"/>
          <w:szCs w:val="22"/>
        </w:rPr>
        <w:t>nieruchomości wspólnej</w:t>
      </w:r>
    </w:p>
    <w:p w14:paraId="6E5D5729" w14:textId="3393E235" w:rsidR="004469F7" w:rsidRPr="00045D7F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045D7F">
        <w:rPr>
          <w:rFonts w:ascii="Verdana" w:hAnsi="Verdana"/>
          <w:sz w:val="22"/>
          <w:szCs w:val="22"/>
        </w:rPr>
        <w:t xml:space="preserve"> obręb: </w:t>
      </w:r>
      <w:r w:rsidR="00BF3539">
        <w:rPr>
          <w:rFonts w:ascii="Verdana" w:hAnsi="Verdana"/>
          <w:sz w:val="22"/>
          <w:szCs w:val="22"/>
        </w:rPr>
        <w:t>Plac Grunwaldzki</w:t>
      </w:r>
      <w:r w:rsidRPr="00045D7F">
        <w:rPr>
          <w:rFonts w:ascii="Verdana" w:hAnsi="Verdana"/>
          <w:sz w:val="22"/>
          <w:szCs w:val="22"/>
        </w:rPr>
        <w:t>, AM-</w:t>
      </w:r>
      <w:r w:rsidR="00BF3539">
        <w:rPr>
          <w:rFonts w:ascii="Verdana" w:hAnsi="Verdana"/>
          <w:sz w:val="22"/>
          <w:szCs w:val="22"/>
        </w:rPr>
        <w:t>14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553104" w:rsidRPr="00045D7F">
        <w:rPr>
          <w:rFonts w:ascii="Verdana" w:hAnsi="Verdana"/>
          <w:sz w:val="22"/>
          <w:szCs w:val="22"/>
        </w:rPr>
        <w:t xml:space="preserve">działka numer </w:t>
      </w:r>
      <w:r w:rsidR="00BF3539">
        <w:rPr>
          <w:rFonts w:ascii="Verdana" w:hAnsi="Verdana"/>
          <w:sz w:val="22"/>
          <w:szCs w:val="22"/>
        </w:rPr>
        <w:t>89/1</w:t>
      </w:r>
      <w:r w:rsidR="005B20C5">
        <w:rPr>
          <w:rFonts w:ascii="Verdana" w:hAnsi="Verdana"/>
          <w:sz w:val="22"/>
          <w:szCs w:val="22"/>
        </w:rPr>
        <w:t>,</w:t>
      </w:r>
      <w:r w:rsidR="00553104" w:rsidRPr="00045D7F">
        <w:rPr>
          <w:rFonts w:ascii="Verdana" w:hAnsi="Verdana"/>
          <w:sz w:val="22"/>
          <w:szCs w:val="22"/>
        </w:rPr>
        <w:t xml:space="preserve"> powierzchnia </w:t>
      </w:r>
      <w:r w:rsidR="00BF3539">
        <w:rPr>
          <w:rFonts w:ascii="Verdana" w:hAnsi="Verdana"/>
          <w:sz w:val="22"/>
          <w:szCs w:val="22"/>
        </w:rPr>
        <w:t>282</w:t>
      </w:r>
      <w:r w:rsidR="00BB08C6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Pr="00045D7F">
        <w:rPr>
          <w:rFonts w:ascii="Verdana" w:hAnsi="Verdana"/>
          <w:sz w:val="22"/>
          <w:szCs w:val="22"/>
        </w:rPr>
        <w:t xml:space="preserve">, księga wieczysta numer </w:t>
      </w:r>
      <w:r w:rsidRPr="00045D7F">
        <w:rPr>
          <w:rFonts w:ascii="Verdana" w:hAnsi="Verdana"/>
          <w:bCs/>
          <w:color w:val="000000"/>
          <w:sz w:val="22"/>
          <w:szCs w:val="22"/>
        </w:rPr>
        <w:t>WR1K/00</w:t>
      </w:r>
      <w:r w:rsidR="00BF3539">
        <w:rPr>
          <w:rFonts w:ascii="Verdana" w:hAnsi="Verdana"/>
          <w:bCs/>
          <w:color w:val="000000"/>
          <w:sz w:val="22"/>
          <w:szCs w:val="22"/>
        </w:rPr>
        <w:t>109444</w:t>
      </w:r>
      <w:r w:rsidRPr="00045D7F">
        <w:rPr>
          <w:rFonts w:ascii="Verdana" w:hAnsi="Verdana"/>
          <w:bCs/>
          <w:color w:val="000000"/>
          <w:sz w:val="22"/>
          <w:szCs w:val="22"/>
        </w:rPr>
        <w:t>/</w:t>
      </w:r>
      <w:r w:rsidR="00BF3539">
        <w:rPr>
          <w:rFonts w:ascii="Verdana" w:hAnsi="Verdana"/>
          <w:bCs/>
          <w:color w:val="000000"/>
          <w:sz w:val="22"/>
          <w:szCs w:val="22"/>
        </w:rPr>
        <w:t>8</w:t>
      </w:r>
    </w:p>
    <w:p w14:paraId="0DE5B875" w14:textId="3F0996A1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Adres nieruchomości:</w:t>
      </w:r>
      <w:r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ul</w:t>
      </w:r>
      <w:r w:rsidR="00C140B3" w:rsidRPr="00045D7F">
        <w:rPr>
          <w:rFonts w:ascii="Verdana" w:hAnsi="Verdana"/>
          <w:b/>
          <w:sz w:val="22"/>
          <w:szCs w:val="22"/>
        </w:rPr>
        <w:t>ica</w:t>
      </w:r>
      <w:r w:rsidRPr="00045D7F">
        <w:rPr>
          <w:rFonts w:ascii="Verdana" w:hAnsi="Verdana"/>
          <w:b/>
          <w:sz w:val="22"/>
          <w:szCs w:val="22"/>
        </w:rPr>
        <w:t xml:space="preserve"> </w:t>
      </w:r>
      <w:r w:rsidR="00BF3539">
        <w:rPr>
          <w:rFonts w:ascii="Verdana" w:hAnsi="Verdana"/>
          <w:b/>
          <w:sz w:val="22"/>
          <w:szCs w:val="22"/>
        </w:rPr>
        <w:t>kardynała Mieczysława Ledóchowskiego 9</w:t>
      </w:r>
      <w:r w:rsidR="00A62F7D">
        <w:rPr>
          <w:rFonts w:ascii="Verdana" w:hAnsi="Verdana"/>
          <w:b/>
          <w:sz w:val="22"/>
          <w:szCs w:val="22"/>
        </w:rPr>
        <w:t xml:space="preserve"> </w:t>
      </w:r>
      <w:r w:rsidR="005D7375" w:rsidRPr="00045D7F">
        <w:rPr>
          <w:rFonts w:ascii="Verdana" w:hAnsi="Verdana"/>
          <w:b/>
          <w:sz w:val="22"/>
          <w:szCs w:val="22"/>
        </w:rPr>
        <w:t>-</w:t>
      </w:r>
      <w:r w:rsidRPr="00045D7F">
        <w:rPr>
          <w:rFonts w:ascii="Verdana" w:hAnsi="Verdana"/>
          <w:b/>
          <w:sz w:val="22"/>
          <w:szCs w:val="22"/>
        </w:rPr>
        <w:t xml:space="preserve"> lokal </w:t>
      </w:r>
      <w:r w:rsidR="00F85046">
        <w:rPr>
          <w:rFonts w:ascii="Verdana" w:hAnsi="Verdana"/>
          <w:b/>
          <w:sz w:val="22"/>
          <w:szCs w:val="22"/>
        </w:rPr>
        <w:t>użytkowy</w:t>
      </w:r>
      <w:r w:rsidR="00BB08C6" w:rsidRPr="00045D7F">
        <w:rPr>
          <w:rFonts w:ascii="Verdana" w:hAnsi="Verdana"/>
          <w:b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numer U</w:t>
      </w:r>
      <w:r w:rsidR="00A62F7D">
        <w:rPr>
          <w:rFonts w:ascii="Verdana" w:hAnsi="Verdana"/>
          <w:b/>
          <w:sz w:val="22"/>
          <w:szCs w:val="22"/>
        </w:rPr>
        <w:t>1A</w:t>
      </w:r>
    </w:p>
    <w:p w14:paraId="40E21E05" w14:textId="317465C3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Powierzchnia lokalu: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BF3539">
        <w:rPr>
          <w:rFonts w:ascii="Verdana" w:hAnsi="Verdana"/>
          <w:sz w:val="22"/>
          <w:szCs w:val="22"/>
        </w:rPr>
        <w:t>103</w:t>
      </w:r>
      <w:r w:rsidR="00044587">
        <w:rPr>
          <w:rFonts w:ascii="Verdana" w:hAnsi="Verdana"/>
          <w:sz w:val="22"/>
          <w:szCs w:val="22"/>
        </w:rPr>
        <w:t>,</w:t>
      </w:r>
      <w:r w:rsidR="00BF3539">
        <w:rPr>
          <w:rFonts w:ascii="Verdana" w:hAnsi="Verdana"/>
          <w:sz w:val="22"/>
          <w:szCs w:val="22"/>
        </w:rPr>
        <w:t>58</w:t>
      </w:r>
      <w:r w:rsidRPr="00045D7F">
        <w:rPr>
          <w:rFonts w:ascii="Verdana" w:hAnsi="Verdana"/>
          <w:sz w:val="22"/>
          <w:szCs w:val="22"/>
        </w:rPr>
        <w:t xml:space="preserve"> 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</w:p>
    <w:p w14:paraId="3DA68487" w14:textId="429A0AB6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Opis lokalu:</w:t>
      </w:r>
      <w:r w:rsidRPr="00045D7F">
        <w:rPr>
          <w:rFonts w:ascii="Verdana" w:hAnsi="Verdana"/>
          <w:sz w:val="22"/>
          <w:szCs w:val="22"/>
        </w:rPr>
        <w:t xml:space="preserve"> lokal </w:t>
      </w:r>
      <w:r w:rsidR="00CA0CA1" w:rsidRPr="00045D7F">
        <w:rPr>
          <w:rFonts w:ascii="Verdana" w:hAnsi="Verdana"/>
          <w:sz w:val="22"/>
          <w:szCs w:val="22"/>
        </w:rPr>
        <w:t>s</w:t>
      </w:r>
      <w:r w:rsidRPr="00045D7F">
        <w:rPr>
          <w:rFonts w:ascii="Verdana" w:hAnsi="Verdana"/>
          <w:sz w:val="22"/>
          <w:szCs w:val="22"/>
        </w:rPr>
        <w:t>kłada się z</w:t>
      </w:r>
      <w:r w:rsidR="00F85046">
        <w:rPr>
          <w:rFonts w:ascii="Verdana" w:hAnsi="Verdana"/>
          <w:sz w:val="22"/>
          <w:szCs w:val="22"/>
        </w:rPr>
        <w:t xml:space="preserve"> </w:t>
      </w:r>
      <w:r w:rsidR="00BF3539">
        <w:rPr>
          <w:rFonts w:ascii="Verdana" w:hAnsi="Verdana"/>
          <w:sz w:val="22"/>
          <w:szCs w:val="22"/>
        </w:rPr>
        <w:t>czterech pomieszczeń, dwóch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pomieszcze</w:t>
      </w:r>
      <w:r w:rsidR="00BF3539">
        <w:rPr>
          <w:rFonts w:ascii="Verdana" w:hAnsi="Verdana"/>
          <w:sz w:val="22"/>
          <w:szCs w:val="22"/>
        </w:rPr>
        <w:t>ń higieniczno</w:t>
      </w:r>
      <w:r w:rsidR="00226C1B">
        <w:rPr>
          <w:rFonts w:ascii="Verdana" w:hAnsi="Verdana"/>
          <w:sz w:val="22"/>
          <w:szCs w:val="22"/>
        </w:rPr>
        <w:t>-sanitarnych i dwóch korytarzy.</w:t>
      </w:r>
      <w:r w:rsidR="00044587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Lokal położony na </w:t>
      </w:r>
      <w:r w:rsidR="00214999" w:rsidRPr="00045D7F">
        <w:rPr>
          <w:rFonts w:ascii="Verdana" w:hAnsi="Verdana"/>
          <w:sz w:val="22"/>
          <w:szCs w:val="22"/>
        </w:rPr>
        <w:t>I</w:t>
      </w:r>
      <w:r w:rsidRPr="00045D7F">
        <w:rPr>
          <w:rFonts w:ascii="Verdana" w:hAnsi="Verdana"/>
          <w:sz w:val="22"/>
          <w:szCs w:val="22"/>
        </w:rPr>
        <w:t xml:space="preserve"> kondygnacji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(</w:t>
      </w:r>
      <w:r w:rsidR="00044587">
        <w:rPr>
          <w:rFonts w:ascii="Verdana" w:hAnsi="Verdana"/>
          <w:sz w:val="22"/>
          <w:szCs w:val="22"/>
        </w:rPr>
        <w:t>parter)</w:t>
      </w:r>
      <w:r w:rsidR="00F67ADD">
        <w:rPr>
          <w:rFonts w:ascii="Verdana" w:hAnsi="Verdana"/>
          <w:sz w:val="22"/>
          <w:szCs w:val="22"/>
        </w:rPr>
        <w:t>.</w:t>
      </w:r>
      <w:r w:rsidRPr="00045D7F">
        <w:rPr>
          <w:rFonts w:ascii="Verdana" w:hAnsi="Verdana"/>
          <w:sz w:val="22"/>
          <w:szCs w:val="22"/>
        </w:rPr>
        <w:t xml:space="preserve"> Wejście do </w:t>
      </w:r>
      <w:r w:rsidR="00AE2596" w:rsidRPr="00045D7F">
        <w:rPr>
          <w:rFonts w:ascii="Verdana" w:hAnsi="Verdana"/>
          <w:sz w:val="22"/>
          <w:szCs w:val="22"/>
        </w:rPr>
        <w:t>lokalu</w:t>
      </w:r>
      <w:r w:rsidR="00150CF8">
        <w:rPr>
          <w:rFonts w:ascii="Verdana" w:hAnsi="Verdana"/>
          <w:sz w:val="22"/>
          <w:szCs w:val="22"/>
        </w:rPr>
        <w:t xml:space="preserve"> </w:t>
      </w:r>
      <w:r w:rsidR="00226C1B">
        <w:rPr>
          <w:rFonts w:ascii="Verdana" w:hAnsi="Verdana"/>
          <w:sz w:val="22"/>
          <w:szCs w:val="22"/>
        </w:rPr>
        <w:t xml:space="preserve">z korytarza klatki schodowej. </w:t>
      </w:r>
      <w:r w:rsidRPr="00045D7F">
        <w:rPr>
          <w:rFonts w:ascii="Verdana" w:hAnsi="Verdana"/>
          <w:sz w:val="22"/>
          <w:szCs w:val="22"/>
        </w:rPr>
        <w:t>Lokal przeznaczony na cele inne niż mieszkalne.</w:t>
      </w:r>
    </w:p>
    <w:p w14:paraId="3836F94C" w14:textId="31ACCD0A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Udział w nieruchomości wspólnej: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226C1B">
        <w:rPr>
          <w:rFonts w:ascii="Verdana" w:hAnsi="Verdana"/>
          <w:sz w:val="22"/>
          <w:szCs w:val="22"/>
        </w:rPr>
        <w:t>725</w:t>
      </w:r>
      <w:r w:rsidRPr="00045D7F">
        <w:rPr>
          <w:rFonts w:ascii="Verdana" w:hAnsi="Verdana"/>
          <w:sz w:val="22"/>
          <w:szCs w:val="22"/>
        </w:rPr>
        <w:t>/10000</w:t>
      </w:r>
    </w:p>
    <w:p w14:paraId="3006B2AD" w14:textId="6FE7A3D9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045D7F">
        <w:rPr>
          <w:rFonts w:ascii="Verdana" w:hAnsi="Verdana"/>
          <w:sz w:val="22"/>
          <w:szCs w:val="22"/>
        </w:rPr>
        <w:t>nieruchomość leży w obszarze zabudow</w:t>
      </w:r>
      <w:r w:rsidR="00553104" w:rsidRPr="00045D7F">
        <w:rPr>
          <w:rFonts w:ascii="Verdana" w:hAnsi="Verdana"/>
          <w:sz w:val="22"/>
          <w:szCs w:val="22"/>
        </w:rPr>
        <w:t xml:space="preserve">y mieszkaniowej wielorodzinnej </w:t>
      </w:r>
      <w:r w:rsidRPr="00045D7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>
        <w:rPr>
          <w:rFonts w:ascii="Verdana" w:hAnsi="Verdana"/>
          <w:sz w:val="22"/>
          <w:szCs w:val="22"/>
        </w:rPr>
        <w:t>.</w:t>
      </w:r>
    </w:p>
    <w:p w14:paraId="0C015711" w14:textId="496AAD3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Cena wywoławcza: </w:t>
      </w:r>
      <w:r w:rsidR="00226C1B">
        <w:rPr>
          <w:rFonts w:ascii="Verdana" w:hAnsi="Verdana"/>
          <w:b/>
          <w:sz w:val="22"/>
          <w:szCs w:val="22"/>
        </w:rPr>
        <w:t>860</w:t>
      </w:r>
      <w:r w:rsidRPr="00045D7F">
        <w:rPr>
          <w:rFonts w:ascii="Verdana" w:hAnsi="Verdana"/>
          <w:b/>
          <w:sz w:val="22"/>
          <w:szCs w:val="22"/>
        </w:rPr>
        <w:t>.000,00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226C1B">
        <w:rPr>
          <w:rFonts w:ascii="Verdana" w:hAnsi="Verdana"/>
          <w:sz w:val="22"/>
          <w:szCs w:val="22"/>
        </w:rPr>
        <w:t>osiemset sześćdziesiąt t</w:t>
      </w:r>
      <w:r w:rsidR="00044587">
        <w:rPr>
          <w:rFonts w:ascii="Verdana" w:hAnsi="Verdana"/>
          <w:sz w:val="22"/>
          <w:szCs w:val="22"/>
        </w:rPr>
        <w:t xml:space="preserve">ysięcy </w:t>
      </w:r>
      <w:r w:rsidRPr="00045D7F">
        <w:rPr>
          <w:rFonts w:ascii="Verdana" w:hAnsi="Verdana"/>
          <w:sz w:val="22"/>
          <w:szCs w:val="22"/>
        </w:rPr>
        <w:t>złotych)</w:t>
      </w:r>
    </w:p>
    <w:p w14:paraId="2A75CDD7" w14:textId="659800C4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Wadium: </w:t>
      </w:r>
      <w:r w:rsidR="00226C1B">
        <w:rPr>
          <w:rFonts w:ascii="Verdana" w:hAnsi="Verdana"/>
          <w:b/>
          <w:sz w:val="22"/>
          <w:szCs w:val="22"/>
        </w:rPr>
        <w:t>86</w:t>
      </w:r>
      <w:r w:rsidRPr="00045D7F">
        <w:rPr>
          <w:rFonts w:ascii="Verdana" w:hAnsi="Verdana"/>
          <w:b/>
          <w:sz w:val="22"/>
          <w:szCs w:val="22"/>
        </w:rPr>
        <w:t>.</w:t>
      </w:r>
      <w:r w:rsidR="00044587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226C1B">
        <w:rPr>
          <w:rFonts w:ascii="Verdana" w:hAnsi="Verdana"/>
          <w:sz w:val="22"/>
          <w:szCs w:val="22"/>
        </w:rPr>
        <w:t xml:space="preserve">osiemdziesiąt sześć </w:t>
      </w:r>
      <w:r w:rsidR="00044587">
        <w:rPr>
          <w:rFonts w:ascii="Verdana" w:hAnsi="Verdana"/>
          <w:sz w:val="22"/>
          <w:szCs w:val="22"/>
        </w:rPr>
        <w:t xml:space="preserve">tysięcy </w:t>
      </w:r>
      <w:r w:rsidRPr="00045D7F">
        <w:rPr>
          <w:rFonts w:ascii="Verdana" w:hAnsi="Verdana"/>
          <w:sz w:val="22"/>
          <w:szCs w:val="22"/>
        </w:rPr>
        <w:t>złotych)</w:t>
      </w:r>
    </w:p>
    <w:p w14:paraId="04668075" w14:textId="26943D8A" w:rsidR="00116446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lastRenderedPageBreak/>
        <w:t xml:space="preserve">Minimalna wysokość postąpienia: </w:t>
      </w:r>
      <w:r w:rsidR="0040304E">
        <w:rPr>
          <w:rFonts w:ascii="Verdana" w:hAnsi="Verdana"/>
          <w:b/>
          <w:sz w:val="22"/>
          <w:szCs w:val="22"/>
        </w:rPr>
        <w:t>8</w:t>
      </w:r>
      <w:r w:rsidRPr="00045D7F">
        <w:rPr>
          <w:rFonts w:ascii="Verdana" w:hAnsi="Verdana"/>
          <w:b/>
          <w:sz w:val="22"/>
          <w:szCs w:val="22"/>
        </w:rPr>
        <w:t>.</w:t>
      </w:r>
      <w:r w:rsidR="0040304E">
        <w:rPr>
          <w:rFonts w:ascii="Verdana" w:hAnsi="Verdana"/>
          <w:b/>
          <w:sz w:val="22"/>
          <w:szCs w:val="22"/>
        </w:rPr>
        <w:t>6</w:t>
      </w:r>
      <w:r w:rsidR="00044587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40304E">
        <w:rPr>
          <w:rFonts w:ascii="Verdana" w:hAnsi="Verdana"/>
          <w:sz w:val="22"/>
          <w:szCs w:val="22"/>
        </w:rPr>
        <w:t>osiem t</w:t>
      </w:r>
      <w:r w:rsidR="00B43080" w:rsidRPr="00045D7F">
        <w:rPr>
          <w:rFonts w:ascii="Verdana" w:hAnsi="Verdana"/>
          <w:sz w:val="22"/>
          <w:szCs w:val="22"/>
        </w:rPr>
        <w:t>ysi</w:t>
      </w:r>
      <w:r w:rsidR="0040304E">
        <w:rPr>
          <w:rFonts w:ascii="Verdana" w:hAnsi="Verdana"/>
          <w:sz w:val="22"/>
          <w:szCs w:val="22"/>
        </w:rPr>
        <w:t xml:space="preserve">ęcy sześćset </w:t>
      </w:r>
      <w:r w:rsidR="00044587">
        <w:rPr>
          <w:rFonts w:ascii="Verdana" w:hAnsi="Verdana"/>
          <w:sz w:val="22"/>
          <w:szCs w:val="22"/>
        </w:rPr>
        <w:t>zł</w:t>
      </w:r>
      <w:r w:rsidRPr="00045D7F">
        <w:rPr>
          <w:rFonts w:ascii="Verdana" w:hAnsi="Verdana"/>
          <w:sz w:val="22"/>
          <w:szCs w:val="22"/>
        </w:rPr>
        <w:t>otych)</w:t>
      </w:r>
    </w:p>
    <w:p w14:paraId="6B5AC9B0" w14:textId="3D79FCDE" w:rsidR="004469F7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sz w:val="22"/>
          <w:szCs w:val="22"/>
        </w:rPr>
        <w:t>Termin zapłaty:</w:t>
      </w:r>
      <w:r w:rsidR="00B234CB" w:rsidRPr="00917CDA">
        <w:rPr>
          <w:rFonts w:ascii="Verdana" w:hAnsi="Verdana"/>
          <w:b/>
          <w:sz w:val="22"/>
          <w:szCs w:val="22"/>
        </w:rPr>
        <w:t xml:space="preserve"> </w:t>
      </w:r>
      <w:r w:rsidR="00B234CB" w:rsidRPr="00917CDA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917CDA">
        <w:rPr>
          <w:rFonts w:ascii="Verdana" w:hAnsi="Verdana"/>
          <w:sz w:val="22"/>
          <w:szCs w:val="22"/>
        </w:rPr>
        <w:t>rzedaż</w:t>
      </w:r>
      <w:r w:rsidR="00B43080" w:rsidRPr="00917CDA">
        <w:rPr>
          <w:rFonts w:ascii="Verdana" w:hAnsi="Verdana"/>
          <w:sz w:val="22"/>
          <w:szCs w:val="22"/>
        </w:rPr>
        <w:t>y</w:t>
      </w:r>
      <w:r w:rsidR="00553104" w:rsidRPr="00917CDA">
        <w:rPr>
          <w:rFonts w:ascii="Verdana" w:hAnsi="Verdana"/>
          <w:sz w:val="22"/>
          <w:szCs w:val="22"/>
        </w:rPr>
        <w:t>, najpóźniej dzień przed</w:t>
      </w:r>
      <w:r w:rsidR="008A334B" w:rsidRPr="00917CDA">
        <w:rPr>
          <w:rFonts w:ascii="Verdana" w:hAnsi="Verdana"/>
          <w:sz w:val="22"/>
          <w:szCs w:val="22"/>
        </w:rPr>
        <w:t xml:space="preserve"> </w:t>
      </w:r>
      <w:r w:rsidR="00AE2596" w:rsidRPr="00917CDA">
        <w:rPr>
          <w:rFonts w:ascii="Verdana" w:hAnsi="Verdana"/>
          <w:sz w:val="22"/>
          <w:szCs w:val="22"/>
        </w:rPr>
        <w:t>jej </w:t>
      </w:r>
      <w:r w:rsidR="00B234CB" w:rsidRPr="00917CDA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7E0F8A">
        <w:rPr>
          <w:rFonts w:ascii="Verdana" w:hAnsi="Verdana"/>
          <w:sz w:val="22"/>
          <w:szCs w:val="22"/>
        </w:rPr>
        <w:t>„</w:t>
      </w:r>
      <w:r w:rsidR="0040304E" w:rsidRPr="0040304E">
        <w:rPr>
          <w:rFonts w:ascii="Verdana" w:hAnsi="Verdana"/>
          <w:b/>
          <w:bCs/>
          <w:sz w:val="22"/>
          <w:szCs w:val="22"/>
        </w:rPr>
        <w:t>Ledóchowskiego 9/U1A</w:t>
      </w:r>
      <w:r w:rsidR="00B42F52" w:rsidRPr="007E0F8A">
        <w:rPr>
          <w:rFonts w:ascii="Verdana" w:hAnsi="Verdana"/>
          <w:sz w:val="22"/>
          <w:szCs w:val="22"/>
        </w:rPr>
        <w:t>”</w:t>
      </w:r>
      <w:r w:rsidR="007E0F8A" w:rsidRPr="007E0F8A">
        <w:rPr>
          <w:rFonts w:ascii="Verdana" w:hAnsi="Verdana"/>
          <w:sz w:val="22"/>
          <w:szCs w:val="22"/>
        </w:rPr>
        <w:t>.</w:t>
      </w:r>
      <w:r w:rsidR="007E0F8A">
        <w:rPr>
          <w:rFonts w:ascii="Verdana" w:hAnsi="Verdana"/>
          <w:b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Datą</w:t>
      </w:r>
      <w:r w:rsidR="007E0F8A">
        <w:rPr>
          <w:rFonts w:ascii="Verdana" w:hAnsi="Verdana"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14:paraId="25CDC8E3" w14:textId="2B1A732C" w:rsidR="0083459E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bCs/>
          <w:sz w:val="22"/>
          <w:szCs w:val="22"/>
        </w:rPr>
        <w:t>Przetarg odbędzie się</w:t>
      </w:r>
      <w:r w:rsidRPr="00917CDA">
        <w:rPr>
          <w:rFonts w:ascii="Verdana" w:hAnsi="Verdana"/>
          <w:sz w:val="22"/>
          <w:szCs w:val="22"/>
        </w:rPr>
        <w:t xml:space="preserve"> w siedzibie Urzędu </w:t>
      </w:r>
      <w:r w:rsidR="00553104" w:rsidRPr="00917CDA">
        <w:rPr>
          <w:rFonts w:ascii="Verdana" w:hAnsi="Verdana"/>
          <w:sz w:val="22"/>
          <w:szCs w:val="22"/>
        </w:rPr>
        <w:t>Miejskiego Wrocławia, Wrocław, pl. Nowy </w:t>
      </w:r>
      <w:r w:rsidRPr="00917CDA">
        <w:rPr>
          <w:rFonts w:ascii="Verdana" w:hAnsi="Verdana"/>
          <w:sz w:val="22"/>
          <w:szCs w:val="22"/>
        </w:rPr>
        <w:t xml:space="preserve">Targ 1-8 w sali nr 215, </w:t>
      </w:r>
      <w:r w:rsidRPr="0040304E">
        <w:rPr>
          <w:rFonts w:ascii="Verdana" w:hAnsi="Verdana"/>
          <w:sz w:val="22"/>
          <w:szCs w:val="22"/>
        </w:rPr>
        <w:t xml:space="preserve">godz. </w:t>
      </w:r>
      <w:r w:rsidRPr="0040304E">
        <w:rPr>
          <w:rFonts w:ascii="Verdana" w:hAnsi="Verdana"/>
          <w:b/>
          <w:bCs/>
          <w:sz w:val="22"/>
          <w:szCs w:val="22"/>
        </w:rPr>
        <w:t>1</w:t>
      </w:r>
      <w:r w:rsidR="0040304E" w:rsidRPr="0040304E">
        <w:rPr>
          <w:rFonts w:ascii="Verdana" w:hAnsi="Verdana"/>
          <w:b/>
          <w:bCs/>
          <w:sz w:val="22"/>
          <w:szCs w:val="22"/>
        </w:rPr>
        <w:t>2</w:t>
      </w:r>
      <w:r w:rsidRPr="0040304E">
        <w:rPr>
          <w:rFonts w:ascii="Verdana" w:hAnsi="Verdana"/>
          <w:b/>
          <w:bCs/>
          <w:sz w:val="22"/>
          <w:szCs w:val="22"/>
          <w:vertAlign w:val="superscript"/>
        </w:rPr>
        <w:t>00</w:t>
      </w:r>
      <w:r w:rsidRPr="0040304E">
        <w:rPr>
          <w:rFonts w:ascii="Verdana" w:hAnsi="Verdana"/>
          <w:sz w:val="22"/>
          <w:szCs w:val="22"/>
        </w:rPr>
        <w:t xml:space="preserve"> dnia</w:t>
      </w:r>
      <w:r w:rsidR="0043190E" w:rsidRPr="0040304E">
        <w:rPr>
          <w:rFonts w:ascii="Verdana" w:hAnsi="Verdana"/>
          <w:sz w:val="22"/>
          <w:szCs w:val="22"/>
        </w:rPr>
        <w:t xml:space="preserve"> </w:t>
      </w:r>
      <w:r w:rsidR="0040304E" w:rsidRPr="0040304E">
        <w:rPr>
          <w:rFonts w:ascii="Verdana" w:hAnsi="Verdana"/>
          <w:b/>
          <w:bCs/>
          <w:sz w:val="22"/>
          <w:szCs w:val="22"/>
        </w:rPr>
        <w:t xml:space="preserve">15 stycznia </w:t>
      </w:r>
      <w:r w:rsidR="00917CDA" w:rsidRPr="0040304E">
        <w:rPr>
          <w:rFonts w:ascii="Verdana" w:hAnsi="Verdana"/>
          <w:b/>
          <w:bCs/>
          <w:sz w:val="22"/>
          <w:szCs w:val="22"/>
        </w:rPr>
        <w:t>20</w:t>
      </w:r>
      <w:r w:rsidR="0043190E" w:rsidRPr="0040304E">
        <w:rPr>
          <w:rFonts w:ascii="Verdana" w:hAnsi="Verdana"/>
          <w:b/>
          <w:bCs/>
          <w:sz w:val="22"/>
          <w:szCs w:val="22"/>
        </w:rPr>
        <w:t>2</w:t>
      </w:r>
      <w:r w:rsidR="0040304E" w:rsidRPr="0040304E">
        <w:rPr>
          <w:rFonts w:ascii="Verdana" w:hAnsi="Verdana"/>
          <w:b/>
          <w:bCs/>
          <w:sz w:val="22"/>
          <w:szCs w:val="22"/>
        </w:rPr>
        <w:t>6</w:t>
      </w:r>
      <w:r w:rsidR="0061125A" w:rsidRPr="0040304E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40304E">
        <w:rPr>
          <w:rFonts w:ascii="Verdana" w:hAnsi="Verdana"/>
          <w:b/>
          <w:bCs/>
          <w:sz w:val="22"/>
          <w:szCs w:val="22"/>
        </w:rPr>
        <w:t>r.</w:t>
      </w:r>
    </w:p>
    <w:p w14:paraId="497BD0E7" w14:textId="5CF1F304" w:rsidR="0083459E" w:rsidRPr="00036A9E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późn</w:t>
      </w:r>
      <w:proofErr w:type="spellEnd"/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zm.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14:paraId="4904BF50" w14:textId="17A02475" w:rsidR="00036A9E" w:rsidRPr="00036A9E" w:rsidRDefault="00036A9E" w:rsidP="00036A9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6"/>
        <w:textAlignment w:val="auto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35A2982C" w14:textId="609D5015" w:rsidR="0083459E" w:rsidRPr="00045D7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40304E" w:rsidRPr="0040304E">
        <w:rPr>
          <w:rFonts w:ascii="Verdana" w:hAnsi="Verdana" w:cs="Verdana"/>
          <w:b/>
          <w:bCs/>
          <w:sz w:val="22"/>
          <w:szCs w:val="22"/>
        </w:rPr>
        <w:t xml:space="preserve">8 stycznia </w:t>
      </w:r>
      <w:r w:rsidRPr="0040304E">
        <w:rPr>
          <w:rFonts w:ascii="Verdana" w:hAnsi="Verdana" w:cs="Verdana"/>
          <w:b/>
          <w:bCs/>
          <w:sz w:val="22"/>
          <w:szCs w:val="22"/>
        </w:rPr>
        <w:t>202</w:t>
      </w:r>
      <w:r w:rsidR="0040304E" w:rsidRPr="0040304E">
        <w:rPr>
          <w:rFonts w:ascii="Verdana" w:hAnsi="Verdana" w:cs="Verdana"/>
          <w:b/>
          <w:bCs/>
          <w:sz w:val="22"/>
          <w:szCs w:val="22"/>
        </w:rPr>
        <w:t>6</w:t>
      </w:r>
      <w:r w:rsidRPr="0040304E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045D7F">
        <w:rPr>
          <w:rFonts w:ascii="Verdana" w:hAnsi="Verdana" w:cs="Verdana"/>
          <w:sz w:val="22"/>
          <w:szCs w:val="22"/>
        </w:rPr>
        <w:t>na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</w:t>
      </w:r>
      <w:r w:rsidRPr="00045D7F">
        <w:rPr>
          <w:rFonts w:ascii="Verdana" w:hAnsi="Verdana" w:cs="Verdana"/>
          <w:color w:val="000000"/>
          <w:sz w:val="22"/>
          <w:szCs w:val="22"/>
        </w:rPr>
        <w:lastRenderedPageBreak/>
        <w:t>Wrocław, pl. Nowy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-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045D7F">
        <w:rPr>
          <w:rFonts w:ascii="Verdana" w:hAnsi="Verdana" w:cs="Verdana"/>
          <w:b/>
          <w:bCs/>
          <w:sz w:val="22"/>
          <w:szCs w:val="22"/>
        </w:rPr>
        <w:t>„</w:t>
      </w:r>
      <w:r w:rsidR="0040304E">
        <w:rPr>
          <w:rFonts w:ascii="Verdana" w:hAnsi="Verdana" w:cs="Verdana"/>
          <w:b/>
          <w:bCs/>
          <w:sz w:val="22"/>
          <w:szCs w:val="22"/>
        </w:rPr>
        <w:t>Ledóchowskiego 9/</w:t>
      </w:r>
      <w:r w:rsidR="00036A9E">
        <w:rPr>
          <w:rFonts w:ascii="Verdana" w:hAnsi="Verdana" w:cs="Verdana"/>
          <w:b/>
          <w:bCs/>
          <w:sz w:val="22"/>
          <w:szCs w:val="22"/>
        </w:rPr>
        <w:t>U1A”</w:t>
      </w:r>
      <w:r w:rsidRPr="00045D7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045D7F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14:paraId="1A5D3E0E" w14:textId="77777777" w:rsidR="00B90CBB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Komisja przetargowa przed otwarciem przetargu</w:t>
      </w:r>
      <w:r w:rsidRPr="00045D7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14:paraId="3ECEFE3F" w14:textId="7F92DDCE" w:rsidR="00B90CBB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W przetargu mogą brać udział osoby, które wniosą wadium w terminie wyznaczonym w ogłoszeniu o przetargu. Przetarg rozpoczyna się o godzinie </w:t>
      </w:r>
      <w:r w:rsidRPr="0040304E">
        <w:rPr>
          <w:rFonts w:ascii="Verdana" w:hAnsi="Verdana"/>
          <w:sz w:val="22"/>
          <w:szCs w:val="22"/>
        </w:rPr>
        <w:t>1</w:t>
      </w:r>
      <w:r w:rsidR="0040304E" w:rsidRPr="0040304E">
        <w:rPr>
          <w:rFonts w:ascii="Verdana" w:hAnsi="Verdana"/>
          <w:sz w:val="22"/>
          <w:szCs w:val="22"/>
        </w:rPr>
        <w:t>2</w:t>
      </w:r>
      <w:r w:rsidRPr="0040304E">
        <w:rPr>
          <w:rFonts w:ascii="Verdana" w:hAnsi="Verdana"/>
          <w:sz w:val="22"/>
          <w:szCs w:val="22"/>
          <w:vertAlign w:val="superscript"/>
        </w:rPr>
        <w:t>00</w:t>
      </w:r>
      <w:r w:rsidRPr="0040304E">
        <w:rPr>
          <w:rFonts w:ascii="Verdana" w:hAnsi="Verdana"/>
          <w:b/>
          <w:bCs/>
          <w:color w:val="FF0000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rejestracją osób uprawnionych i odczytaniem listy osób dopuszczonych na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14:paraId="2668747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048878C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045D7F">
        <w:rPr>
          <w:rFonts w:ascii="Verdana" w:hAnsi="Verdana"/>
          <w:sz w:val="22"/>
          <w:szCs w:val="22"/>
        </w:rPr>
        <w:t>targu, z tym że postąpienie nie </w:t>
      </w:r>
      <w:r w:rsidRPr="00045D7F">
        <w:rPr>
          <w:rFonts w:ascii="Verdana" w:hAnsi="Verdana"/>
          <w:sz w:val="22"/>
          <w:szCs w:val="22"/>
        </w:rPr>
        <w:t>może wynosić mniej niż 1 % ceny wywoław</w:t>
      </w:r>
      <w:r w:rsidR="001C3019" w:rsidRPr="00045D7F">
        <w:rPr>
          <w:rFonts w:ascii="Verdana" w:hAnsi="Verdana"/>
          <w:sz w:val="22"/>
          <w:szCs w:val="22"/>
        </w:rPr>
        <w:t>czej, z zaokrągleniem w górę do </w:t>
      </w:r>
      <w:r w:rsidRPr="00045D7F">
        <w:rPr>
          <w:rFonts w:ascii="Verdana" w:hAnsi="Verdana"/>
          <w:sz w:val="22"/>
          <w:szCs w:val="22"/>
        </w:rPr>
        <w:t>pełnych dziesiątek złotych.</w:t>
      </w:r>
    </w:p>
    <w:p w14:paraId="4984AD92" w14:textId="77777777" w:rsidR="004469F7" w:rsidRPr="00045D7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14:paraId="02039E39" w14:textId="77777777" w:rsidR="00553104" w:rsidRPr="00045D7F" w:rsidRDefault="00553104" w:rsidP="007650E5">
      <w:pPr>
        <w:pStyle w:val="Standard"/>
        <w:numPr>
          <w:ilvl w:val="0"/>
          <w:numId w:val="24"/>
        </w:numPr>
        <w:spacing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odwołania przetargu;</w:t>
      </w:r>
    </w:p>
    <w:p w14:paraId="5FD99E90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zamknięcia przetargu;</w:t>
      </w:r>
    </w:p>
    <w:p w14:paraId="3AA4DA73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unieważnienia przetargu;</w:t>
      </w:r>
    </w:p>
    <w:p w14:paraId="615D39FA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after="24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zakończenia przetargu wynikiem negatywnym.</w:t>
      </w:r>
    </w:p>
    <w:p w14:paraId="3196758D" w14:textId="49268B90" w:rsidR="00B90CBB" w:rsidRPr="00045D7F" w:rsidRDefault="00802DE8" w:rsidP="008A334B">
      <w:pPr>
        <w:pStyle w:val="Standard"/>
        <w:numPr>
          <w:ilvl w:val="0"/>
          <w:numId w:val="18"/>
        </w:numPr>
        <w:spacing w:before="120"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045D7F">
        <w:rPr>
          <w:rFonts w:ascii="Verdana" w:hAnsi="Verdana"/>
          <w:sz w:val="22"/>
          <w:szCs w:val="22"/>
        </w:rPr>
        <w:t xml:space="preserve">ie uzgodniony </w:t>
      </w:r>
      <w:r w:rsidRPr="00045D7F">
        <w:rPr>
          <w:rFonts w:ascii="Verdana" w:hAnsi="Verdana"/>
          <w:sz w:val="22"/>
          <w:szCs w:val="22"/>
        </w:rPr>
        <w:t>z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045D7F">
        <w:rPr>
          <w:rFonts w:ascii="Verdana" w:hAnsi="Verdana"/>
          <w:sz w:val="22"/>
          <w:szCs w:val="22"/>
        </w:rPr>
        <w:t>dku nieprzystąpienia Nabywcy do</w:t>
      </w:r>
      <w:r w:rsidR="00A50430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zawarcia umowy, </w:t>
      </w:r>
      <w:r w:rsidR="00B76AF1" w:rsidRPr="00045D7F">
        <w:rPr>
          <w:rFonts w:ascii="Verdana" w:hAnsi="Verdana"/>
          <w:sz w:val="22"/>
          <w:szCs w:val="22"/>
        </w:rPr>
        <w:t>tj. niestawienia się w miejscu i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B76AF1" w:rsidRPr="00045D7F">
        <w:rPr>
          <w:rFonts w:ascii="Verdana" w:hAnsi="Verdana"/>
          <w:sz w:val="22"/>
          <w:szCs w:val="22"/>
        </w:rPr>
        <w:t>terminie podanych w </w:t>
      </w:r>
      <w:r w:rsidRPr="00045D7F">
        <w:rPr>
          <w:rFonts w:ascii="Verdana" w:hAnsi="Verdana"/>
          <w:sz w:val="22"/>
          <w:szCs w:val="22"/>
        </w:rPr>
        <w:t xml:space="preserve">zawiadomieniu lub braku wpłaty ceny nabycia nieruchomości </w:t>
      </w:r>
      <w:r w:rsidRPr="00045D7F">
        <w:rPr>
          <w:rFonts w:ascii="Verdana" w:hAnsi="Verdana"/>
          <w:sz w:val="22"/>
          <w:szCs w:val="22"/>
        </w:rPr>
        <w:lastRenderedPageBreak/>
        <w:t>do dnia zawarcia umowy, Pre</w:t>
      </w:r>
      <w:r w:rsidR="00B76AF1" w:rsidRPr="00045D7F">
        <w:rPr>
          <w:rFonts w:ascii="Verdana" w:hAnsi="Verdana"/>
          <w:sz w:val="22"/>
          <w:szCs w:val="22"/>
        </w:rPr>
        <w:t xml:space="preserve">zydent Wrocławia może odstąpić </w:t>
      </w:r>
      <w:r w:rsidRPr="00045D7F">
        <w:rPr>
          <w:rFonts w:ascii="Verdana" w:hAnsi="Verdana"/>
          <w:sz w:val="22"/>
          <w:szCs w:val="22"/>
        </w:rPr>
        <w:t>od zawarcia umowy,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wpłacone wadium nie podlega zwrotowi.</w:t>
      </w:r>
    </w:p>
    <w:p w14:paraId="7CF723C9" w14:textId="36C1C1BF" w:rsidR="00C00AF8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Sprzedaż nieruchomości zwolniona jest z podatku od towarów i usług (VAT) na podstawie art. 29a ust. 8 oraz art. 43 ust. 1 pkt 10 ustawy z dnia 11 marca 2004 r. o podatku od towarów i usług (Dz. U. z 202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późn</w:t>
      </w:r>
      <w:proofErr w:type="spellEnd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„</w:t>
      </w:r>
      <w:r w:rsidR="0040304E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 xml:space="preserve">Ledóchowskiego </w:t>
      </w:r>
      <w:r w:rsidR="00036A9E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9</w:t>
      </w:r>
      <w:r w:rsidR="00924A4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/U1A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”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Datą dokonania wpłaty jest data uznania rachunku bankowego Gminy Wrocław.</w:t>
      </w:r>
    </w:p>
    <w:p w14:paraId="788694FA" w14:textId="77777777" w:rsidR="002037D1" w:rsidRDefault="00802DE8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045D7F">
        <w:rPr>
          <w:rFonts w:ascii="Verdana" w:hAnsi="Verdana"/>
          <w:sz w:val="22"/>
          <w:szCs w:val="22"/>
        </w:rPr>
        <w:t>na </w:t>
      </w:r>
      <w:r w:rsidRPr="00045D7F">
        <w:rPr>
          <w:rFonts w:ascii="Verdana" w:hAnsi="Verdana"/>
          <w:sz w:val="22"/>
          <w:szCs w:val="22"/>
        </w:rPr>
        <w:t>kupującego wszelkie korzyści i ciężary związane z własnością wyodrębnionego lokalu, w tym obowiązek ponoszenia kosztów zarządu związanych z utrzymaniem nieruchomości. W szczególności ww. obowiązek dotycz</w:t>
      </w:r>
      <w:r w:rsidR="003462BE" w:rsidRPr="00045D7F">
        <w:rPr>
          <w:rFonts w:ascii="Verdana" w:hAnsi="Verdana"/>
          <w:sz w:val="22"/>
          <w:szCs w:val="22"/>
        </w:rPr>
        <w:t>y uiszczania w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3462BE" w:rsidRPr="00045D7F">
        <w:rPr>
          <w:rFonts w:ascii="Verdana" w:hAnsi="Verdana"/>
          <w:sz w:val="22"/>
          <w:szCs w:val="22"/>
        </w:rPr>
        <w:t>przypadającym na </w:t>
      </w:r>
      <w:r w:rsidRPr="00045D7F">
        <w:rPr>
          <w:rFonts w:ascii="Verdana" w:hAnsi="Verdana"/>
          <w:sz w:val="22"/>
          <w:szCs w:val="22"/>
        </w:rPr>
        <w:t>Nabywcę udziale kosztów remontów nieruchom</w:t>
      </w:r>
      <w:r w:rsidR="001C0CCD" w:rsidRPr="00045D7F">
        <w:rPr>
          <w:rFonts w:ascii="Verdana" w:hAnsi="Verdana"/>
          <w:sz w:val="22"/>
          <w:szCs w:val="22"/>
        </w:rPr>
        <w:t>ości wspólnej, realizowanych na </w:t>
      </w:r>
      <w:r w:rsidRPr="00045D7F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niezrealizowanych przed dniem zawarcia umowy sprzedaży lokalu. O</w:t>
      </w:r>
      <w:r w:rsidR="001C0CCD" w:rsidRPr="00045D7F">
        <w:rPr>
          <w:rFonts w:ascii="Verdana" w:hAnsi="Verdana"/>
          <w:sz w:val="22"/>
          <w:szCs w:val="22"/>
        </w:rPr>
        <w:t>bowiązek dostosowania lokalu do </w:t>
      </w:r>
      <w:r w:rsidRPr="00045D7F">
        <w:rPr>
          <w:rFonts w:ascii="Verdana" w:hAnsi="Verdana"/>
          <w:sz w:val="22"/>
          <w:szCs w:val="22"/>
        </w:rPr>
        <w:t>prowadzenia w nim zamierzonej działalności oraz uzyskania w tym zakresie stosownych pozwoleń, jeżeli takie będą wymagane, spoczywa na</w:t>
      </w:r>
      <w:r w:rsidR="00D92BF0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Nabywcy.</w:t>
      </w:r>
    </w:p>
    <w:p w14:paraId="6B6AB3BB" w14:textId="23800055" w:rsidR="0040304E" w:rsidRPr="0040304E" w:rsidRDefault="0040304E" w:rsidP="005A5852">
      <w:pPr>
        <w:pStyle w:val="Akapitzlist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 w:cs="Helv"/>
          <w:bCs/>
          <w:color w:val="000000"/>
          <w:sz w:val="22"/>
          <w:szCs w:val="19"/>
        </w:rPr>
      </w:pPr>
      <w:r w:rsidRPr="0040304E">
        <w:rPr>
          <w:rFonts w:ascii="Verdana" w:hAnsi="Verdana" w:cs="Helv"/>
          <w:bCs/>
          <w:color w:val="000000"/>
          <w:sz w:val="22"/>
          <w:szCs w:val="19"/>
        </w:rPr>
        <w:lastRenderedPageBreak/>
        <w:t xml:space="preserve">Nieruchomość znajduje się  w obszarze, dla którego Rada Miejska Wrocławia uchwałą nr XXXVIII/1019/21 z dnia 20 maja 2021 r. (Dziennik Urzędowy Województwa Dolnośląskiego z 2021 r. poz. 2555) wyznaczyła obszar zdegradowany i obszar rewitalizacji w rozumieniu ustawy z dnia 9 października 2015 r. o rewitalizacji (Dz. U. z 2024 r. poz. 278 z </w:t>
      </w:r>
      <w:proofErr w:type="spellStart"/>
      <w:r w:rsidRPr="0040304E">
        <w:rPr>
          <w:rFonts w:ascii="Verdana" w:hAnsi="Verdana" w:cs="Helv"/>
          <w:bCs/>
          <w:color w:val="000000"/>
          <w:sz w:val="22"/>
          <w:szCs w:val="19"/>
        </w:rPr>
        <w:t>późn</w:t>
      </w:r>
      <w:proofErr w:type="spellEnd"/>
      <w:r w:rsidRPr="0040304E">
        <w:rPr>
          <w:rFonts w:ascii="Verdana" w:hAnsi="Verdana" w:cs="Helv"/>
          <w:bCs/>
          <w:color w:val="000000"/>
          <w:sz w:val="22"/>
          <w:szCs w:val="19"/>
        </w:rPr>
        <w:t xml:space="preserve">. </w:t>
      </w:r>
      <w:proofErr w:type="spellStart"/>
      <w:r w:rsidRPr="0040304E">
        <w:rPr>
          <w:rFonts w:ascii="Verdana" w:hAnsi="Verdana" w:cs="Helv"/>
          <w:bCs/>
          <w:color w:val="000000"/>
          <w:sz w:val="22"/>
          <w:szCs w:val="19"/>
        </w:rPr>
        <w:t>zm</w:t>
      </w:r>
      <w:proofErr w:type="spellEnd"/>
      <w:r w:rsidRPr="0040304E">
        <w:rPr>
          <w:rFonts w:ascii="Verdana" w:hAnsi="Verdana" w:cs="Helv"/>
          <w:bCs/>
          <w:color w:val="000000"/>
          <w:sz w:val="22"/>
          <w:szCs w:val="19"/>
        </w:rPr>
        <w:t>).</w:t>
      </w:r>
    </w:p>
    <w:p w14:paraId="52633062" w14:textId="77E01AA2" w:rsidR="002037D1" w:rsidRPr="002037D1" w:rsidRDefault="002037D1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Nieruchomość położona na obszarze, dla którego brak jest obowiązującego miejscowego planu zagospodarowania przestrzennego.</w:t>
      </w:r>
      <w:r w:rsidRPr="00961EF4">
        <w:rPr>
          <w:rFonts w:ascii="Verdana" w:hAnsi="Verdana"/>
          <w:sz w:val="22"/>
          <w:szCs w:val="22"/>
        </w:rPr>
        <w:t xml:space="preserve"> </w:t>
      </w:r>
    </w:p>
    <w:p w14:paraId="2DF721C4" w14:textId="67602726" w:rsidR="0044553E" w:rsidRPr="00AF3607" w:rsidRDefault="0044553E" w:rsidP="0044553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 w:rsidRPr="00AF3607">
        <w:rPr>
          <w:rFonts w:ascii="Verdana" w:hAnsi="Verdana"/>
          <w:sz w:val="22"/>
          <w:szCs w:val="22"/>
        </w:rPr>
        <w:t xml:space="preserve">Zarządcą nieruchomości jest </w:t>
      </w:r>
      <w:r w:rsidR="0040304E" w:rsidRPr="00AF3607">
        <w:rPr>
          <w:rFonts w:ascii="Verdana" w:hAnsi="Verdana"/>
          <w:sz w:val="22"/>
          <w:szCs w:val="22"/>
        </w:rPr>
        <w:t xml:space="preserve">ATENA &amp; HJW </w:t>
      </w:r>
      <w:r w:rsidR="00D7177A" w:rsidRPr="00AF3607">
        <w:rPr>
          <w:rFonts w:ascii="Verdana" w:hAnsi="Verdana"/>
          <w:sz w:val="22"/>
          <w:szCs w:val="22"/>
        </w:rPr>
        <w:t>sp. z o.o.</w:t>
      </w:r>
      <w:r w:rsidRPr="00AF3607">
        <w:rPr>
          <w:rFonts w:ascii="Verdana" w:hAnsi="Verdana"/>
          <w:sz w:val="22"/>
          <w:szCs w:val="22"/>
        </w:rPr>
        <w:t>,</w:t>
      </w:r>
      <w:r w:rsidR="00826CE2" w:rsidRPr="00AF3607">
        <w:rPr>
          <w:rFonts w:ascii="Verdana" w:hAnsi="Verdana"/>
          <w:sz w:val="22"/>
          <w:szCs w:val="22"/>
        </w:rPr>
        <w:t xml:space="preserve"> </w:t>
      </w:r>
      <w:r w:rsidR="00A24594" w:rsidRPr="00AF3607">
        <w:rPr>
          <w:rFonts w:ascii="Verdana" w:hAnsi="Verdana"/>
          <w:sz w:val="22"/>
          <w:szCs w:val="22"/>
        </w:rPr>
        <w:t>u</w:t>
      </w:r>
      <w:r w:rsidRPr="00AF3607">
        <w:rPr>
          <w:rFonts w:ascii="Verdana" w:hAnsi="Verdana"/>
          <w:sz w:val="22"/>
          <w:szCs w:val="22"/>
        </w:rPr>
        <w:t>l.</w:t>
      </w:r>
      <w:r w:rsidR="0079620D" w:rsidRPr="00AF3607">
        <w:rPr>
          <w:rFonts w:ascii="Verdana" w:hAnsi="Verdana"/>
          <w:sz w:val="22"/>
          <w:szCs w:val="22"/>
        </w:rPr>
        <w:t> </w:t>
      </w:r>
      <w:proofErr w:type="spellStart"/>
      <w:r w:rsidR="0040304E" w:rsidRPr="00AF3607">
        <w:rPr>
          <w:rFonts w:ascii="Verdana" w:hAnsi="Verdana"/>
          <w:sz w:val="22"/>
          <w:szCs w:val="22"/>
        </w:rPr>
        <w:t>Ołbińska</w:t>
      </w:r>
      <w:proofErr w:type="spellEnd"/>
      <w:r w:rsidR="0040304E" w:rsidRPr="00AF3607">
        <w:rPr>
          <w:rFonts w:ascii="Verdana" w:hAnsi="Verdana"/>
          <w:sz w:val="22"/>
          <w:szCs w:val="22"/>
        </w:rPr>
        <w:t xml:space="preserve"> 6,</w:t>
      </w:r>
      <w:r w:rsidR="0079620D" w:rsidRPr="00AF3607">
        <w:rPr>
          <w:rFonts w:ascii="Verdana" w:hAnsi="Verdana"/>
          <w:sz w:val="22"/>
          <w:szCs w:val="22"/>
        </w:rPr>
        <w:t xml:space="preserve"> </w:t>
      </w:r>
      <w:r w:rsidR="00F27D91">
        <w:rPr>
          <w:rFonts w:ascii="Verdana" w:hAnsi="Verdana"/>
          <w:sz w:val="22"/>
          <w:szCs w:val="22"/>
        </w:rPr>
        <w:br/>
      </w:r>
      <w:r w:rsidR="0079620D" w:rsidRPr="00AF3607">
        <w:rPr>
          <w:rFonts w:ascii="Verdana" w:hAnsi="Verdana"/>
          <w:sz w:val="22"/>
          <w:szCs w:val="22"/>
        </w:rPr>
        <w:t>5</w:t>
      </w:r>
      <w:r w:rsidR="00D7177A" w:rsidRPr="00AF3607">
        <w:rPr>
          <w:rFonts w:ascii="Verdana" w:hAnsi="Verdana"/>
          <w:sz w:val="22"/>
          <w:szCs w:val="22"/>
        </w:rPr>
        <w:t>0</w:t>
      </w:r>
      <w:r w:rsidR="0079620D" w:rsidRPr="00AF3607">
        <w:rPr>
          <w:rFonts w:ascii="Verdana" w:hAnsi="Verdana"/>
          <w:sz w:val="22"/>
          <w:szCs w:val="22"/>
        </w:rPr>
        <w:t>-</w:t>
      </w:r>
      <w:r w:rsidR="00AF3607" w:rsidRPr="00AF3607">
        <w:rPr>
          <w:rFonts w:ascii="Verdana" w:hAnsi="Verdana"/>
          <w:sz w:val="22"/>
          <w:szCs w:val="22"/>
        </w:rPr>
        <w:t>237</w:t>
      </w:r>
      <w:r w:rsidR="0079620D" w:rsidRPr="00AF3607">
        <w:rPr>
          <w:rFonts w:ascii="Verdana" w:hAnsi="Verdana"/>
          <w:sz w:val="22"/>
          <w:szCs w:val="22"/>
        </w:rPr>
        <w:t xml:space="preserve"> Wrocław</w:t>
      </w:r>
      <w:r w:rsidRPr="00AF3607">
        <w:rPr>
          <w:rFonts w:ascii="Verdana" w:hAnsi="Verdana"/>
          <w:sz w:val="22"/>
          <w:szCs w:val="22"/>
        </w:rPr>
        <w:t xml:space="preserve">, tel. </w:t>
      </w:r>
      <w:r w:rsidR="001572A3" w:rsidRPr="00AF3607">
        <w:rPr>
          <w:rFonts w:ascii="Verdana" w:hAnsi="Verdana"/>
          <w:sz w:val="22"/>
          <w:szCs w:val="22"/>
        </w:rPr>
        <w:t>71-</w:t>
      </w:r>
      <w:r w:rsidR="00AF3607" w:rsidRPr="00AF3607">
        <w:rPr>
          <w:rFonts w:ascii="Verdana" w:hAnsi="Verdana"/>
          <w:sz w:val="22"/>
          <w:szCs w:val="22"/>
        </w:rPr>
        <w:t>772</w:t>
      </w:r>
      <w:r w:rsidR="001572A3" w:rsidRPr="00AF3607">
        <w:rPr>
          <w:rFonts w:ascii="Verdana" w:hAnsi="Verdana"/>
          <w:sz w:val="22"/>
          <w:szCs w:val="22"/>
        </w:rPr>
        <w:t>-</w:t>
      </w:r>
      <w:r w:rsidR="00AF3607" w:rsidRPr="00AF3607">
        <w:rPr>
          <w:rFonts w:ascii="Verdana" w:hAnsi="Verdana"/>
          <w:sz w:val="22"/>
          <w:szCs w:val="22"/>
        </w:rPr>
        <w:t>63-00</w:t>
      </w:r>
      <w:r w:rsidRPr="00AF3607">
        <w:rPr>
          <w:rFonts w:ascii="Verdana" w:hAnsi="Verdana"/>
          <w:sz w:val="22"/>
          <w:szCs w:val="22"/>
        </w:rPr>
        <w:t>.</w:t>
      </w:r>
    </w:p>
    <w:p w14:paraId="5F8BF65D" w14:textId="7A012E6D" w:rsidR="004469F7" w:rsidRDefault="00802DE8" w:rsidP="00A50430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40304E">
        <w:rPr>
          <w:rFonts w:ascii="Verdana" w:hAnsi="Verdana"/>
          <w:sz w:val="22"/>
          <w:szCs w:val="22"/>
        </w:rPr>
        <w:t xml:space="preserve">Budynek przy ul. </w:t>
      </w:r>
      <w:r w:rsidR="0040304E" w:rsidRPr="0040304E">
        <w:rPr>
          <w:rFonts w:ascii="Verdana" w:hAnsi="Verdana"/>
          <w:sz w:val="22"/>
          <w:szCs w:val="22"/>
        </w:rPr>
        <w:t>kard. Mieczysława Ledóchowskiego 9</w:t>
      </w:r>
      <w:r w:rsidR="00C96C36" w:rsidRPr="0040304E">
        <w:rPr>
          <w:rFonts w:ascii="Verdana" w:hAnsi="Verdana"/>
          <w:sz w:val="22"/>
          <w:szCs w:val="22"/>
        </w:rPr>
        <w:t xml:space="preserve"> </w:t>
      </w:r>
      <w:r w:rsidRPr="0040304E">
        <w:rPr>
          <w:rFonts w:ascii="Verdana" w:hAnsi="Verdana"/>
          <w:sz w:val="22"/>
          <w:szCs w:val="22"/>
        </w:rPr>
        <w:t>znajduje się w Gminnej Ewidencji Zabytków Miasta Wrocławia.</w:t>
      </w:r>
      <w:r w:rsidR="006A0948" w:rsidRPr="0040304E">
        <w:rPr>
          <w:rFonts w:ascii="Verdana" w:hAnsi="Verdana"/>
          <w:sz w:val="22"/>
          <w:szCs w:val="22"/>
        </w:rPr>
        <w:t xml:space="preserve"> Zgodnie z przepisem art. 3 ust. 4 pkt 1 ustawy z dnia 29 sierpnia 2014 r. o charakterystyce energetycznej budynków (Dz.</w:t>
      </w:r>
      <w:r w:rsidR="004A6118" w:rsidRPr="0040304E">
        <w:rPr>
          <w:rFonts w:ascii="Verdana" w:hAnsi="Verdana"/>
          <w:sz w:val="22"/>
          <w:szCs w:val="22"/>
        </w:rPr>
        <w:t> </w:t>
      </w:r>
      <w:r w:rsidR="006A0948" w:rsidRPr="0040304E">
        <w:rPr>
          <w:rFonts w:ascii="Verdana" w:hAnsi="Verdana"/>
          <w:sz w:val="22"/>
          <w:szCs w:val="22"/>
        </w:rPr>
        <w:t>U. z 202</w:t>
      </w:r>
      <w:r w:rsidR="004A6118" w:rsidRPr="0040304E">
        <w:rPr>
          <w:rFonts w:ascii="Verdana" w:hAnsi="Verdana"/>
          <w:sz w:val="22"/>
          <w:szCs w:val="22"/>
        </w:rPr>
        <w:t>4</w:t>
      </w:r>
      <w:r w:rsidR="006A0948" w:rsidRPr="0040304E">
        <w:rPr>
          <w:rFonts w:ascii="Verdana" w:hAnsi="Verdana"/>
          <w:sz w:val="22"/>
          <w:szCs w:val="22"/>
        </w:rPr>
        <w:t xml:space="preserve"> r. poz. </w:t>
      </w:r>
      <w:r w:rsidR="004A6118" w:rsidRPr="0040304E">
        <w:rPr>
          <w:rFonts w:ascii="Verdana" w:hAnsi="Verdana"/>
          <w:sz w:val="22"/>
          <w:szCs w:val="22"/>
        </w:rPr>
        <w:t>101</w:t>
      </w:r>
      <w:r w:rsidR="006A0948" w:rsidRPr="0040304E">
        <w:rPr>
          <w:rFonts w:ascii="Verdana" w:hAnsi="Verdana"/>
          <w:sz w:val="22"/>
          <w:szCs w:val="22"/>
        </w:rPr>
        <w:t>) obowiązek w zakresie sporządzenia świadectwa charakterystyki energetycznej nie dotyczy budynku podlegającego ochronie na</w:t>
      </w:r>
      <w:r w:rsidR="00C327DE" w:rsidRPr="0040304E">
        <w:rPr>
          <w:rFonts w:ascii="Verdana" w:hAnsi="Verdana"/>
          <w:sz w:val="22"/>
          <w:szCs w:val="22"/>
        </w:rPr>
        <w:t> </w:t>
      </w:r>
      <w:r w:rsidR="006A0948" w:rsidRPr="0040304E">
        <w:rPr>
          <w:rFonts w:ascii="Verdana" w:hAnsi="Verdana"/>
          <w:sz w:val="22"/>
          <w:szCs w:val="22"/>
        </w:rPr>
        <w:t>podstawie przepisów o ochronie zabytków i opiece nad zabytkami.</w:t>
      </w:r>
    </w:p>
    <w:p w14:paraId="1A5F146B" w14:textId="33EFC83B" w:rsidR="005655AF" w:rsidRPr="005655AF" w:rsidRDefault="005655AF" w:rsidP="005655AF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 w:rsidRPr="009056C3">
        <w:rPr>
          <w:rFonts w:ascii="Verdana" w:hAnsi="Verdana"/>
          <w:sz w:val="22"/>
          <w:szCs w:val="22"/>
        </w:rPr>
        <w:t>W dziale III księgi wieczystej oznaczonej w pkt 1 ujawniony jest wpis dotyczący zarządu nieruchomością wspólną.</w:t>
      </w:r>
    </w:p>
    <w:p w14:paraId="177737E3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53A7BABB" w14:textId="516B4B8B" w:rsidR="004469F7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Koszty sporządzenia umowy notarialn</w:t>
      </w:r>
      <w:r w:rsidR="00462A26" w:rsidRPr="00045D7F">
        <w:rPr>
          <w:rFonts w:ascii="Verdana" w:hAnsi="Verdana"/>
          <w:sz w:val="22"/>
          <w:szCs w:val="22"/>
        </w:rPr>
        <w:t xml:space="preserve">ej oraz opłaty sądowe związane </w:t>
      </w:r>
      <w:r w:rsidRPr="00045D7F">
        <w:rPr>
          <w:rFonts w:ascii="Verdana" w:hAnsi="Verdana"/>
          <w:sz w:val="22"/>
          <w:szCs w:val="22"/>
        </w:rPr>
        <w:t>z dokonaniem wpisów w księdze wieczystej ponosi Nabywca.</w:t>
      </w:r>
    </w:p>
    <w:p w14:paraId="64B38BC5" w14:textId="7F249F1A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Cudzoziemcy (w rozumieniu ustawy z dnia 24 marca 1920 r. o nabywaniu nieruchomości przez cudzoziemców) w przypadku wy</w:t>
      </w:r>
      <w:r w:rsidR="009545C1" w:rsidRPr="00045D7F">
        <w:rPr>
          <w:rFonts w:ascii="Verdana" w:hAnsi="Verdana"/>
          <w:color w:val="000000"/>
          <w:sz w:val="22"/>
          <w:szCs w:val="22"/>
        </w:rPr>
        <w:t>grania przetargu zobowiązani są </w:t>
      </w:r>
      <w:r w:rsidRPr="00045D7F">
        <w:rPr>
          <w:rFonts w:ascii="Verdana" w:hAnsi="Verdana"/>
          <w:color w:val="000000"/>
          <w:sz w:val="22"/>
          <w:szCs w:val="22"/>
        </w:rPr>
        <w:t>przed zawarciem umowy notarialnej uzyskać zgodę</w:t>
      </w:r>
      <w:r w:rsidR="009545C1" w:rsidRPr="00045D7F">
        <w:rPr>
          <w:rFonts w:ascii="Verdana" w:hAnsi="Verdana"/>
          <w:color w:val="000000"/>
          <w:sz w:val="22"/>
          <w:szCs w:val="22"/>
        </w:rPr>
        <w:t xml:space="preserve"> Ministra Spraw Wewnętrznych </w:t>
      </w:r>
      <w:r w:rsidR="00794CD7">
        <w:rPr>
          <w:rFonts w:ascii="Verdana" w:hAnsi="Verdana"/>
          <w:color w:val="000000"/>
          <w:sz w:val="22"/>
          <w:szCs w:val="22"/>
        </w:rPr>
        <w:t xml:space="preserve">i Administracji </w:t>
      </w:r>
      <w:r w:rsidR="009545C1" w:rsidRPr="00045D7F">
        <w:rPr>
          <w:rFonts w:ascii="Verdana" w:hAnsi="Verdana"/>
          <w:color w:val="000000"/>
          <w:sz w:val="22"/>
          <w:szCs w:val="22"/>
        </w:rPr>
        <w:t>na </w:t>
      </w:r>
      <w:r w:rsidRPr="00045D7F">
        <w:rPr>
          <w:rFonts w:ascii="Verdana" w:hAnsi="Verdana"/>
          <w:color w:val="000000"/>
          <w:sz w:val="22"/>
          <w:szCs w:val="22"/>
        </w:rPr>
        <w:t>nabycie nieruchomości w przypadkach gdy zgoda ta jest wymagana.</w:t>
      </w:r>
    </w:p>
    <w:p w14:paraId="5705FDB9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Wydanie przedmiotowego lokalu Nabywcy nastąpi pr</w:t>
      </w:r>
      <w:r w:rsidR="003462BE" w:rsidRPr="00045D7F">
        <w:rPr>
          <w:rFonts w:ascii="Verdana" w:hAnsi="Verdana"/>
          <w:sz w:val="22"/>
          <w:szCs w:val="22"/>
        </w:rPr>
        <w:t>otokołem zdawczo – odbiorczym w </w:t>
      </w:r>
      <w:r w:rsidRPr="00045D7F">
        <w:rPr>
          <w:rFonts w:ascii="Verdana" w:hAnsi="Verdana"/>
          <w:sz w:val="22"/>
          <w:szCs w:val="22"/>
        </w:rPr>
        <w:t>ciągu czternastu dni od dnia podpisania umowy notarialnej.</w:t>
      </w:r>
    </w:p>
    <w:p w14:paraId="1BE3976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color w:val="000000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Prezydent Wrocławia może odwołać przetarg z ważnych powodów.</w:t>
      </w:r>
    </w:p>
    <w:p w14:paraId="4FB3668B" w14:textId="1D9869BB" w:rsidR="007D7AFA" w:rsidRDefault="00802DE8" w:rsidP="007D7AF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Lokal </w:t>
      </w:r>
      <w:r w:rsidR="00317F4D">
        <w:rPr>
          <w:rFonts w:ascii="Verdana" w:hAnsi="Verdana"/>
          <w:sz w:val="22"/>
          <w:szCs w:val="22"/>
        </w:rPr>
        <w:t>użytkowy</w:t>
      </w:r>
      <w:r w:rsidR="00760427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oglądać można w dni</w:t>
      </w:r>
      <w:r w:rsidRPr="00747852">
        <w:rPr>
          <w:rFonts w:ascii="Verdana" w:hAnsi="Verdana"/>
          <w:sz w:val="22"/>
          <w:szCs w:val="22"/>
        </w:rPr>
        <w:t>ach</w:t>
      </w:r>
      <w:r w:rsidR="00841FC7" w:rsidRPr="00747852">
        <w:rPr>
          <w:rFonts w:ascii="Verdana" w:hAnsi="Verdana"/>
          <w:sz w:val="22"/>
          <w:szCs w:val="22"/>
        </w:rPr>
        <w:t>:</w:t>
      </w:r>
      <w:r w:rsidR="00517694" w:rsidRPr="00747852">
        <w:rPr>
          <w:rFonts w:ascii="Verdana" w:hAnsi="Verdana"/>
          <w:sz w:val="22"/>
          <w:szCs w:val="22"/>
        </w:rPr>
        <w:t xml:space="preserve"> </w:t>
      </w:r>
      <w:r w:rsidR="0040304E" w:rsidRPr="0040304E">
        <w:rPr>
          <w:rFonts w:ascii="Verdana" w:hAnsi="Verdana"/>
          <w:sz w:val="22"/>
          <w:szCs w:val="22"/>
        </w:rPr>
        <w:t>16</w:t>
      </w:r>
      <w:r w:rsidR="00841FC7" w:rsidRPr="0040304E">
        <w:rPr>
          <w:rFonts w:ascii="Verdana" w:hAnsi="Verdana"/>
          <w:sz w:val="22"/>
          <w:szCs w:val="22"/>
        </w:rPr>
        <w:t>.</w:t>
      </w:r>
      <w:r w:rsidR="0040304E" w:rsidRPr="0040304E">
        <w:rPr>
          <w:rFonts w:ascii="Verdana" w:hAnsi="Verdana"/>
          <w:sz w:val="22"/>
          <w:szCs w:val="22"/>
        </w:rPr>
        <w:t>12</w:t>
      </w:r>
      <w:r w:rsidR="00841FC7" w:rsidRPr="0040304E">
        <w:rPr>
          <w:rFonts w:ascii="Verdana" w:hAnsi="Verdana"/>
          <w:sz w:val="22"/>
          <w:szCs w:val="22"/>
        </w:rPr>
        <w:t>.2025 r. w godz. 9</w:t>
      </w:r>
      <w:r w:rsidR="00841FC7" w:rsidRPr="0040304E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40304E">
        <w:rPr>
          <w:rFonts w:ascii="Verdana" w:hAnsi="Verdana"/>
          <w:sz w:val="22"/>
          <w:szCs w:val="22"/>
        </w:rPr>
        <w:t>– 11</w:t>
      </w:r>
      <w:r w:rsidR="00841FC7" w:rsidRPr="0040304E">
        <w:rPr>
          <w:rFonts w:ascii="Verdana" w:hAnsi="Verdana"/>
          <w:sz w:val="22"/>
          <w:szCs w:val="22"/>
          <w:vertAlign w:val="superscript"/>
        </w:rPr>
        <w:t>00</w:t>
      </w:r>
      <w:r w:rsidR="00841FC7" w:rsidRPr="0040304E">
        <w:rPr>
          <w:rFonts w:ascii="Verdana" w:hAnsi="Verdana"/>
          <w:sz w:val="22"/>
          <w:szCs w:val="22"/>
        </w:rPr>
        <w:t xml:space="preserve">, </w:t>
      </w:r>
      <w:r w:rsidR="0040304E" w:rsidRPr="0040304E">
        <w:rPr>
          <w:rFonts w:ascii="Verdana" w:hAnsi="Verdana"/>
          <w:sz w:val="22"/>
          <w:szCs w:val="22"/>
        </w:rPr>
        <w:t>17</w:t>
      </w:r>
      <w:r w:rsidR="00841FC7" w:rsidRPr="0040304E">
        <w:rPr>
          <w:rFonts w:ascii="Verdana" w:hAnsi="Verdana"/>
          <w:sz w:val="22"/>
          <w:szCs w:val="22"/>
        </w:rPr>
        <w:t>.</w:t>
      </w:r>
      <w:r w:rsidR="0040304E" w:rsidRPr="0040304E">
        <w:rPr>
          <w:rFonts w:ascii="Verdana" w:hAnsi="Verdana"/>
          <w:sz w:val="22"/>
          <w:szCs w:val="22"/>
        </w:rPr>
        <w:t>12</w:t>
      </w:r>
      <w:r w:rsidR="00841FC7" w:rsidRPr="0040304E">
        <w:rPr>
          <w:rFonts w:ascii="Verdana" w:hAnsi="Verdana"/>
          <w:sz w:val="22"/>
          <w:szCs w:val="22"/>
        </w:rPr>
        <w:t>.2025 r. w godz. 11</w:t>
      </w:r>
      <w:r w:rsidR="00841FC7" w:rsidRPr="0040304E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40304E">
        <w:rPr>
          <w:rFonts w:ascii="Verdana" w:hAnsi="Verdana"/>
          <w:sz w:val="22"/>
          <w:szCs w:val="22"/>
        </w:rPr>
        <w:t>– 13</w:t>
      </w:r>
      <w:r w:rsidR="00841FC7" w:rsidRPr="0040304E">
        <w:rPr>
          <w:rFonts w:ascii="Verdana" w:hAnsi="Verdana"/>
          <w:sz w:val="22"/>
          <w:szCs w:val="22"/>
          <w:vertAlign w:val="superscript"/>
        </w:rPr>
        <w:t>00</w:t>
      </w:r>
      <w:r w:rsidR="00841FC7" w:rsidRPr="0040304E">
        <w:rPr>
          <w:rFonts w:ascii="Verdana" w:hAnsi="Verdana"/>
          <w:sz w:val="22"/>
          <w:szCs w:val="22"/>
        </w:rPr>
        <w:t xml:space="preserve">, oraz </w:t>
      </w:r>
      <w:r w:rsidR="0040304E" w:rsidRPr="0040304E">
        <w:rPr>
          <w:rFonts w:ascii="Verdana" w:hAnsi="Verdana"/>
          <w:sz w:val="22"/>
          <w:szCs w:val="22"/>
        </w:rPr>
        <w:t>18</w:t>
      </w:r>
      <w:r w:rsidR="00841FC7" w:rsidRPr="0040304E">
        <w:rPr>
          <w:rFonts w:ascii="Verdana" w:hAnsi="Verdana"/>
          <w:sz w:val="22"/>
          <w:szCs w:val="22"/>
        </w:rPr>
        <w:t>.</w:t>
      </w:r>
      <w:r w:rsidR="0040304E" w:rsidRPr="0040304E">
        <w:rPr>
          <w:rFonts w:ascii="Verdana" w:hAnsi="Verdana"/>
          <w:sz w:val="22"/>
          <w:szCs w:val="22"/>
        </w:rPr>
        <w:t>12</w:t>
      </w:r>
      <w:r w:rsidR="00841FC7" w:rsidRPr="0040304E">
        <w:rPr>
          <w:rFonts w:ascii="Verdana" w:hAnsi="Verdana"/>
          <w:sz w:val="22"/>
          <w:szCs w:val="22"/>
        </w:rPr>
        <w:t>.2025 r. w godz. 12</w:t>
      </w:r>
      <w:r w:rsidR="00841FC7" w:rsidRPr="0040304E">
        <w:rPr>
          <w:rFonts w:ascii="Verdana" w:hAnsi="Verdana"/>
          <w:sz w:val="22"/>
          <w:szCs w:val="22"/>
          <w:vertAlign w:val="superscript"/>
        </w:rPr>
        <w:t>00</w:t>
      </w:r>
      <w:r w:rsidR="00841FC7" w:rsidRPr="0040304E">
        <w:rPr>
          <w:rFonts w:ascii="Verdana" w:hAnsi="Verdana"/>
          <w:sz w:val="22"/>
          <w:szCs w:val="22"/>
        </w:rPr>
        <w:t xml:space="preserve"> – 14</w:t>
      </w:r>
      <w:r w:rsidR="00841FC7" w:rsidRPr="0040304E">
        <w:rPr>
          <w:rFonts w:ascii="Verdana" w:hAnsi="Verdana"/>
          <w:sz w:val="22"/>
          <w:szCs w:val="22"/>
          <w:vertAlign w:val="superscript"/>
        </w:rPr>
        <w:t>00</w:t>
      </w:r>
      <w:r w:rsidRPr="0040304E">
        <w:rPr>
          <w:rFonts w:ascii="Verdana" w:hAnsi="Verdana"/>
          <w:sz w:val="22"/>
          <w:szCs w:val="22"/>
        </w:rPr>
        <w:t xml:space="preserve">, </w:t>
      </w:r>
      <w:r w:rsidRPr="00045D7F">
        <w:rPr>
          <w:rFonts w:ascii="Verdana" w:hAnsi="Verdana"/>
          <w:sz w:val="22"/>
          <w:szCs w:val="22"/>
        </w:rPr>
        <w:t>po</w:t>
      </w:r>
      <w:r w:rsidR="00747852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uprzednim ustaleniu terminu z</w:t>
      </w:r>
      <w:r w:rsidR="00F27D91">
        <w:rPr>
          <w:rFonts w:ascii="Verdana" w:hAnsi="Verdana"/>
          <w:sz w:val="22"/>
          <w:szCs w:val="22"/>
        </w:rPr>
        <w:t xml:space="preserve"> Zarządem Zasobu Komunalnego</w:t>
      </w:r>
      <w:r w:rsidR="00822055">
        <w:rPr>
          <w:rFonts w:ascii="Verdana" w:hAnsi="Verdana"/>
          <w:sz w:val="22"/>
          <w:szCs w:val="22"/>
        </w:rPr>
        <w:t>,</w:t>
      </w:r>
      <w:r w:rsidR="00F27D91">
        <w:rPr>
          <w:rFonts w:ascii="Verdana" w:hAnsi="Verdana"/>
          <w:sz w:val="22"/>
          <w:szCs w:val="22"/>
        </w:rPr>
        <w:t xml:space="preserve"> ul. św. Elżbiety 3</w:t>
      </w:r>
      <w:r w:rsidR="00822055">
        <w:rPr>
          <w:rFonts w:ascii="Verdana" w:hAnsi="Verdana"/>
          <w:sz w:val="22"/>
          <w:szCs w:val="22"/>
        </w:rPr>
        <w:t>, 50</w:t>
      </w:r>
      <w:r w:rsidR="00317F4D">
        <w:rPr>
          <w:rFonts w:ascii="Verdana" w:hAnsi="Verdana"/>
          <w:sz w:val="22"/>
          <w:szCs w:val="22"/>
        </w:rPr>
        <w:t>-</w:t>
      </w:r>
      <w:r w:rsidR="00F27D91">
        <w:rPr>
          <w:rFonts w:ascii="Verdana" w:hAnsi="Verdana"/>
          <w:sz w:val="22"/>
          <w:szCs w:val="22"/>
        </w:rPr>
        <w:t>111</w:t>
      </w:r>
      <w:r w:rsidR="00317F4D">
        <w:rPr>
          <w:rFonts w:ascii="Verdana" w:hAnsi="Verdana"/>
          <w:sz w:val="22"/>
          <w:szCs w:val="22"/>
        </w:rPr>
        <w:t xml:space="preserve"> Wrocław,</w:t>
      </w:r>
      <w:r w:rsidRPr="00045D7F">
        <w:rPr>
          <w:rFonts w:ascii="Verdana" w:hAnsi="Verdana"/>
          <w:sz w:val="22"/>
          <w:szCs w:val="22"/>
        </w:rPr>
        <w:t xml:space="preserve"> tel. 71</w:t>
      </w:r>
      <w:r w:rsidR="00822055">
        <w:rPr>
          <w:rFonts w:ascii="Verdana" w:hAnsi="Verdana"/>
          <w:sz w:val="22"/>
          <w:szCs w:val="22"/>
        </w:rPr>
        <w:t> </w:t>
      </w:r>
      <w:r w:rsidR="00F27D91">
        <w:rPr>
          <w:rFonts w:ascii="Verdana" w:hAnsi="Verdana"/>
          <w:sz w:val="22"/>
          <w:szCs w:val="22"/>
        </w:rPr>
        <w:t>776</w:t>
      </w:r>
      <w:r w:rsidR="00822055">
        <w:rPr>
          <w:rFonts w:ascii="Verdana" w:hAnsi="Verdana"/>
          <w:sz w:val="22"/>
          <w:szCs w:val="22"/>
        </w:rPr>
        <w:t>-</w:t>
      </w:r>
      <w:r w:rsidR="00F27D91">
        <w:rPr>
          <w:rFonts w:ascii="Verdana" w:hAnsi="Verdana"/>
          <w:sz w:val="22"/>
          <w:szCs w:val="22"/>
        </w:rPr>
        <w:t>24</w:t>
      </w:r>
      <w:r w:rsidR="00822055">
        <w:rPr>
          <w:rFonts w:ascii="Verdana" w:hAnsi="Verdana"/>
          <w:sz w:val="22"/>
          <w:szCs w:val="22"/>
        </w:rPr>
        <w:t>-</w:t>
      </w:r>
      <w:r w:rsidR="00F27D91">
        <w:rPr>
          <w:rFonts w:ascii="Verdana" w:hAnsi="Verdana"/>
          <w:sz w:val="22"/>
          <w:szCs w:val="22"/>
        </w:rPr>
        <w:t>41</w:t>
      </w:r>
      <w:r w:rsidR="007D7AFA">
        <w:rPr>
          <w:rFonts w:ascii="Verdana" w:hAnsi="Verdana"/>
          <w:sz w:val="22"/>
          <w:szCs w:val="22"/>
        </w:rPr>
        <w:t>.</w:t>
      </w:r>
    </w:p>
    <w:p w14:paraId="733F6C18" w14:textId="5901BA3C" w:rsidR="00B50E55" w:rsidRPr="00822055" w:rsidRDefault="00802DE8" w:rsidP="00822055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  <w:r w:rsidRPr="00045D7F">
        <w:rPr>
          <w:rFonts w:ascii="Verdana" w:hAnsi="Verdana"/>
          <w:bCs/>
          <w:sz w:val="22"/>
          <w:szCs w:val="22"/>
        </w:rPr>
        <w:lastRenderedPageBreak/>
        <w:t xml:space="preserve">Dodatkowe informacje dotyczące nieruchomości można uzyskać w pok. nr </w:t>
      </w:r>
      <w:r w:rsidR="009545C1" w:rsidRPr="00045D7F">
        <w:rPr>
          <w:rFonts w:ascii="Verdana" w:hAnsi="Verdana"/>
          <w:bCs/>
          <w:sz w:val="22"/>
          <w:szCs w:val="22"/>
        </w:rPr>
        <w:t>143 Urzędu</w:t>
      </w:r>
      <w:r w:rsidR="00822055">
        <w:rPr>
          <w:rFonts w:ascii="Verdana" w:hAnsi="Verdana"/>
          <w:bCs/>
          <w:sz w:val="22"/>
          <w:szCs w:val="22"/>
        </w:rPr>
        <w:t xml:space="preserve"> M</w:t>
      </w:r>
      <w:r w:rsidR="009545C1" w:rsidRPr="00045D7F">
        <w:rPr>
          <w:rFonts w:ascii="Verdana" w:hAnsi="Verdana"/>
          <w:bCs/>
          <w:sz w:val="22"/>
          <w:szCs w:val="22"/>
        </w:rPr>
        <w:t>iejskiego Wrocławia</w:t>
      </w:r>
      <w:r w:rsidRPr="00045D7F">
        <w:rPr>
          <w:rFonts w:ascii="Verdana" w:hAnsi="Verdana"/>
          <w:bCs/>
          <w:sz w:val="22"/>
          <w:szCs w:val="22"/>
        </w:rPr>
        <w:t>, ul. G. Zapolskiej 4, tel. 71 777-91-16.</w:t>
      </w:r>
    </w:p>
    <w:p w14:paraId="0701F834" w14:textId="28160C81" w:rsidR="00747852" w:rsidRDefault="00802DE8" w:rsidP="000065AC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 w:rsidRPr="00045D7F">
        <w:rPr>
          <w:sz w:val="22"/>
          <w:szCs w:val="22"/>
        </w:rPr>
        <w:t>PREZYDENT WROCŁAWIA</w:t>
      </w:r>
    </w:p>
    <w:p w14:paraId="7034146E" w14:textId="77777777" w:rsidR="006F2C8D" w:rsidRDefault="006F2C8D" w:rsidP="006F2C8D">
      <w:pPr>
        <w:spacing w:before="120"/>
        <w:jc w:val="right"/>
        <w:rPr>
          <w:rFonts w:ascii="Verdana" w:hAnsi="Verdana"/>
          <w:b/>
          <w:bCs/>
          <w:lang w:eastAsia="pl-PL"/>
        </w:rPr>
      </w:pPr>
      <w:r>
        <w:rPr>
          <w:rFonts w:ascii="Verdana" w:hAnsi="Verdana"/>
          <w:b/>
          <w:bCs/>
        </w:rPr>
        <w:t>Z UP. PREZYDENTA</w:t>
      </w:r>
    </w:p>
    <w:p w14:paraId="1900C483" w14:textId="77777777" w:rsidR="006F2C8D" w:rsidRDefault="006F2C8D" w:rsidP="006F2C8D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MICHAŁ MŁYŃCZAK</w:t>
      </w:r>
    </w:p>
    <w:p w14:paraId="4D7F9581" w14:textId="77777777" w:rsidR="006F2C8D" w:rsidRDefault="006F2C8D" w:rsidP="006F2C8D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70EA866E" w14:textId="77777777" w:rsidR="006F2C8D" w:rsidRPr="006F2C8D" w:rsidRDefault="006F2C8D" w:rsidP="006F2C8D">
      <w:pPr>
        <w:pStyle w:val="Textbody"/>
      </w:pPr>
    </w:p>
    <w:sectPr w:rsidR="006F2C8D" w:rsidRPr="006F2C8D" w:rsidSect="00380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8C2E" w14:textId="77777777" w:rsidR="00BD644D" w:rsidRDefault="00BD644D" w:rsidP="004469F7">
      <w:r>
        <w:separator/>
      </w:r>
    </w:p>
  </w:endnote>
  <w:endnote w:type="continuationSeparator" w:id="0">
    <w:p w14:paraId="5B067700" w14:textId="77777777" w:rsidR="00BD644D" w:rsidRDefault="00BD644D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1060" w14:textId="77777777" w:rsidR="0046624E" w:rsidRDefault="004662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837" w14:textId="3CC3E96E" w:rsidR="004469F7" w:rsidRDefault="005E6BD1">
    <w:pPr>
      <w:pStyle w:val="Nagwek61"/>
      <w:spacing w:before="120"/>
      <w:ind w:left="0" w:firstLine="0"/>
      <w:jc w:val="right"/>
    </w:pPr>
    <w:r>
      <w:rPr>
        <w:b w:val="0"/>
        <w:sz w:val="22"/>
        <w:szCs w:val="22"/>
      </w:rPr>
      <w:t>2</w:t>
    </w:r>
    <w:r w:rsidR="00EA3F5B">
      <w:rPr>
        <w:b w:val="0"/>
        <w:sz w:val="22"/>
        <w:szCs w:val="22"/>
      </w:rPr>
      <w:t>5</w:t>
    </w:r>
    <w:r w:rsidR="00CA5FA4">
      <w:rPr>
        <w:b w:val="0"/>
        <w:sz w:val="22"/>
        <w:szCs w:val="22"/>
      </w:rPr>
      <w:t>/tab</w:t>
    </w:r>
    <w:r w:rsidR="0046624E">
      <w:rPr>
        <w:b w:val="0"/>
        <w:sz w:val="22"/>
        <w:szCs w:val="22"/>
      </w:rPr>
      <w:t>670</w:t>
    </w:r>
    <w:r w:rsidR="004469F7">
      <w:rPr>
        <w:b w:val="0"/>
        <w:sz w:val="22"/>
        <w:szCs w:val="22"/>
      </w:rPr>
      <w:t>.1/P</w:t>
    </w:r>
  </w:p>
  <w:p w14:paraId="3D6323C3" w14:textId="77777777" w:rsidR="004469F7" w:rsidRDefault="004469F7">
    <w:pPr>
      <w:pStyle w:val="Stopka1"/>
    </w:pPr>
    <w:r>
      <w:t xml:space="preserve">Strona </w:t>
    </w:r>
    <w:r w:rsidR="002565C5">
      <w:fldChar w:fldCharType="begin"/>
    </w:r>
    <w:r w:rsidR="00B60930">
      <w:instrText xml:space="preserve"> PAGE </w:instrText>
    </w:r>
    <w:r w:rsidR="002565C5">
      <w:fldChar w:fldCharType="separate"/>
    </w:r>
    <w:r w:rsidR="005E6BD1">
      <w:rPr>
        <w:noProof/>
      </w:rPr>
      <w:t>1</w:t>
    </w:r>
    <w:r w:rsidR="002565C5">
      <w:rPr>
        <w:noProof/>
      </w:rPr>
      <w:fldChar w:fldCharType="end"/>
    </w:r>
    <w:r>
      <w:t xml:space="preserve"> z </w:t>
    </w:r>
    <w:r w:rsidR="002565C5">
      <w:fldChar w:fldCharType="begin"/>
    </w:r>
    <w:r w:rsidR="00B60930">
      <w:instrText xml:space="preserve"> NUMPAGES </w:instrText>
    </w:r>
    <w:r w:rsidR="002565C5">
      <w:fldChar w:fldCharType="separate"/>
    </w:r>
    <w:r w:rsidR="005E6BD1">
      <w:rPr>
        <w:noProof/>
      </w:rPr>
      <w:t>5</w:t>
    </w:r>
    <w:r w:rsidR="002565C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3249" w14:textId="77777777" w:rsidR="0046624E" w:rsidRDefault="004662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7A2F" w14:textId="77777777" w:rsidR="00BD644D" w:rsidRDefault="00BD644D" w:rsidP="004469F7">
      <w:r w:rsidRPr="004469F7">
        <w:rPr>
          <w:color w:val="000000"/>
        </w:rPr>
        <w:separator/>
      </w:r>
    </w:p>
  </w:footnote>
  <w:footnote w:type="continuationSeparator" w:id="0">
    <w:p w14:paraId="38A5DDCC" w14:textId="77777777" w:rsidR="00BD644D" w:rsidRDefault="00BD644D" w:rsidP="0044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6F34" w14:textId="77777777" w:rsidR="0046624E" w:rsidRDefault="004662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FA4A" w14:textId="77777777" w:rsidR="0046624E" w:rsidRDefault="004662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0C38A" w14:textId="77777777" w:rsidR="0046624E" w:rsidRDefault="004662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9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8"/>
  </w:num>
  <w:num w:numId="10">
    <w:abstractNumId w:val="16"/>
  </w:num>
  <w:num w:numId="11">
    <w:abstractNumId w:val="23"/>
  </w:num>
  <w:num w:numId="12">
    <w:abstractNumId w:val="13"/>
  </w:num>
  <w:num w:numId="13">
    <w:abstractNumId w:val="24"/>
  </w:num>
  <w:num w:numId="14">
    <w:abstractNumId w:val="21"/>
  </w:num>
  <w:num w:numId="15">
    <w:abstractNumId w:val="1"/>
  </w:num>
  <w:num w:numId="16">
    <w:abstractNumId w:val="0"/>
  </w:num>
  <w:num w:numId="17">
    <w:abstractNumId w:val="15"/>
  </w:num>
  <w:num w:numId="18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9">
    <w:abstractNumId w:val="22"/>
  </w:num>
  <w:num w:numId="20">
    <w:abstractNumId w:val="18"/>
  </w:num>
  <w:num w:numId="21">
    <w:abstractNumId w:val="17"/>
  </w:num>
  <w:num w:numId="22">
    <w:abstractNumId w:val="9"/>
  </w:num>
  <w:num w:numId="23">
    <w:abstractNumId w:val="3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3"/>
  </w:num>
  <w:num w:numId="26">
    <w:abstractNumId w:val="7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7"/>
    <w:rsid w:val="000044B4"/>
    <w:rsid w:val="000065AC"/>
    <w:rsid w:val="0002560D"/>
    <w:rsid w:val="00036A9E"/>
    <w:rsid w:val="00036F21"/>
    <w:rsid w:val="0004086E"/>
    <w:rsid w:val="00044587"/>
    <w:rsid w:val="00045D7F"/>
    <w:rsid w:val="00046AFD"/>
    <w:rsid w:val="000575A8"/>
    <w:rsid w:val="00061973"/>
    <w:rsid w:val="00066336"/>
    <w:rsid w:val="000B4054"/>
    <w:rsid w:val="000D3B28"/>
    <w:rsid w:val="001126B2"/>
    <w:rsid w:val="00116446"/>
    <w:rsid w:val="001334C0"/>
    <w:rsid w:val="00146219"/>
    <w:rsid w:val="00150CF8"/>
    <w:rsid w:val="00151B07"/>
    <w:rsid w:val="00153811"/>
    <w:rsid w:val="00154F05"/>
    <w:rsid w:val="00155AED"/>
    <w:rsid w:val="001569C7"/>
    <w:rsid w:val="001572A3"/>
    <w:rsid w:val="00160476"/>
    <w:rsid w:val="00173E25"/>
    <w:rsid w:val="001B05B5"/>
    <w:rsid w:val="001B0638"/>
    <w:rsid w:val="001C0CCD"/>
    <w:rsid w:val="001C3019"/>
    <w:rsid w:val="001D7531"/>
    <w:rsid w:val="001E6706"/>
    <w:rsid w:val="001F138D"/>
    <w:rsid w:val="002037D1"/>
    <w:rsid w:val="00214999"/>
    <w:rsid w:val="00226C1B"/>
    <w:rsid w:val="002340B0"/>
    <w:rsid w:val="002544DC"/>
    <w:rsid w:val="00255BDA"/>
    <w:rsid w:val="002565C5"/>
    <w:rsid w:val="0025738C"/>
    <w:rsid w:val="00263B87"/>
    <w:rsid w:val="002722F7"/>
    <w:rsid w:val="002D5A92"/>
    <w:rsid w:val="002E687F"/>
    <w:rsid w:val="002F05C6"/>
    <w:rsid w:val="00303B39"/>
    <w:rsid w:val="00317F4D"/>
    <w:rsid w:val="00341A63"/>
    <w:rsid w:val="003462BE"/>
    <w:rsid w:val="00356CE6"/>
    <w:rsid w:val="00362A2C"/>
    <w:rsid w:val="003653F5"/>
    <w:rsid w:val="00377A84"/>
    <w:rsid w:val="00377B30"/>
    <w:rsid w:val="00380BB9"/>
    <w:rsid w:val="0039752B"/>
    <w:rsid w:val="003A4BE8"/>
    <w:rsid w:val="0040304E"/>
    <w:rsid w:val="004175D5"/>
    <w:rsid w:val="0043190E"/>
    <w:rsid w:val="004400D4"/>
    <w:rsid w:val="0044553E"/>
    <w:rsid w:val="004469F7"/>
    <w:rsid w:val="0045049B"/>
    <w:rsid w:val="004531AE"/>
    <w:rsid w:val="00453854"/>
    <w:rsid w:val="00462A26"/>
    <w:rsid w:val="0046624E"/>
    <w:rsid w:val="004A6118"/>
    <w:rsid w:val="004B1AE9"/>
    <w:rsid w:val="004B5B60"/>
    <w:rsid w:val="004E11EC"/>
    <w:rsid w:val="004E1F38"/>
    <w:rsid w:val="004E3C42"/>
    <w:rsid w:val="00503DE3"/>
    <w:rsid w:val="00505B8C"/>
    <w:rsid w:val="00517694"/>
    <w:rsid w:val="00525524"/>
    <w:rsid w:val="00532B58"/>
    <w:rsid w:val="005402DB"/>
    <w:rsid w:val="00545748"/>
    <w:rsid w:val="00553104"/>
    <w:rsid w:val="005655AF"/>
    <w:rsid w:val="0056641E"/>
    <w:rsid w:val="005802A2"/>
    <w:rsid w:val="005A0038"/>
    <w:rsid w:val="005A5852"/>
    <w:rsid w:val="005B20C5"/>
    <w:rsid w:val="005B4A0C"/>
    <w:rsid w:val="005B4BBF"/>
    <w:rsid w:val="005D0EF3"/>
    <w:rsid w:val="005D585E"/>
    <w:rsid w:val="005D7375"/>
    <w:rsid w:val="005D7720"/>
    <w:rsid w:val="005E6BD1"/>
    <w:rsid w:val="005F05FF"/>
    <w:rsid w:val="0061125A"/>
    <w:rsid w:val="00651950"/>
    <w:rsid w:val="00693A49"/>
    <w:rsid w:val="00694242"/>
    <w:rsid w:val="00694A51"/>
    <w:rsid w:val="006A0948"/>
    <w:rsid w:val="006C40D1"/>
    <w:rsid w:val="006D55F9"/>
    <w:rsid w:val="006D7C18"/>
    <w:rsid w:val="006F2C8D"/>
    <w:rsid w:val="006F40CC"/>
    <w:rsid w:val="006F688C"/>
    <w:rsid w:val="007028DD"/>
    <w:rsid w:val="00735E41"/>
    <w:rsid w:val="00740CD9"/>
    <w:rsid w:val="0074271E"/>
    <w:rsid w:val="00747852"/>
    <w:rsid w:val="00760427"/>
    <w:rsid w:val="007650E5"/>
    <w:rsid w:val="007859E3"/>
    <w:rsid w:val="00787100"/>
    <w:rsid w:val="00794CD7"/>
    <w:rsid w:val="0079620D"/>
    <w:rsid w:val="007A1BF2"/>
    <w:rsid w:val="007C6461"/>
    <w:rsid w:val="007D7AFA"/>
    <w:rsid w:val="007E0F8A"/>
    <w:rsid w:val="007E3B8E"/>
    <w:rsid w:val="007F4237"/>
    <w:rsid w:val="00802DE8"/>
    <w:rsid w:val="00802E43"/>
    <w:rsid w:val="00822055"/>
    <w:rsid w:val="00825AC7"/>
    <w:rsid w:val="00826CE2"/>
    <w:rsid w:val="00831EA0"/>
    <w:rsid w:val="0083459E"/>
    <w:rsid w:val="00841FC7"/>
    <w:rsid w:val="0084790E"/>
    <w:rsid w:val="00850FA7"/>
    <w:rsid w:val="00851426"/>
    <w:rsid w:val="008608DD"/>
    <w:rsid w:val="008864F7"/>
    <w:rsid w:val="00887AB3"/>
    <w:rsid w:val="008A334B"/>
    <w:rsid w:val="008A33EB"/>
    <w:rsid w:val="008D257A"/>
    <w:rsid w:val="008E5388"/>
    <w:rsid w:val="008F57BE"/>
    <w:rsid w:val="00903230"/>
    <w:rsid w:val="00917507"/>
    <w:rsid w:val="00917CDA"/>
    <w:rsid w:val="00924A4F"/>
    <w:rsid w:val="00933301"/>
    <w:rsid w:val="00943150"/>
    <w:rsid w:val="00943387"/>
    <w:rsid w:val="009545C1"/>
    <w:rsid w:val="00957569"/>
    <w:rsid w:val="00957B42"/>
    <w:rsid w:val="00961EF4"/>
    <w:rsid w:val="0096343A"/>
    <w:rsid w:val="00982BB3"/>
    <w:rsid w:val="00993042"/>
    <w:rsid w:val="009A136D"/>
    <w:rsid w:val="009A6B24"/>
    <w:rsid w:val="009A7EAC"/>
    <w:rsid w:val="009B5869"/>
    <w:rsid w:val="009B6C68"/>
    <w:rsid w:val="00A03B2C"/>
    <w:rsid w:val="00A06144"/>
    <w:rsid w:val="00A2277A"/>
    <w:rsid w:val="00A228B6"/>
    <w:rsid w:val="00A24594"/>
    <w:rsid w:val="00A24CF6"/>
    <w:rsid w:val="00A410EE"/>
    <w:rsid w:val="00A50430"/>
    <w:rsid w:val="00A54101"/>
    <w:rsid w:val="00A55E95"/>
    <w:rsid w:val="00A60C1E"/>
    <w:rsid w:val="00A62F7D"/>
    <w:rsid w:val="00A67124"/>
    <w:rsid w:val="00A87569"/>
    <w:rsid w:val="00AB0ABE"/>
    <w:rsid w:val="00AE2596"/>
    <w:rsid w:val="00AF2C83"/>
    <w:rsid w:val="00AF3607"/>
    <w:rsid w:val="00AF6501"/>
    <w:rsid w:val="00B03A1E"/>
    <w:rsid w:val="00B04B89"/>
    <w:rsid w:val="00B234CB"/>
    <w:rsid w:val="00B355D4"/>
    <w:rsid w:val="00B35C74"/>
    <w:rsid w:val="00B42F52"/>
    <w:rsid w:val="00B43080"/>
    <w:rsid w:val="00B50E55"/>
    <w:rsid w:val="00B54C1F"/>
    <w:rsid w:val="00B55098"/>
    <w:rsid w:val="00B60930"/>
    <w:rsid w:val="00B76AF1"/>
    <w:rsid w:val="00B90CBB"/>
    <w:rsid w:val="00BA4CD9"/>
    <w:rsid w:val="00BB0479"/>
    <w:rsid w:val="00BB08C6"/>
    <w:rsid w:val="00BC1B43"/>
    <w:rsid w:val="00BD0C41"/>
    <w:rsid w:val="00BD1070"/>
    <w:rsid w:val="00BD3191"/>
    <w:rsid w:val="00BD4AEC"/>
    <w:rsid w:val="00BD644D"/>
    <w:rsid w:val="00BD77BC"/>
    <w:rsid w:val="00BE3411"/>
    <w:rsid w:val="00BF1992"/>
    <w:rsid w:val="00BF2CCF"/>
    <w:rsid w:val="00BF3539"/>
    <w:rsid w:val="00C00AF8"/>
    <w:rsid w:val="00C13764"/>
    <w:rsid w:val="00C140B3"/>
    <w:rsid w:val="00C327DE"/>
    <w:rsid w:val="00C357A1"/>
    <w:rsid w:val="00C43B34"/>
    <w:rsid w:val="00C54510"/>
    <w:rsid w:val="00C5478A"/>
    <w:rsid w:val="00C57AC8"/>
    <w:rsid w:val="00C61CE5"/>
    <w:rsid w:val="00C82541"/>
    <w:rsid w:val="00C91198"/>
    <w:rsid w:val="00C9382F"/>
    <w:rsid w:val="00C95DB8"/>
    <w:rsid w:val="00C96C36"/>
    <w:rsid w:val="00CA0CA1"/>
    <w:rsid w:val="00CA5FA4"/>
    <w:rsid w:val="00CA66AB"/>
    <w:rsid w:val="00CB6129"/>
    <w:rsid w:val="00CE15F6"/>
    <w:rsid w:val="00CE5A85"/>
    <w:rsid w:val="00CF3D6A"/>
    <w:rsid w:val="00D26BA3"/>
    <w:rsid w:val="00D65998"/>
    <w:rsid w:val="00D7177A"/>
    <w:rsid w:val="00D8650C"/>
    <w:rsid w:val="00D86872"/>
    <w:rsid w:val="00D92BF0"/>
    <w:rsid w:val="00DD1091"/>
    <w:rsid w:val="00DF05BE"/>
    <w:rsid w:val="00DF138E"/>
    <w:rsid w:val="00E37631"/>
    <w:rsid w:val="00E43651"/>
    <w:rsid w:val="00E53BD2"/>
    <w:rsid w:val="00E54E23"/>
    <w:rsid w:val="00E63849"/>
    <w:rsid w:val="00E81E4E"/>
    <w:rsid w:val="00E839FE"/>
    <w:rsid w:val="00EA3F5B"/>
    <w:rsid w:val="00EB387D"/>
    <w:rsid w:val="00EC1D3F"/>
    <w:rsid w:val="00EC7BF5"/>
    <w:rsid w:val="00EE032F"/>
    <w:rsid w:val="00F01065"/>
    <w:rsid w:val="00F254C4"/>
    <w:rsid w:val="00F27141"/>
    <w:rsid w:val="00F27D91"/>
    <w:rsid w:val="00F321EA"/>
    <w:rsid w:val="00F410E3"/>
    <w:rsid w:val="00F46911"/>
    <w:rsid w:val="00F57308"/>
    <w:rsid w:val="00F67ADD"/>
    <w:rsid w:val="00F82AF1"/>
    <w:rsid w:val="00F85046"/>
    <w:rsid w:val="00F97896"/>
    <w:rsid w:val="00FB64F6"/>
    <w:rsid w:val="00FE52A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D7B5660"/>
  <w15:docId w15:val="{753ED7CB-192E-4A09-8319-E712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E84B2-555A-4A4B-A402-1F3559E8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1577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3</cp:revision>
  <cp:lastPrinted>2024-05-28T08:03:00Z</cp:lastPrinted>
  <dcterms:created xsi:type="dcterms:W3CDTF">2025-09-30T12:42:00Z</dcterms:created>
  <dcterms:modified xsi:type="dcterms:W3CDTF">2025-10-30T11:05:00Z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