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96" w:rsidRPr="009245B1" w:rsidRDefault="008F0896" w:rsidP="009245B1">
      <w:pPr>
        <w:spacing w:after="0" w:line="360" w:lineRule="auto"/>
        <w:ind w:left="0" w:right="854" w:firstLine="0"/>
        <w:jc w:val="right"/>
        <w:rPr>
          <w:rFonts w:ascii="Verdana" w:hAnsi="Verdana"/>
          <w:sz w:val="20"/>
          <w:szCs w:val="20"/>
        </w:rPr>
      </w:pPr>
    </w:p>
    <w:p w:rsidR="008F0896" w:rsidRPr="009245B1" w:rsidRDefault="00652309" w:rsidP="009245B1">
      <w:pPr>
        <w:spacing w:line="360" w:lineRule="auto"/>
        <w:ind w:left="3656" w:right="9" w:firstLine="592"/>
        <w:rPr>
          <w:rFonts w:ascii="Verdana" w:hAnsi="Verdana"/>
          <w:sz w:val="20"/>
          <w:szCs w:val="20"/>
        </w:rPr>
      </w:pPr>
      <w:r w:rsidRPr="009245B1">
        <w:rPr>
          <w:rFonts w:ascii="Verdana" w:hAnsi="Verdana"/>
          <w:sz w:val="20"/>
          <w:szCs w:val="20"/>
        </w:rPr>
        <w:t>Załącznik do umowy z</w:t>
      </w:r>
      <w:r w:rsidR="00547BF2" w:rsidRPr="009245B1">
        <w:rPr>
          <w:rFonts w:ascii="Verdana" w:hAnsi="Verdana"/>
          <w:sz w:val="20"/>
          <w:szCs w:val="20"/>
        </w:rPr>
        <w:t xml:space="preserve"> dnia 18 lipca </w:t>
      </w:r>
      <w:r w:rsidRPr="009245B1">
        <w:rPr>
          <w:rFonts w:ascii="Verdana" w:hAnsi="Verdana"/>
          <w:sz w:val="20"/>
          <w:szCs w:val="20"/>
        </w:rPr>
        <w:t xml:space="preserve">2025 r. </w:t>
      </w:r>
    </w:p>
    <w:p w:rsidR="00AB40D9" w:rsidRPr="009245B1" w:rsidRDefault="00AB40D9" w:rsidP="009245B1">
      <w:pPr>
        <w:spacing w:line="360" w:lineRule="auto"/>
        <w:ind w:left="4956" w:right="9" w:firstLine="0"/>
        <w:rPr>
          <w:rFonts w:ascii="Verdana" w:hAnsi="Verdana"/>
          <w:sz w:val="20"/>
          <w:szCs w:val="20"/>
        </w:rPr>
      </w:pPr>
    </w:p>
    <w:p w:rsidR="00AB40D9" w:rsidRPr="009245B1" w:rsidRDefault="00AB40D9" w:rsidP="009245B1">
      <w:pPr>
        <w:spacing w:line="360" w:lineRule="auto"/>
        <w:ind w:left="4956" w:right="9" w:firstLine="0"/>
        <w:rPr>
          <w:rFonts w:ascii="Verdana" w:hAnsi="Verdana"/>
          <w:sz w:val="20"/>
          <w:szCs w:val="20"/>
        </w:rPr>
      </w:pPr>
    </w:p>
    <w:p w:rsidR="008F0896" w:rsidRPr="009245B1" w:rsidRDefault="00652309" w:rsidP="009245B1">
      <w:pPr>
        <w:spacing w:after="74" w:line="360" w:lineRule="auto"/>
        <w:ind w:left="115" w:right="9" w:firstLine="0"/>
        <w:jc w:val="left"/>
        <w:rPr>
          <w:rFonts w:ascii="Verdana" w:hAnsi="Verdana"/>
          <w:sz w:val="20"/>
          <w:szCs w:val="20"/>
        </w:rPr>
      </w:pPr>
      <w:r w:rsidRPr="009245B1">
        <w:rPr>
          <w:rFonts w:ascii="Verdana" w:hAnsi="Verdana"/>
          <w:sz w:val="20"/>
          <w:szCs w:val="20"/>
        </w:rPr>
        <w:t xml:space="preserve">PROGRAM </w:t>
      </w:r>
      <w:bookmarkStart w:id="0" w:name="_GoBack"/>
      <w:bookmarkEnd w:id="0"/>
      <w:r w:rsidRPr="009245B1">
        <w:rPr>
          <w:rFonts w:ascii="Verdana" w:hAnsi="Verdana"/>
          <w:sz w:val="20"/>
          <w:szCs w:val="20"/>
        </w:rPr>
        <w:t>PRACY MUZEUM MIEJSKIEGO WROCŁAWIA</w:t>
      </w:r>
    </w:p>
    <w:p w:rsidR="008F0896" w:rsidRPr="009245B1" w:rsidRDefault="00652309" w:rsidP="009245B1">
      <w:pPr>
        <w:spacing w:line="360" w:lineRule="auto"/>
        <w:ind w:left="38" w:right="9" w:firstLine="422"/>
        <w:jc w:val="left"/>
        <w:rPr>
          <w:rFonts w:ascii="Verdana" w:hAnsi="Verdana"/>
          <w:sz w:val="20"/>
          <w:szCs w:val="20"/>
        </w:rPr>
      </w:pPr>
      <w:r w:rsidRPr="009245B1">
        <w:rPr>
          <w:rFonts w:ascii="Verdana" w:hAnsi="Verdana"/>
          <w:sz w:val="20"/>
          <w:szCs w:val="20"/>
        </w:rPr>
        <w:t>Niniejsze opracowanie dotyczy koncepcji kierowania i rozwoju Muzeum Miejskiego Wrocławia, jednej z większych instytucji kultury na Dolnym Śląsku, wpisanej do rejestru instytucji kultury prowadzonego przez samorząd Gminy Wrocław pod numerem</w:t>
      </w:r>
      <w:r w:rsidR="00860838">
        <w:rPr>
          <w:rFonts w:ascii="Verdana" w:hAnsi="Verdana"/>
          <w:sz w:val="20"/>
          <w:szCs w:val="20"/>
        </w:rPr>
        <w:t xml:space="preserve"> RIK 28/2000 </w:t>
      </w:r>
      <w:r w:rsidRPr="009245B1">
        <w:rPr>
          <w:rFonts w:ascii="Verdana" w:hAnsi="Verdana"/>
          <w:sz w:val="20"/>
          <w:szCs w:val="20"/>
        </w:rPr>
        <w:t>i posiadającą osobowość prawną. Koncepcja nie określa szczegółowo konkretnych działań i przedsięwzięć kulturalnych, ale założenia programowe i ogólne sposoby działania, które mają charakter otwarty i w okresie realizacji ulegną zapewne modyfikacjom i wzbogaceniu. Muzeum koncentrować się będzie przede wszystkim na aktywności lokalnej oraz regionalnej, eksplorującej wrocławską i ewentualnie dolnośląską tradycję i historię artystyczną.</w:t>
      </w:r>
    </w:p>
    <w:p w:rsidR="008F0896" w:rsidRPr="009245B1" w:rsidRDefault="00652309" w:rsidP="009245B1">
      <w:pPr>
        <w:spacing w:after="325" w:line="360" w:lineRule="auto"/>
        <w:ind w:left="0" w:right="9" w:firstLine="422"/>
        <w:jc w:val="left"/>
        <w:rPr>
          <w:rFonts w:ascii="Verdana" w:hAnsi="Verdana"/>
          <w:sz w:val="20"/>
          <w:szCs w:val="20"/>
        </w:rPr>
      </w:pPr>
      <w:r w:rsidRPr="009245B1">
        <w:rPr>
          <w:rFonts w:ascii="Verdana" w:hAnsi="Verdana"/>
          <w:sz w:val="20"/>
          <w:szCs w:val="20"/>
        </w:rPr>
        <w:t xml:space="preserve">Założenia programowe wynikają przede wszystkim z faktu iż Muzeum Miejskie Wrocławia jest </w:t>
      </w:r>
      <w:r w:rsidRPr="009245B1">
        <w:rPr>
          <w:rFonts w:ascii="Verdana" w:hAnsi="Verdana"/>
          <w:noProof/>
          <w:sz w:val="20"/>
          <w:szCs w:val="20"/>
        </w:rPr>
        <w:drawing>
          <wp:inline distT="0" distB="0" distL="0" distR="0">
            <wp:extent cx="3048" cy="6098"/>
            <wp:effectExtent l="0" t="0" r="0" b="0"/>
            <wp:docPr id="1825" name="Picture 1825"/>
            <wp:cNvGraphicFramePr/>
            <a:graphic xmlns:a="http://schemas.openxmlformats.org/drawingml/2006/main">
              <a:graphicData uri="http://schemas.openxmlformats.org/drawingml/2006/picture">
                <pic:pic xmlns:pic="http://schemas.openxmlformats.org/drawingml/2006/picture">
                  <pic:nvPicPr>
                    <pic:cNvPr id="1825" name="Picture 1825"/>
                    <pic:cNvPicPr/>
                  </pic:nvPicPr>
                  <pic:blipFill>
                    <a:blip r:embed="rId7"/>
                    <a:stretch>
                      <a:fillRect/>
                    </a:stretch>
                  </pic:blipFill>
                  <pic:spPr>
                    <a:xfrm>
                      <a:off x="0" y="0"/>
                      <a:ext cx="3048" cy="6098"/>
                    </a:xfrm>
                    <a:prstGeom prst="rect">
                      <a:avLst/>
                    </a:prstGeom>
                  </pic:spPr>
                </pic:pic>
              </a:graphicData>
            </a:graphic>
          </wp:inline>
        </w:drawing>
      </w:r>
      <w:r w:rsidRPr="009245B1">
        <w:rPr>
          <w:rFonts w:ascii="Verdana" w:hAnsi="Verdana"/>
          <w:sz w:val="20"/>
          <w:szCs w:val="20"/>
        </w:rPr>
        <w:t xml:space="preserve">instytucją o złożonej strukturze organizacyjnej skupiającej siedem oddziałów o odmiennych profilach zainteresowań i różnych zbiorach w pełni określonej tożsamości. Muzeum powstało jako instytucja o </w:t>
      </w:r>
      <w:r w:rsidRPr="009245B1">
        <w:rPr>
          <w:rFonts w:ascii="Verdana" w:hAnsi="Verdana"/>
          <w:noProof/>
          <w:sz w:val="20"/>
          <w:szCs w:val="20"/>
        </w:rPr>
        <w:drawing>
          <wp:inline distT="0" distB="0" distL="0" distR="0">
            <wp:extent cx="3048" cy="6098"/>
            <wp:effectExtent l="0" t="0" r="0" b="0"/>
            <wp:docPr id="1826" name="Picture 1826"/>
            <wp:cNvGraphicFramePr/>
            <a:graphic xmlns:a="http://schemas.openxmlformats.org/drawingml/2006/main">
              <a:graphicData uri="http://schemas.openxmlformats.org/drawingml/2006/picture">
                <pic:pic xmlns:pic="http://schemas.openxmlformats.org/drawingml/2006/picture">
                  <pic:nvPicPr>
                    <pic:cNvPr id="1826" name="Picture 1826"/>
                    <pic:cNvPicPr/>
                  </pic:nvPicPr>
                  <pic:blipFill>
                    <a:blip r:embed="rId8"/>
                    <a:stretch>
                      <a:fillRect/>
                    </a:stretch>
                  </pic:blipFill>
                  <pic:spPr>
                    <a:xfrm>
                      <a:off x="0" y="0"/>
                      <a:ext cx="3048" cy="6098"/>
                    </a:xfrm>
                    <a:prstGeom prst="rect">
                      <a:avLst/>
                    </a:prstGeom>
                  </pic:spPr>
                </pic:pic>
              </a:graphicData>
            </a:graphic>
          </wp:inline>
        </w:drawing>
      </w:r>
      <w:r w:rsidRPr="009245B1">
        <w:rPr>
          <w:rFonts w:ascii="Verdana" w:hAnsi="Verdana"/>
          <w:sz w:val="20"/>
          <w:szCs w:val="20"/>
        </w:rPr>
        <w:t xml:space="preserve">municypalnym charakterze lokalnym, skupiona na gromadzeniu i przechowywaniu dóbr kultury w zakresie historii, sztuki, archeologii, szeroko rozumianej kultury materialnej Wrocławia i Dolnego Śląska oraz wspierająca działania innych podmiotów z zakresu edukacji lokalnej i budowania </w:t>
      </w:r>
      <w:r w:rsidRPr="009245B1">
        <w:rPr>
          <w:rFonts w:ascii="Verdana" w:hAnsi="Verdana"/>
          <w:noProof/>
          <w:sz w:val="20"/>
          <w:szCs w:val="20"/>
        </w:rPr>
        <w:drawing>
          <wp:inline distT="0" distB="0" distL="0" distR="0">
            <wp:extent cx="3048" cy="3049"/>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9"/>
                    <a:stretch>
                      <a:fillRect/>
                    </a:stretch>
                  </pic:blipFill>
                  <pic:spPr>
                    <a:xfrm>
                      <a:off x="0" y="0"/>
                      <a:ext cx="3048" cy="3049"/>
                    </a:xfrm>
                    <a:prstGeom prst="rect">
                      <a:avLst/>
                    </a:prstGeom>
                  </pic:spPr>
                </pic:pic>
              </a:graphicData>
            </a:graphic>
          </wp:inline>
        </w:drawing>
      </w:r>
      <w:r w:rsidRPr="009245B1">
        <w:rPr>
          <w:rFonts w:ascii="Verdana" w:hAnsi="Verdana"/>
          <w:sz w:val="20"/>
          <w:szCs w:val="20"/>
        </w:rPr>
        <w:t>tożsamości lokalnej. Równocześnie muzeum, z siedzibą w zabytkowych obiektach architektonicznych oraz prowadzące bogatą działalność wystawienniczą jest jednym z miejsc chętniej odwiedzanych przez wrocławian i turystów, co także stawia przed muzeum nowe wyzwania.</w:t>
      </w:r>
    </w:p>
    <w:p w:rsidR="008F0896" w:rsidRPr="009245B1" w:rsidRDefault="00652309" w:rsidP="009245B1">
      <w:pPr>
        <w:spacing w:after="127" w:line="360" w:lineRule="auto"/>
        <w:ind w:left="5" w:right="9" w:firstLine="0"/>
        <w:jc w:val="left"/>
        <w:rPr>
          <w:rFonts w:ascii="Verdana" w:hAnsi="Verdana"/>
          <w:sz w:val="20"/>
          <w:szCs w:val="20"/>
        </w:rPr>
      </w:pPr>
      <w:r w:rsidRPr="009245B1">
        <w:rPr>
          <w:rFonts w:ascii="Verdana" w:hAnsi="Verdana"/>
          <w:sz w:val="20"/>
          <w:szCs w:val="20"/>
        </w:rPr>
        <w:t>Do podstawowych założeń programowych Muzeum Miejskiego Wrocławia należą:</w:t>
      </w:r>
    </w:p>
    <w:p w:rsidR="008F0896" w:rsidRPr="009245B1" w:rsidRDefault="00652309" w:rsidP="009245B1">
      <w:pPr>
        <w:numPr>
          <w:ilvl w:val="0"/>
          <w:numId w:val="1"/>
        </w:numPr>
        <w:tabs>
          <w:tab w:val="left" w:pos="284"/>
        </w:tabs>
        <w:spacing w:after="101" w:line="360" w:lineRule="auto"/>
        <w:ind w:left="0" w:right="9" w:firstLine="0"/>
        <w:jc w:val="left"/>
        <w:rPr>
          <w:rFonts w:ascii="Verdana" w:hAnsi="Verdana"/>
          <w:sz w:val="20"/>
          <w:szCs w:val="20"/>
        </w:rPr>
      </w:pPr>
      <w:r w:rsidRPr="009245B1">
        <w:rPr>
          <w:rFonts w:ascii="Verdana" w:hAnsi="Verdana"/>
          <w:sz w:val="20"/>
          <w:szCs w:val="20"/>
        </w:rPr>
        <w:t>Gromadzenie dóbr kultury oraz materiałów dokumentacyjnych. W tym zakresie Muzeum Miejskie Wrocławia jest w szczególnej i trudnej sytuacji, bowiem wydarzenia z ostatnich stu lat pozbawiły Wrocław większości jego bogatych zbiorów sztuki i historycznych artefaktów, dlatego muzeum dokłada wszelkich starań by w miarę możliwości zbudować i zrekonstruować wrocławskie kolekcje. W tym celu obiekty do zbiorów pozyskiwane są na drodze zakupów a także przekazów, darowizn oraz długotrwałych depozytów, Duża część eksponatów pozyskana jest z wykopalisk archeologicznych oraz badań terenowych.</w:t>
      </w:r>
    </w:p>
    <w:p w:rsidR="00443FE8" w:rsidRPr="009245B1" w:rsidRDefault="00443FE8" w:rsidP="009245B1">
      <w:pPr>
        <w:numPr>
          <w:ilvl w:val="0"/>
          <w:numId w:val="1"/>
        </w:numPr>
        <w:tabs>
          <w:tab w:val="left" w:pos="284"/>
        </w:tabs>
        <w:spacing w:after="101" w:line="360" w:lineRule="auto"/>
        <w:ind w:left="0" w:right="9" w:firstLine="0"/>
        <w:jc w:val="left"/>
        <w:rPr>
          <w:rFonts w:ascii="Verdana" w:hAnsi="Verdana"/>
          <w:sz w:val="20"/>
          <w:szCs w:val="20"/>
        </w:rPr>
      </w:pPr>
      <w:r w:rsidRPr="009245B1">
        <w:rPr>
          <w:rFonts w:ascii="Verdana" w:hAnsi="Verdana"/>
          <w:sz w:val="20"/>
          <w:szCs w:val="20"/>
        </w:rPr>
        <w:t xml:space="preserve">Inwentaryzacje, katalogowanie i naukowe opracowywanie gromadzonych zbiorów i materiałów dokumentacyjnych Muzeum Miejskie Wrocławia prowadzi na bieżąco, z zachowaniem wszelkich reguł dotyczących zbiorów muzealnych. Inwentaryzuje pozyskane </w:t>
      </w:r>
      <w:r w:rsidRPr="009245B1">
        <w:rPr>
          <w:rFonts w:ascii="Verdana" w:hAnsi="Verdana"/>
          <w:sz w:val="20"/>
          <w:szCs w:val="20"/>
        </w:rPr>
        <w:lastRenderedPageBreak/>
        <w:t>obiekty, a także opracowuje je naukowo, zarówno w sposób szczegółowy jak i skrótowy jako przygotowanie do działań wystawienniczo edukacyjnych i popularyzatorskich.</w:t>
      </w:r>
    </w:p>
    <w:p w:rsidR="00443FE8" w:rsidRPr="009245B1" w:rsidRDefault="00443FE8" w:rsidP="009245B1">
      <w:pPr>
        <w:pStyle w:val="Akapitzlist"/>
        <w:numPr>
          <w:ilvl w:val="0"/>
          <w:numId w:val="1"/>
        </w:numPr>
        <w:tabs>
          <w:tab w:val="left" w:pos="284"/>
        </w:tabs>
        <w:spacing w:after="96" w:line="360" w:lineRule="auto"/>
        <w:ind w:left="0" w:right="9" w:firstLine="0"/>
        <w:jc w:val="left"/>
        <w:rPr>
          <w:rFonts w:ascii="Verdana" w:hAnsi="Verdana"/>
          <w:sz w:val="20"/>
          <w:szCs w:val="20"/>
        </w:rPr>
      </w:pPr>
      <w:r w:rsidRPr="009245B1">
        <w:rPr>
          <w:rFonts w:ascii="Verdana" w:hAnsi="Verdana"/>
          <w:sz w:val="20"/>
          <w:szCs w:val="20"/>
        </w:rPr>
        <w:t>Muzeum przechowuje zgromadzone obiekty w warunkach zapewniających im właściwy stan zachowania i pełne bezpieczeństwo oraz magazynując je w sposób dostępny do celów naukowych. Muzeum nieustannie unowocześnia infrastrukturę dozoru i magazynowania, szkoląc pracowników między innymi w zakresie przechowywania zbiorów muzealnych na spotkaniach z przedstawicielami policji czy straży pożarnej.</w:t>
      </w:r>
    </w:p>
    <w:p w:rsidR="002C53C3" w:rsidRPr="009245B1" w:rsidRDefault="002C53C3" w:rsidP="009245B1">
      <w:pPr>
        <w:pStyle w:val="Akapitzlist"/>
        <w:numPr>
          <w:ilvl w:val="0"/>
          <w:numId w:val="1"/>
        </w:numPr>
        <w:tabs>
          <w:tab w:val="left" w:pos="284"/>
        </w:tabs>
        <w:spacing w:after="89" w:line="360" w:lineRule="auto"/>
        <w:ind w:left="0" w:right="9" w:firstLine="0"/>
        <w:jc w:val="left"/>
        <w:rPr>
          <w:rFonts w:ascii="Verdana" w:hAnsi="Verdana"/>
          <w:sz w:val="20"/>
          <w:szCs w:val="20"/>
        </w:rPr>
      </w:pPr>
      <w:r w:rsidRPr="009245B1">
        <w:rPr>
          <w:rFonts w:ascii="Verdana" w:hAnsi="Verdana"/>
          <w:sz w:val="20"/>
          <w:szCs w:val="20"/>
        </w:rPr>
        <w:t>Wszystkie obiekty zinwentaryzowane w oddziałach Muzeum są pod stałą opieką konserwatorów. Muzeum Miejskie Wrocławia posiada pracownie, które umożliwiają bieżącą konserwację i renowację niemal każdego obiektu znajdującego się w zasobach muzeum, od kamiennych nagrobków, obiektów archeologicznych aż po metalową, historyczną broń. Przy bardziej wymagających i specjalistycznych pracach konserwację, na zlecenie Muzeum, wykonują wyspecjalizowane firmy konserwatorskie. Współpraca z personelem konserwatorskim prowadzona jest także w zakresie działalności edukacyjnej.</w:t>
      </w:r>
    </w:p>
    <w:p w:rsidR="00443FE8" w:rsidRPr="009245B1" w:rsidRDefault="002C53C3" w:rsidP="009245B1">
      <w:pPr>
        <w:numPr>
          <w:ilvl w:val="0"/>
          <w:numId w:val="1"/>
        </w:numPr>
        <w:tabs>
          <w:tab w:val="left" w:pos="284"/>
        </w:tabs>
        <w:spacing w:after="101" w:line="360" w:lineRule="auto"/>
        <w:ind w:left="0" w:right="9" w:firstLine="0"/>
        <w:jc w:val="left"/>
        <w:rPr>
          <w:rFonts w:ascii="Verdana" w:hAnsi="Verdana"/>
          <w:sz w:val="20"/>
          <w:szCs w:val="20"/>
        </w:rPr>
      </w:pPr>
      <w:r w:rsidRPr="009245B1">
        <w:rPr>
          <w:rFonts w:ascii="Verdana" w:hAnsi="Verdana"/>
          <w:sz w:val="20"/>
          <w:szCs w:val="20"/>
        </w:rPr>
        <w:t xml:space="preserve">Organizowanie i prowadzenie badań naukowych jest jednym z ważniejszych zadań Muzeum Miejskiego Wrocławia, które będą kontynuowane w kolejnych latach. Badania dotyczą między innymi ikonografii miasta, wrocławskiego rzemiosła artystycznego, śląskiego </w:t>
      </w:r>
      <w:r w:rsidR="009245B1">
        <w:rPr>
          <w:rFonts w:ascii="Verdana" w:hAnsi="Verdana"/>
          <w:sz w:val="20"/>
          <w:szCs w:val="20"/>
        </w:rPr>
        <w:t>m</w:t>
      </w:r>
      <w:r w:rsidRPr="009245B1">
        <w:rPr>
          <w:rFonts w:ascii="Verdana" w:hAnsi="Verdana"/>
          <w:sz w:val="20"/>
          <w:szCs w:val="20"/>
        </w:rPr>
        <w:t xml:space="preserve">alarstwa z wyraźną ekspozycją wrocławskich szkół artystycznych, powojennej tradycji teatralnej we Wrocławiu itp., Badania prowadzone są we współpracy z polskim i międzynarodowym środowiskiem naukowym W celu wymiany doświadczeń naukowych pracownicy merytoryczni nadal będą brać udział w szkoleniach, konferencjach i wyjazdach do innych muzeów oraz instytucji naukowych. </w:t>
      </w:r>
      <w:r w:rsidR="009245B1">
        <w:rPr>
          <w:rFonts w:ascii="Verdana" w:hAnsi="Verdana"/>
          <w:sz w:val="20"/>
          <w:szCs w:val="20"/>
        </w:rPr>
        <w:t>J</w:t>
      </w:r>
      <w:r w:rsidRPr="009245B1">
        <w:rPr>
          <w:rFonts w:ascii="Verdana" w:hAnsi="Verdana"/>
          <w:sz w:val="20"/>
          <w:szCs w:val="20"/>
        </w:rPr>
        <w:t>ednocześnie Muzeum prowadzić będzie kwerendy do celów naukowych, a także udostępniać zbiory do celów badawczych.</w:t>
      </w:r>
    </w:p>
    <w:p w:rsidR="002C53C3" w:rsidRPr="009245B1" w:rsidRDefault="002C53C3" w:rsidP="009245B1">
      <w:pPr>
        <w:pStyle w:val="Akapitzlist"/>
        <w:numPr>
          <w:ilvl w:val="0"/>
          <w:numId w:val="1"/>
        </w:numPr>
        <w:tabs>
          <w:tab w:val="left" w:pos="284"/>
        </w:tabs>
        <w:spacing w:after="36" w:line="360" w:lineRule="auto"/>
        <w:ind w:left="0" w:right="9" w:firstLine="0"/>
        <w:jc w:val="left"/>
        <w:rPr>
          <w:rFonts w:ascii="Verdana" w:hAnsi="Verdana"/>
          <w:sz w:val="20"/>
          <w:szCs w:val="20"/>
        </w:rPr>
      </w:pPr>
      <w:r w:rsidRPr="009245B1">
        <w:rPr>
          <w:rFonts w:ascii="Verdana" w:hAnsi="Verdana"/>
          <w:sz w:val="20"/>
          <w:szCs w:val="20"/>
        </w:rPr>
        <w:t xml:space="preserve">Organizowanie wystaw stałych, czasowych i wyjazdowych koncentruje się przede wszystkim na prezentacji historii Wrocławia na tle Europy oraz dokonań wrocławskiego środowiska </w:t>
      </w:r>
      <w:r w:rsidRPr="009245B1">
        <w:rPr>
          <w:rFonts w:ascii="Verdana" w:hAnsi="Verdana"/>
          <w:noProof/>
          <w:sz w:val="20"/>
          <w:szCs w:val="20"/>
        </w:rPr>
        <w:drawing>
          <wp:inline distT="0" distB="0" distL="0" distR="0" wp14:anchorId="58C769B3" wp14:editId="752EEAD1">
            <wp:extent cx="3048" cy="3049"/>
            <wp:effectExtent l="0" t="0" r="0" b="0"/>
            <wp:docPr id="4" name="Picture 4097"/>
            <wp:cNvGraphicFramePr/>
            <a:graphic xmlns:a="http://schemas.openxmlformats.org/drawingml/2006/main">
              <a:graphicData uri="http://schemas.openxmlformats.org/drawingml/2006/picture">
                <pic:pic xmlns:pic="http://schemas.openxmlformats.org/drawingml/2006/picture">
                  <pic:nvPicPr>
                    <pic:cNvPr id="4097" name="Picture 4097"/>
                    <pic:cNvPicPr/>
                  </pic:nvPicPr>
                  <pic:blipFill>
                    <a:blip r:embed="rId10"/>
                    <a:stretch>
                      <a:fillRect/>
                    </a:stretch>
                  </pic:blipFill>
                  <pic:spPr>
                    <a:xfrm>
                      <a:off x="0" y="0"/>
                      <a:ext cx="3048" cy="3049"/>
                    </a:xfrm>
                    <a:prstGeom prst="rect">
                      <a:avLst/>
                    </a:prstGeom>
                  </pic:spPr>
                </pic:pic>
              </a:graphicData>
            </a:graphic>
          </wp:inline>
        </w:drawing>
      </w:r>
      <w:r w:rsidRPr="009245B1">
        <w:rPr>
          <w:rFonts w:ascii="Verdana" w:hAnsi="Verdana"/>
          <w:sz w:val="20"/>
          <w:szCs w:val="20"/>
        </w:rPr>
        <w:t xml:space="preserve">artystycznego. Podobnie jak w poprzednich latach ekspozycje organizowane przez Muzeum obejmą dziedziny takie jak: sztuka, historia, teatr, archeologia, militaria, architektura. Będą to zarówno prezentacje artefaktów, o cechach dzieł sztuki, archiwalnych fotografii, dokumentów czy kartografii. Ważnym zadaniem będzie też organizacja wystaw artystów współczesnych, którzy tradycyjnie swoimi pracami prezentowanymi w przestrzeniach Muzeum Miejskiego Wrocławia nawiążą do historii lub zbiorów konkretnego muzealnego oddziału. Takie ekspozycje będą zupełnie nowym zjawiskiem na kulturalnej mapie Wrocławia. Organizując ekspozycje muzeum nie tylko chce edukować w zakresie historii lokalnej, ale przede wszystkim tworzyć ciekawe alternatywy spędzania czasu wolnego, a także wspierać lokalne środowiska artystyczne. Atrakcyjne wystawy i bogate oferty </w:t>
      </w:r>
      <w:proofErr w:type="spellStart"/>
      <w:r w:rsidRPr="009245B1">
        <w:rPr>
          <w:rFonts w:ascii="Verdana" w:hAnsi="Verdana"/>
          <w:sz w:val="20"/>
          <w:szCs w:val="20"/>
        </w:rPr>
        <w:t>edukacyjno</w:t>
      </w:r>
      <w:proofErr w:type="spellEnd"/>
      <w:r w:rsidRPr="009245B1">
        <w:rPr>
          <w:rFonts w:ascii="Verdana" w:hAnsi="Verdana"/>
          <w:sz w:val="20"/>
          <w:szCs w:val="20"/>
        </w:rPr>
        <w:t xml:space="preserve"> — rozrywkowe potrzebne są dla zróżnicowanych grup odbiorców, indywidualnych gości, a także turystów z zagranicy.</w:t>
      </w:r>
    </w:p>
    <w:p w:rsidR="005052C2" w:rsidRPr="009245B1" w:rsidRDefault="005052C2" w:rsidP="009245B1">
      <w:pPr>
        <w:pStyle w:val="Akapitzlist"/>
        <w:numPr>
          <w:ilvl w:val="0"/>
          <w:numId w:val="1"/>
        </w:numPr>
        <w:tabs>
          <w:tab w:val="left" w:pos="284"/>
        </w:tabs>
        <w:spacing w:after="36" w:line="360" w:lineRule="auto"/>
        <w:ind w:left="0" w:right="9" w:firstLine="0"/>
        <w:jc w:val="left"/>
        <w:rPr>
          <w:rFonts w:ascii="Verdana" w:hAnsi="Verdana"/>
          <w:sz w:val="20"/>
          <w:szCs w:val="20"/>
        </w:rPr>
      </w:pPr>
      <w:r w:rsidRPr="009245B1">
        <w:rPr>
          <w:rFonts w:ascii="Verdana" w:hAnsi="Verdana"/>
          <w:sz w:val="20"/>
          <w:szCs w:val="20"/>
        </w:rPr>
        <w:lastRenderedPageBreak/>
        <w:t xml:space="preserve">Ponieważ muzea wyrosły z oświeceniowego przekonania o służebnej roli społecznej w dziele wychowywania oraz zaspokajania potrzeb poznawczych i emocjonalnych w obcowaniu z zebranymi tworami kultury, ważna jest rola edukacji muzealnej. Wymaga ona zaangażowanej i dobrze wykształconej kadry (10 osób w muzeum posiada tytuł naukowy doktora !), kompetentnych dyplomowanych pedagogów muzealnych współpracujących ze szkołami oraz innymi instytucjami kultury. Temu służą specjalistyczne studia , kursy, seminaria , warsztaty, wykłady, konferencje, podróże studyjne, praktyki i staże muzealne w kraju i zagranicą. Konieczne jest nieustanne uświadamianie społeczeństwu wagi edukacji kulturalnej nie tylko w rozwoju </w:t>
      </w:r>
      <w:proofErr w:type="spellStart"/>
      <w:r w:rsidRPr="009245B1">
        <w:rPr>
          <w:rFonts w:ascii="Verdana" w:hAnsi="Verdana"/>
          <w:sz w:val="20"/>
          <w:szCs w:val="20"/>
        </w:rPr>
        <w:t>społeczno</w:t>
      </w:r>
      <w:proofErr w:type="spellEnd"/>
      <w:r w:rsidRPr="009245B1">
        <w:rPr>
          <w:rFonts w:ascii="Verdana" w:hAnsi="Verdana"/>
          <w:sz w:val="20"/>
          <w:szCs w:val="20"/>
        </w:rPr>
        <w:t xml:space="preserve"> — gospodarczym ale przede wszystkim w indywidualnym osobowym rozwoju człowieka. </w:t>
      </w:r>
      <w:r w:rsidRPr="009245B1">
        <w:rPr>
          <w:rFonts w:ascii="Verdana" w:hAnsi="Verdana"/>
          <w:noProof/>
          <w:sz w:val="20"/>
          <w:szCs w:val="20"/>
        </w:rPr>
        <w:drawing>
          <wp:anchor distT="0" distB="0" distL="114300" distR="114300" simplePos="0" relativeHeight="251674624" behindDoc="0" locked="0" layoutInCell="1" allowOverlap="0" wp14:anchorId="7E6C0251" wp14:editId="10A1E3DA">
            <wp:simplePos x="0" y="0"/>
            <wp:positionH relativeFrom="page">
              <wp:posOffset>6693409</wp:posOffset>
            </wp:positionH>
            <wp:positionV relativeFrom="page">
              <wp:posOffset>3106798</wp:posOffset>
            </wp:positionV>
            <wp:extent cx="6096" cy="3049"/>
            <wp:effectExtent l="0" t="0" r="0" b="0"/>
            <wp:wrapSquare wrapText="bothSides"/>
            <wp:docPr id="5" name="Picture 6526"/>
            <wp:cNvGraphicFramePr/>
            <a:graphic xmlns:a="http://schemas.openxmlformats.org/drawingml/2006/main">
              <a:graphicData uri="http://schemas.openxmlformats.org/drawingml/2006/picture">
                <pic:pic xmlns:pic="http://schemas.openxmlformats.org/drawingml/2006/picture">
                  <pic:nvPicPr>
                    <pic:cNvPr id="6526" name="Picture 6526"/>
                    <pic:cNvPicPr/>
                  </pic:nvPicPr>
                  <pic:blipFill>
                    <a:blip r:embed="rId11"/>
                    <a:stretch>
                      <a:fillRect/>
                    </a:stretch>
                  </pic:blipFill>
                  <pic:spPr>
                    <a:xfrm>
                      <a:off x="0" y="0"/>
                      <a:ext cx="6096" cy="3049"/>
                    </a:xfrm>
                    <a:prstGeom prst="rect">
                      <a:avLst/>
                    </a:prstGeom>
                  </pic:spPr>
                </pic:pic>
              </a:graphicData>
            </a:graphic>
          </wp:anchor>
        </w:drawing>
      </w:r>
      <w:r w:rsidRPr="009245B1">
        <w:rPr>
          <w:rFonts w:ascii="Verdana" w:hAnsi="Verdana"/>
          <w:noProof/>
          <w:sz w:val="20"/>
          <w:szCs w:val="20"/>
        </w:rPr>
        <w:drawing>
          <wp:anchor distT="0" distB="0" distL="114300" distR="114300" simplePos="0" relativeHeight="251675648" behindDoc="0" locked="0" layoutInCell="1" allowOverlap="0" wp14:anchorId="2DAED094" wp14:editId="268481F4">
            <wp:simplePos x="0" y="0"/>
            <wp:positionH relativeFrom="page">
              <wp:posOffset>6708648</wp:posOffset>
            </wp:positionH>
            <wp:positionV relativeFrom="page">
              <wp:posOffset>4137316</wp:posOffset>
            </wp:positionV>
            <wp:extent cx="6097" cy="18293"/>
            <wp:effectExtent l="0" t="0" r="0" b="0"/>
            <wp:wrapSquare wrapText="bothSides"/>
            <wp:docPr id="6" name="Picture 6528"/>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12"/>
                    <a:stretch>
                      <a:fillRect/>
                    </a:stretch>
                  </pic:blipFill>
                  <pic:spPr>
                    <a:xfrm>
                      <a:off x="0" y="0"/>
                      <a:ext cx="6097" cy="18293"/>
                    </a:xfrm>
                    <a:prstGeom prst="rect">
                      <a:avLst/>
                    </a:prstGeom>
                  </pic:spPr>
                </pic:pic>
              </a:graphicData>
            </a:graphic>
          </wp:anchor>
        </w:drawing>
      </w:r>
      <w:r w:rsidRPr="009245B1">
        <w:rPr>
          <w:rFonts w:ascii="Verdana" w:hAnsi="Verdana"/>
          <w:noProof/>
          <w:sz w:val="20"/>
          <w:szCs w:val="20"/>
        </w:rPr>
        <w:drawing>
          <wp:anchor distT="0" distB="0" distL="114300" distR="114300" simplePos="0" relativeHeight="251676672" behindDoc="0" locked="0" layoutInCell="1" allowOverlap="0" wp14:anchorId="447A2C5B" wp14:editId="1E047A2C">
            <wp:simplePos x="0" y="0"/>
            <wp:positionH relativeFrom="page">
              <wp:posOffset>6943345</wp:posOffset>
            </wp:positionH>
            <wp:positionV relativeFrom="page">
              <wp:posOffset>4161707</wp:posOffset>
            </wp:positionV>
            <wp:extent cx="6096" cy="6097"/>
            <wp:effectExtent l="0" t="0" r="0" b="0"/>
            <wp:wrapSquare wrapText="bothSides"/>
            <wp:docPr id="7" name="Picture 6529"/>
            <wp:cNvGraphicFramePr/>
            <a:graphic xmlns:a="http://schemas.openxmlformats.org/drawingml/2006/main">
              <a:graphicData uri="http://schemas.openxmlformats.org/drawingml/2006/picture">
                <pic:pic xmlns:pic="http://schemas.openxmlformats.org/drawingml/2006/picture">
                  <pic:nvPicPr>
                    <pic:cNvPr id="6529" name="Picture 6529"/>
                    <pic:cNvPicPr/>
                  </pic:nvPicPr>
                  <pic:blipFill>
                    <a:blip r:embed="rId13"/>
                    <a:stretch>
                      <a:fillRect/>
                    </a:stretch>
                  </pic:blipFill>
                  <pic:spPr>
                    <a:xfrm>
                      <a:off x="0" y="0"/>
                      <a:ext cx="6096" cy="6097"/>
                    </a:xfrm>
                    <a:prstGeom prst="rect">
                      <a:avLst/>
                    </a:prstGeom>
                  </pic:spPr>
                </pic:pic>
              </a:graphicData>
            </a:graphic>
          </wp:anchor>
        </w:drawing>
      </w:r>
      <w:r w:rsidRPr="009245B1">
        <w:rPr>
          <w:rFonts w:ascii="Verdana" w:hAnsi="Verdana"/>
          <w:noProof/>
          <w:sz w:val="20"/>
          <w:szCs w:val="20"/>
        </w:rPr>
        <w:drawing>
          <wp:anchor distT="0" distB="0" distL="114300" distR="114300" simplePos="0" relativeHeight="251677696" behindDoc="0" locked="0" layoutInCell="1" allowOverlap="0" wp14:anchorId="2CCFBF08" wp14:editId="38E04F9A">
            <wp:simplePos x="0" y="0"/>
            <wp:positionH relativeFrom="page">
              <wp:posOffset>6903720</wp:posOffset>
            </wp:positionH>
            <wp:positionV relativeFrom="page">
              <wp:posOffset>4164756</wp:posOffset>
            </wp:positionV>
            <wp:extent cx="9144" cy="12196"/>
            <wp:effectExtent l="0" t="0" r="0" b="0"/>
            <wp:wrapSquare wrapText="bothSides"/>
            <wp:docPr id="8" name="Picture 6530"/>
            <wp:cNvGraphicFramePr/>
            <a:graphic xmlns:a="http://schemas.openxmlformats.org/drawingml/2006/main">
              <a:graphicData uri="http://schemas.openxmlformats.org/drawingml/2006/picture">
                <pic:pic xmlns:pic="http://schemas.openxmlformats.org/drawingml/2006/picture">
                  <pic:nvPicPr>
                    <pic:cNvPr id="6530" name="Picture 6530"/>
                    <pic:cNvPicPr/>
                  </pic:nvPicPr>
                  <pic:blipFill>
                    <a:blip r:embed="rId14"/>
                    <a:stretch>
                      <a:fillRect/>
                    </a:stretch>
                  </pic:blipFill>
                  <pic:spPr>
                    <a:xfrm>
                      <a:off x="0" y="0"/>
                      <a:ext cx="9144" cy="12196"/>
                    </a:xfrm>
                    <a:prstGeom prst="rect">
                      <a:avLst/>
                    </a:prstGeom>
                  </pic:spPr>
                </pic:pic>
              </a:graphicData>
            </a:graphic>
          </wp:anchor>
        </w:drawing>
      </w:r>
      <w:r w:rsidRPr="009245B1">
        <w:rPr>
          <w:rFonts w:ascii="Verdana" w:hAnsi="Verdana"/>
          <w:noProof/>
          <w:sz w:val="20"/>
          <w:szCs w:val="20"/>
        </w:rPr>
        <w:drawing>
          <wp:anchor distT="0" distB="0" distL="114300" distR="114300" simplePos="0" relativeHeight="251678720" behindDoc="0" locked="0" layoutInCell="1" allowOverlap="0" wp14:anchorId="105A9B8B" wp14:editId="7F0DD9BE">
            <wp:simplePos x="0" y="0"/>
            <wp:positionH relativeFrom="page">
              <wp:posOffset>6879336</wp:posOffset>
            </wp:positionH>
            <wp:positionV relativeFrom="page">
              <wp:posOffset>4375128</wp:posOffset>
            </wp:positionV>
            <wp:extent cx="3048" cy="24391"/>
            <wp:effectExtent l="0" t="0" r="0" b="0"/>
            <wp:wrapSquare wrapText="bothSides"/>
            <wp:docPr id="9" name="Picture 6531"/>
            <wp:cNvGraphicFramePr/>
            <a:graphic xmlns:a="http://schemas.openxmlformats.org/drawingml/2006/main">
              <a:graphicData uri="http://schemas.openxmlformats.org/drawingml/2006/picture">
                <pic:pic xmlns:pic="http://schemas.openxmlformats.org/drawingml/2006/picture">
                  <pic:nvPicPr>
                    <pic:cNvPr id="6531" name="Picture 6531"/>
                    <pic:cNvPicPr/>
                  </pic:nvPicPr>
                  <pic:blipFill>
                    <a:blip r:embed="rId15"/>
                    <a:stretch>
                      <a:fillRect/>
                    </a:stretch>
                  </pic:blipFill>
                  <pic:spPr>
                    <a:xfrm>
                      <a:off x="0" y="0"/>
                      <a:ext cx="3048" cy="24391"/>
                    </a:xfrm>
                    <a:prstGeom prst="rect">
                      <a:avLst/>
                    </a:prstGeom>
                  </pic:spPr>
                </pic:pic>
              </a:graphicData>
            </a:graphic>
          </wp:anchor>
        </w:drawing>
      </w:r>
      <w:r w:rsidRPr="009245B1">
        <w:rPr>
          <w:rFonts w:ascii="Verdana" w:hAnsi="Verdana"/>
          <w:noProof/>
          <w:sz w:val="20"/>
          <w:szCs w:val="20"/>
        </w:rPr>
        <w:drawing>
          <wp:anchor distT="0" distB="0" distL="114300" distR="114300" simplePos="0" relativeHeight="251679744" behindDoc="0" locked="0" layoutInCell="1" allowOverlap="0" wp14:anchorId="51673B58" wp14:editId="005C7969">
            <wp:simplePos x="0" y="0"/>
            <wp:positionH relativeFrom="page">
              <wp:posOffset>6909816</wp:posOffset>
            </wp:positionH>
            <wp:positionV relativeFrom="page">
              <wp:posOffset>4399519</wp:posOffset>
            </wp:positionV>
            <wp:extent cx="12192" cy="9146"/>
            <wp:effectExtent l="0" t="0" r="0" b="0"/>
            <wp:wrapSquare wrapText="bothSides"/>
            <wp:docPr id="10" name="Picture 6532"/>
            <wp:cNvGraphicFramePr/>
            <a:graphic xmlns:a="http://schemas.openxmlformats.org/drawingml/2006/main">
              <a:graphicData uri="http://schemas.openxmlformats.org/drawingml/2006/picture">
                <pic:pic xmlns:pic="http://schemas.openxmlformats.org/drawingml/2006/picture">
                  <pic:nvPicPr>
                    <pic:cNvPr id="6532" name="Picture 6532"/>
                    <pic:cNvPicPr/>
                  </pic:nvPicPr>
                  <pic:blipFill>
                    <a:blip r:embed="rId16"/>
                    <a:stretch>
                      <a:fillRect/>
                    </a:stretch>
                  </pic:blipFill>
                  <pic:spPr>
                    <a:xfrm>
                      <a:off x="0" y="0"/>
                      <a:ext cx="12192" cy="9146"/>
                    </a:xfrm>
                    <a:prstGeom prst="rect">
                      <a:avLst/>
                    </a:prstGeom>
                  </pic:spPr>
                </pic:pic>
              </a:graphicData>
            </a:graphic>
          </wp:anchor>
        </w:drawing>
      </w:r>
      <w:r w:rsidRPr="009245B1">
        <w:rPr>
          <w:rFonts w:ascii="Verdana" w:hAnsi="Verdana"/>
          <w:noProof/>
          <w:sz w:val="20"/>
          <w:szCs w:val="20"/>
        </w:rPr>
        <w:drawing>
          <wp:anchor distT="0" distB="0" distL="114300" distR="114300" simplePos="0" relativeHeight="251680768" behindDoc="0" locked="0" layoutInCell="1" allowOverlap="0" wp14:anchorId="76AA6DD5" wp14:editId="03448988">
            <wp:simplePos x="0" y="0"/>
            <wp:positionH relativeFrom="page">
              <wp:posOffset>6946393</wp:posOffset>
            </wp:positionH>
            <wp:positionV relativeFrom="page">
              <wp:posOffset>4436105</wp:posOffset>
            </wp:positionV>
            <wp:extent cx="6096" cy="9146"/>
            <wp:effectExtent l="0" t="0" r="0" b="0"/>
            <wp:wrapSquare wrapText="bothSides"/>
            <wp:docPr id="11" name="Picture 6533"/>
            <wp:cNvGraphicFramePr/>
            <a:graphic xmlns:a="http://schemas.openxmlformats.org/drawingml/2006/main">
              <a:graphicData uri="http://schemas.openxmlformats.org/drawingml/2006/picture">
                <pic:pic xmlns:pic="http://schemas.openxmlformats.org/drawingml/2006/picture">
                  <pic:nvPicPr>
                    <pic:cNvPr id="6533" name="Picture 6533"/>
                    <pic:cNvPicPr/>
                  </pic:nvPicPr>
                  <pic:blipFill>
                    <a:blip r:embed="rId17"/>
                    <a:stretch>
                      <a:fillRect/>
                    </a:stretch>
                  </pic:blipFill>
                  <pic:spPr>
                    <a:xfrm>
                      <a:off x="0" y="0"/>
                      <a:ext cx="6096" cy="9146"/>
                    </a:xfrm>
                    <a:prstGeom prst="rect">
                      <a:avLst/>
                    </a:prstGeom>
                  </pic:spPr>
                </pic:pic>
              </a:graphicData>
            </a:graphic>
          </wp:anchor>
        </w:drawing>
      </w:r>
      <w:r w:rsidRPr="009245B1">
        <w:rPr>
          <w:rFonts w:ascii="Verdana" w:hAnsi="Verdana"/>
          <w:sz w:val="20"/>
          <w:szCs w:val="20"/>
        </w:rPr>
        <w:t xml:space="preserve">Zadaniem podstawowym muzeum jest też prowadzenie szkoleń i warsztatów dla nauczycieli oraz wolontariuszy, artystów i specjalistów pracujących w dziedzinie edukacji kulturalnej. Zachętą do współdziałania muzeów i szkół są lokalne konkursy, </w:t>
      </w:r>
      <w:r w:rsidRPr="009245B1">
        <w:rPr>
          <w:rFonts w:ascii="Verdana" w:hAnsi="Verdana"/>
          <w:noProof/>
          <w:sz w:val="20"/>
          <w:szCs w:val="20"/>
        </w:rPr>
        <w:drawing>
          <wp:inline distT="0" distB="0" distL="0" distR="0" wp14:anchorId="775CDFB9" wp14:editId="40FFBAB0">
            <wp:extent cx="6096" cy="6098"/>
            <wp:effectExtent l="0" t="0" r="0" b="0"/>
            <wp:docPr id="12" name="Picture 6527"/>
            <wp:cNvGraphicFramePr/>
            <a:graphic xmlns:a="http://schemas.openxmlformats.org/drawingml/2006/main">
              <a:graphicData uri="http://schemas.openxmlformats.org/drawingml/2006/picture">
                <pic:pic xmlns:pic="http://schemas.openxmlformats.org/drawingml/2006/picture">
                  <pic:nvPicPr>
                    <pic:cNvPr id="6527" name="Picture 6527"/>
                    <pic:cNvPicPr/>
                  </pic:nvPicPr>
                  <pic:blipFill>
                    <a:blip r:embed="rId18"/>
                    <a:stretch>
                      <a:fillRect/>
                    </a:stretch>
                  </pic:blipFill>
                  <pic:spPr>
                    <a:xfrm>
                      <a:off x="0" y="0"/>
                      <a:ext cx="6096" cy="6098"/>
                    </a:xfrm>
                    <a:prstGeom prst="rect">
                      <a:avLst/>
                    </a:prstGeom>
                  </pic:spPr>
                </pic:pic>
              </a:graphicData>
            </a:graphic>
          </wp:inline>
        </w:drawing>
      </w:r>
      <w:r w:rsidRPr="009245B1">
        <w:rPr>
          <w:rFonts w:ascii="Verdana" w:hAnsi="Verdana"/>
          <w:sz w:val="20"/>
          <w:szCs w:val="20"/>
        </w:rPr>
        <w:t xml:space="preserve">nagradzanie modelowych i najlepszych projektów oraz ich realizacji. Niezbędne powinno być przy tym mocne wsparcie władz regionalnych oraz samorządów lokalnych. Muzeum musi zaistnieć w świadomości społecznej jako miejsce atrakcyjne i ogólnodostępne, przyjazne każdemu, proponujące ciekawe doświadczenia estetyczne i edukacyjne. Muzea powinny się przekształcić się w miejsca aktywnej komunikacji i wymiany, pełniąc propedeutyczną rolę w stosunku do muzeów w klasycznym rozumieniu, wychowując przyszłą kadrę i publiczność muzealną w myśl hasła : korzystać z muzeów należy przez całe życie . Wizyta dzieci w muzeum powinna być swego rodzaju „przygodą”, propozycją edukacji poprzez sztukę, kulturę oraz historię podaną w ciekawy i atrakcyjny sposób . W edukacji tej ważna jest rozwijana wirtualizacja zbiorów muzealnych oraz komunikacja i edukacja prowadzona przez muzeum w </w:t>
      </w:r>
      <w:proofErr w:type="spellStart"/>
      <w:r w:rsidRPr="009245B1">
        <w:rPr>
          <w:rFonts w:ascii="Verdana" w:hAnsi="Verdana"/>
          <w:sz w:val="20"/>
          <w:szCs w:val="20"/>
        </w:rPr>
        <w:t>internecie</w:t>
      </w:r>
      <w:proofErr w:type="spellEnd"/>
      <w:r w:rsidRPr="009245B1">
        <w:rPr>
          <w:rFonts w:ascii="Verdana" w:hAnsi="Verdana"/>
          <w:sz w:val="20"/>
          <w:szCs w:val="20"/>
        </w:rPr>
        <w:t xml:space="preserve"> za pomocą portali i narzędzi nowych mediów ( kioski multimedialne, systemy projekcyjne i nagłośnieniowe, bezprzewodowy </w:t>
      </w:r>
      <w:proofErr w:type="spellStart"/>
      <w:r w:rsidRPr="009245B1">
        <w:rPr>
          <w:rFonts w:ascii="Verdana" w:hAnsi="Verdana"/>
          <w:sz w:val="20"/>
          <w:szCs w:val="20"/>
        </w:rPr>
        <w:t>internet</w:t>
      </w:r>
      <w:proofErr w:type="spellEnd"/>
      <w:r w:rsidRPr="009245B1">
        <w:rPr>
          <w:rFonts w:ascii="Verdana" w:hAnsi="Verdana"/>
          <w:sz w:val="20"/>
          <w:szCs w:val="20"/>
        </w:rPr>
        <w:t xml:space="preserve"> itp.). W najbliższych latach Muzeum Miejskie Wrocławia planuje zintensyfikować działania edukacyjne skierowane do wszystkich grup społecznych, w tym seniorów, matek z małymi dziećmi i osób z niepełnosprawnościami. Nastąpi kompleksowe dostosowanie muzealnych oddziałów do potrzeb osób z niepełnosprawnościami z uwzględnieniem różnych niesprawności (od dostępności ruchowej do dostępności poznawczej dzięki nowej technologii). Poza tradycyjną działalnością edukacyjną opartą na prowadzeniu lekcji i warsztatów muzealnych, pracownicy Muzeum aktywnie będą brać udział w wydarzeniach o charakterze plenerowym np. </w:t>
      </w:r>
      <w:proofErr w:type="spellStart"/>
      <w:r w:rsidRPr="009245B1">
        <w:rPr>
          <w:rFonts w:ascii="Verdana" w:hAnsi="Verdana"/>
          <w:sz w:val="20"/>
          <w:szCs w:val="20"/>
        </w:rPr>
        <w:t>oprowadzaniach</w:t>
      </w:r>
      <w:proofErr w:type="spellEnd"/>
      <w:r w:rsidRPr="009245B1">
        <w:rPr>
          <w:rFonts w:ascii="Verdana" w:hAnsi="Verdana"/>
          <w:sz w:val="20"/>
          <w:szCs w:val="20"/>
        </w:rPr>
        <w:t xml:space="preserve"> po mieście, spacerach osiedlowych, piknikach rodzinnych czy w inicjatywach odbywających się poza Muzeum np. spotkaniach w klubach seniorów i uniwersytetach trzeciego wieku czy zajęciach dla podopiecznych szpitali dziecięcych. Podobnie jak w poprzednich latach pracownicy Muzeum nadal chętnie włączać się będą w różne działania edukacyjne oraz kontynuować współpracę z innymi podmiotami zajmującymi się edukacją i upowszechnianiem wiedzy poszerzając grupę </w:t>
      </w:r>
      <w:r w:rsidRPr="009245B1">
        <w:rPr>
          <w:rFonts w:ascii="Verdana" w:hAnsi="Verdana"/>
          <w:sz w:val="20"/>
          <w:szCs w:val="20"/>
        </w:rPr>
        <w:lastRenderedPageBreak/>
        <w:t>pracowników edukacyjnych o nauczycieli, psychologów, edukatorów w zakresie obsługi osób z niepełnosprawnościami , animatorów kultury i artystów.</w:t>
      </w:r>
    </w:p>
    <w:p w:rsidR="00096A26" w:rsidRPr="009245B1" w:rsidRDefault="00096A26" w:rsidP="009245B1">
      <w:pPr>
        <w:pStyle w:val="Akapitzlist"/>
        <w:numPr>
          <w:ilvl w:val="0"/>
          <w:numId w:val="1"/>
        </w:numPr>
        <w:tabs>
          <w:tab w:val="left" w:pos="284"/>
          <w:tab w:val="left" w:pos="426"/>
        </w:tabs>
        <w:spacing w:line="360" w:lineRule="auto"/>
        <w:ind w:left="0" w:right="9" w:firstLine="0"/>
        <w:jc w:val="left"/>
        <w:rPr>
          <w:rFonts w:ascii="Verdana" w:hAnsi="Verdana"/>
          <w:sz w:val="20"/>
          <w:szCs w:val="20"/>
        </w:rPr>
      </w:pPr>
      <w:r w:rsidRPr="009245B1">
        <w:rPr>
          <w:rFonts w:ascii="Verdana" w:hAnsi="Verdana"/>
          <w:sz w:val="20"/>
          <w:szCs w:val="20"/>
        </w:rPr>
        <w:t>W zakresie publikowania katalogów, przewodników wystaw, wyników badań oraz seryjnych wydawnictw popularno</w:t>
      </w:r>
      <w:r w:rsidR="009245B1">
        <w:rPr>
          <w:rFonts w:ascii="Verdana" w:hAnsi="Verdana"/>
          <w:sz w:val="20"/>
          <w:szCs w:val="20"/>
        </w:rPr>
        <w:t>-</w:t>
      </w:r>
      <w:r w:rsidRPr="009245B1">
        <w:rPr>
          <w:rFonts w:ascii="Verdana" w:hAnsi="Verdana"/>
          <w:sz w:val="20"/>
          <w:szCs w:val="20"/>
        </w:rPr>
        <w:t>naukowych Muzeum od lat prowadzi bardzo bogatą działalność wydawniczą publikując unikatowe pozycje z zakresu historii Wrocławia oraz sztuki, archeologii, militariów, medalierstwa, falerystyki dla wszystkich grup wiekowych o różnym stopniu zaawansowania. W tej formie działalność będzie kontynuowana przez kolejne lata. Wydawnictwa Muzeum Miejskiego Wrocławia dostępne są także za pośrednictwem muzealnej księgarni internetowej oraz stacjonarnych punktów sprzedaży. Muzeum także aktywnie bierze udział w wydarzeniach promujących czytelnictwo, jak np. targach książek.</w:t>
      </w:r>
    </w:p>
    <w:p w:rsidR="00770473" w:rsidRPr="009245B1" w:rsidRDefault="00770473" w:rsidP="009245B1">
      <w:pPr>
        <w:pStyle w:val="Akapitzlist"/>
        <w:numPr>
          <w:ilvl w:val="0"/>
          <w:numId w:val="1"/>
        </w:numPr>
        <w:tabs>
          <w:tab w:val="left" w:pos="284"/>
        </w:tabs>
        <w:spacing w:line="360" w:lineRule="auto"/>
        <w:ind w:left="0" w:right="9" w:firstLine="0"/>
        <w:jc w:val="left"/>
        <w:rPr>
          <w:rFonts w:ascii="Verdana" w:hAnsi="Verdana"/>
          <w:sz w:val="20"/>
          <w:szCs w:val="20"/>
        </w:rPr>
      </w:pPr>
      <w:r w:rsidRPr="009245B1">
        <w:rPr>
          <w:rFonts w:ascii="Verdana" w:hAnsi="Verdana"/>
          <w:noProof/>
          <w:sz w:val="20"/>
          <w:szCs w:val="20"/>
        </w:rPr>
        <w:drawing>
          <wp:anchor distT="0" distB="0" distL="114300" distR="114300" simplePos="0" relativeHeight="251682816" behindDoc="0" locked="0" layoutInCell="1" allowOverlap="0" wp14:anchorId="6E16C10E" wp14:editId="79F91CA9">
            <wp:simplePos x="0" y="0"/>
            <wp:positionH relativeFrom="page">
              <wp:posOffset>6687313</wp:posOffset>
            </wp:positionH>
            <wp:positionV relativeFrom="page">
              <wp:posOffset>4143413</wp:posOffset>
            </wp:positionV>
            <wp:extent cx="6096" cy="6098"/>
            <wp:effectExtent l="0" t="0" r="0" b="0"/>
            <wp:wrapSquare wrapText="bothSides"/>
            <wp:docPr id="13" name="Picture 8933"/>
            <wp:cNvGraphicFramePr/>
            <a:graphic xmlns:a="http://schemas.openxmlformats.org/drawingml/2006/main">
              <a:graphicData uri="http://schemas.openxmlformats.org/drawingml/2006/picture">
                <pic:pic xmlns:pic="http://schemas.openxmlformats.org/drawingml/2006/picture">
                  <pic:nvPicPr>
                    <pic:cNvPr id="8933" name="Picture 8933"/>
                    <pic:cNvPicPr/>
                  </pic:nvPicPr>
                  <pic:blipFill>
                    <a:blip r:embed="rId19"/>
                    <a:stretch>
                      <a:fillRect/>
                    </a:stretch>
                  </pic:blipFill>
                  <pic:spPr>
                    <a:xfrm>
                      <a:off x="0" y="0"/>
                      <a:ext cx="6096" cy="6098"/>
                    </a:xfrm>
                    <a:prstGeom prst="rect">
                      <a:avLst/>
                    </a:prstGeom>
                  </pic:spPr>
                </pic:pic>
              </a:graphicData>
            </a:graphic>
          </wp:anchor>
        </w:drawing>
      </w:r>
      <w:r w:rsidRPr="009245B1">
        <w:rPr>
          <w:rFonts w:ascii="Verdana" w:hAnsi="Verdana"/>
          <w:sz w:val="20"/>
          <w:szCs w:val="20"/>
        </w:rPr>
        <w:t xml:space="preserve">Muzeum, w miarę możliwości finansowych i kadrowych, dokłada wszelkich starań by stać się miejscem jak najbardziej dostępnym dla osób na każdym etapie rozwoju człowieka od nauczania przedszkolnego po nieformalną edukację ustawiczną. Działania te obejmują przygotowanie wystaw i </w:t>
      </w:r>
      <w:proofErr w:type="spellStart"/>
      <w:r w:rsidRPr="009245B1">
        <w:rPr>
          <w:rFonts w:ascii="Verdana" w:hAnsi="Verdana"/>
          <w:sz w:val="20"/>
          <w:szCs w:val="20"/>
        </w:rPr>
        <w:t>oprowadzań</w:t>
      </w:r>
      <w:proofErr w:type="spellEnd"/>
      <w:r w:rsidRPr="009245B1">
        <w:rPr>
          <w:rFonts w:ascii="Verdana" w:hAnsi="Verdana"/>
          <w:sz w:val="20"/>
          <w:szCs w:val="20"/>
        </w:rPr>
        <w:t xml:space="preserve"> oraz modernizację infrastruktury muzeum dostępnych </w:t>
      </w:r>
      <w:r w:rsidRPr="009245B1">
        <w:rPr>
          <w:rFonts w:ascii="Verdana" w:hAnsi="Verdana"/>
          <w:noProof/>
          <w:sz w:val="20"/>
          <w:szCs w:val="20"/>
        </w:rPr>
        <w:drawing>
          <wp:inline distT="0" distB="0" distL="0" distR="0" wp14:anchorId="64CD72DB" wp14:editId="38BC3851">
            <wp:extent cx="3048" cy="9146"/>
            <wp:effectExtent l="0" t="0" r="0" b="0"/>
            <wp:docPr id="14" name="Picture 8934"/>
            <wp:cNvGraphicFramePr/>
            <a:graphic xmlns:a="http://schemas.openxmlformats.org/drawingml/2006/main">
              <a:graphicData uri="http://schemas.openxmlformats.org/drawingml/2006/picture">
                <pic:pic xmlns:pic="http://schemas.openxmlformats.org/drawingml/2006/picture">
                  <pic:nvPicPr>
                    <pic:cNvPr id="8934" name="Picture 8934"/>
                    <pic:cNvPicPr/>
                  </pic:nvPicPr>
                  <pic:blipFill>
                    <a:blip r:embed="rId20"/>
                    <a:stretch>
                      <a:fillRect/>
                    </a:stretch>
                  </pic:blipFill>
                  <pic:spPr>
                    <a:xfrm>
                      <a:off x="0" y="0"/>
                      <a:ext cx="3048" cy="9146"/>
                    </a:xfrm>
                    <a:prstGeom prst="rect">
                      <a:avLst/>
                    </a:prstGeom>
                  </pic:spPr>
                </pic:pic>
              </a:graphicData>
            </a:graphic>
          </wp:inline>
        </w:drawing>
      </w:r>
      <w:r w:rsidRPr="009245B1">
        <w:rPr>
          <w:rFonts w:ascii="Verdana" w:hAnsi="Verdana"/>
          <w:sz w:val="20"/>
          <w:szCs w:val="20"/>
        </w:rPr>
        <w:t>również dla osób z niepełnosprawnościami, środowisk szczególnych i mniejszości. Muzeum stwarza też warunki do samodzielnego kształcenia rodzin, m.in. dzięki zastosowaniu nowoczesnych technologii informacyjnych i komunikacyjnych.</w:t>
      </w:r>
    </w:p>
    <w:p w:rsidR="00770473" w:rsidRPr="009245B1" w:rsidRDefault="00770473" w:rsidP="009245B1">
      <w:pPr>
        <w:numPr>
          <w:ilvl w:val="0"/>
          <w:numId w:val="1"/>
        </w:numPr>
        <w:tabs>
          <w:tab w:val="left" w:pos="284"/>
          <w:tab w:val="left" w:pos="426"/>
        </w:tabs>
        <w:spacing w:after="101" w:line="360" w:lineRule="auto"/>
        <w:ind w:left="0" w:right="9" w:firstLine="0"/>
        <w:jc w:val="left"/>
        <w:rPr>
          <w:rFonts w:ascii="Verdana" w:hAnsi="Verdana"/>
          <w:sz w:val="20"/>
          <w:szCs w:val="20"/>
        </w:rPr>
      </w:pPr>
      <w:r w:rsidRPr="009245B1">
        <w:rPr>
          <w:rFonts w:ascii="Verdana" w:hAnsi="Verdana"/>
          <w:sz w:val="20"/>
          <w:szCs w:val="20"/>
        </w:rPr>
        <w:t>Muzeum w nowej roli translatora wiedzy o społeczeństwie nadal kontynuować będzie, wykorzystując swoje zbiory oraz potencjał wiedzy, działalność na rzecz kształtowania postaw pełnych tolerancji i budowania dialogu. Dzieje Wrocławia są doskonałym przykładem, że takie postawy gwarantują zgodne życie jego mieszkańców niezależnie od narodowości czy wyznania, powodzenie gospodarcze samego organizmu miejskiego. Jednocześnie historia miasta wielokrotnie pokazała, że brak tolerancji i woli dialogu prowadzi do wielkich tragedii, z których skutkami mierzyły się długo kolejne pokolenia. Muzeum jest miejscem spotkań i więzi społecznych z bliższym i dalszym otoczeniem budowanych poprzez wystawy, pikniki historyczne i publikacje (także on-line) przeznaczone dla wszystkich grup wiekowych i społecznych. Muzeum wspiera działania na rzecz integracji społecznej i kulturalnej Wrocławia przy udziale nowych mieszkańców pochodzących z różnych stron świata</w:t>
      </w:r>
    </w:p>
    <w:p w:rsidR="00770473" w:rsidRPr="009245B1" w:rsidRDefault="00770473" w:rsidP="009245B1">
      <w:pPr>
        <w:numPr>
          <w:ilvl w:val="0"/>
          <w:numId w:val="1"/>
        </w:numPr>
        <w:tabs>
          <w:tab w:val="left" w:pos="426"/>
        </w:tabs>
        <w:spacing w:line="360" w:lineRule="auto"/>
        <w:ind w:left="0" w:right="9" w:firstLine="0"/>
        <w:jc w:val="left"/>
        <w:rPr>
          <w:rFonts w:ascii="Verdana" w:hAnsi="Verdana"/>
          <w:sz w:val="20"/>
          <w:szCs w:val="20"/>
        </w:rPr>
      </w:pPr>
      <w:r w:rsidRPr="009245B1">
        <w:rPr>
          <w:rFonts w:ascii="Verdana" w:hAnsi="Verdana"/>
          <w:sz w:val="20"/>
          <w:szCs w:val="20"/>
        </w:rPr>
        <w:t xml:space="preserve">Muzeum Miejskie jako jedna z atrakcji turystycznych posiadające 7 oddziałów ulokowanych w kilku zabytkowych obiektach architektonicznych , które od wielu lat cieszą się powodzeniem wśród odwiedzających Wrocław. W ostatnich latach udało się dostosować te budynki do celów muzealnych, zaadaptować ich przestrzenie nie tylko na nowoczesne sale ekspozycyjne ale także na pracownie, laboratoria i magazyny. Działania promocyjne zmierzają nieustannie do zwiększenia liczby zwiedzających Muzeum zarówno z Polski jak i za granicy. Jednocześnie muzealne wystawy nadal komponowane są tak by pochodzącym spoza Wrocławia dać możliwość poznania zbiorów w oryginalny sposób, </w:t>
      </w:r>
      <w:r w:rsidRPr="009245B1">
        <w:rPr>
          <w:rFonts w:ascii="Verdana" w:hAnsi="Verdana"/>
          <w:sz w:val="20"/>
          <w:szCs w:val="20"/>
        </w:rPr>
        <w:lastRenderedPageBreak/>
        <w:t>także przy wykorzystaniu aplikacji na urządzenia mobilne przy pomocy elementów multimedialnych.</w:t>
      </w:r>
    </w:p>
    <w:p w:rsidR="00770473" w:rsidRPr="009245B1" w:rsidRDefault="00770473" w:rsidP="009245B1">
      <w:pPr>
        <w:numPr>
          <w:ilvl w:val="0"/>
          <w:numId w:val="1"/>
        </w:numPr>
        <w:tabs>
          <w:tab w:val="left" w:pos="426"/>
        </w:tabs>
        <w:spacing w:line="360" w:lineRule="auto"/>
        <w:ind w:left="0" w:right="9" w:firstLine="0"/>
        <w:jc w:val="left"/>
        <w:rPr>
          <w:rFonts w:ascii="Verdana" w:hAnsi="Verdana"/>
          <w:sz w:val="20"/>
          <w:szCs w:val="20"/>
        </w:rPr>
      </w:pPr>
      <w:r w:rsidRPr="009245B1">
        <w:rPr>
          <w:rFonts w:ascii="Verdana" w:hAnsi="Verdana"/>
          <w:sz w:val="20"/>
          <w:szCs w:val="20"/>
        </w:rPr>
        <w:t>Zwiększenie frekwencji osób odwiedzających oddziały muzealne poprzez akcje promocyjne, a także tworzenie konkurencyjnej w mieście i regionie pod względem atrakcyjności oferty, obejmuje zarówno wystawy czasowe i stałe jak i inne wydarzenia o charakterze kulturalnym. Dziś jako jeden z najważniejszych priorytetów misji muzealnej uznaje się edukację muzealną skoncentrowaną na publiczności. Właśnie w postawach zwiedzających stających się współuczestnikami procesów kulturowych widać doskonale jak muzea stają się beneficjentami polityki europejskiej i światowej.</w:t>
      </w:r>
    </w:p>
    <w:p w:rsidR="00770473" w:rsidRPr="009245B1" w:rsidRDefault="00770473" w:rsidP="009245B1">
      <w:pPr>
        <w:pStyle w:val="Akapitzlist"/>
        <w:numPr>
          <w:ilvl w:val="0"/>
          <w:numId w:val="1"/>
        </w:numPr>
        <w:tabs>
          <w:tab w:val="left" w:pos="426"/>
        </w:tabs>
        <w:spacing w:after="61" w:line="360" w:lineRule="auto"/>
        <w:ind w:left="0" w:right="9" w:firstLine="0"/>
        <w:jc w:val="left"/>
        <w:rPr>
          <w:rFonts w:ascii="Verdana" w:hAnsi="Verdana"/>
          <w:sz w:val="20"/>
          <w:szCs w:val="20"/>
        </w:rPr>
      </w:pPr>
      <w:r w:rsidRPr="009245B1">
        <w:rPr>
          <w:rFonts w:ascii="Verdana" w:hAnsi="Verdana"/>
          <w:sz w:val="20"/>
          <w:szCs w:val="20"/>
        </w:rPr>
        <w:t xml:space="preserve">Sprostanie wyzwaniom finansowym poprzez samodzielną organizację innych zdarzeń w obszarze Muzeum. Jednocześnie Muzeum planuje starać się o środki z funduszy europejskich, funduszy ministerialnych oraz fundacyjnych, a także od prywatnych sponsorów. Ponadto Muzeum nadal prowadzić będzie działalność gospodarcza polegającą na wynajmowaniu powierzchni użytkowych w obiektach Muzeum ( np. regularne wieczorne koncerty w Arsenale, klub Filmowego Festiwalu Nowe Horyzonty i inne prezentacje gospodarcze) oraz pomieszczeń na siedziby np. Bractwa Kurkowego oraz kilku pokoi </w:t>
      </w:r>
      <w:r w:rsidRPr="009245B1">
        <w:rPr>
          <w:rFonts w:ascii="Verdana" w:hAnsi="Verdana"/>
          <w:noProof/>
          <w:sz w:val="20"/>
          <w:szCs w:val="20"/>
        </w:rPr>
        <w:drawing>
          <wp:inline distT="0" distB="0" distL="0" distR="0" wp14:anchorId="4FF1C45E" wp14:editId="090719F3">
            <wp:extent cx="3049" cy="12196"/>
            <wp:effectExtent l="0" t="0" r="0" b="0"/>
            <wp:docPr id="16" name="Picture 10766"/>
            <wp:cNvGraphicFramePr/>
            <a:graphic xmlns:a="http://schemas.openxmlformats.org/drawingml/2006/main">
              <a:graphicData uri="http://schemas.openxmlformats.org/drawingml/2006/picture">
                <pic:pic xmlns:pic="http://schemas.openxmlformats.org/drawingml/2006/picture">
                  <pic:nvPicPr>
                    <pic:cNvPr id="10766" name="Picture 10766"/>
                    <pic:cNvPicPr/>
                  </pic:nvPicPr>
                  <pic:blipFill>
                    <a:blip r:embed="rId21"/>
                    <a:stretch>
                      <a:fillRect/>
                    </a:stretch>
                  </pic:blipFill>
                  <pic:spPr>
                    <a:xfrm>
                      <a:off x="0" y="0"/>
                      <a:ext cx="3049" cy="12196"/>
                    </a:xfrm>
                    <a:prstGeom prst="rect">
                      <a:avLst/>
                    </a:prstGeom>
                  </pic:spPr>
                </pic:pic>
              </a:graphicData>
            </a:graphic>
          </wp:inline>
        </w:drawing>
      </w:r>
      <w:r w:rsidRPr="009245B1">
        <w:rPr>
          <w:rFonts w:ascii="Verdana" w:hAnsi="Verdana"/>
          <w:sz w:val="20"/>
          <w:szCs w:val="20"/>
        </w:rPr>
        <w:t>gościnnych w Arsenale. Pozyskane od sponsorów i z prowadzanej działalności gospodarczej fundusze w całości przeznaczane są na organizacje wystaw, wydarzeń kulturalnych oraz na zakupy zabytkowych eksponatów .</w:t>
      </w:r>
    </w:p>
    <w:p w:rsidR="00770473" w:rsidRPr="009245B1" w:rsidRDefault="00770473" w:rsidP="009245B1">
      <w:pPr>
        <w:numPr>
          <w:ilvl w:val="0"/>
          <w:numId w:val="1"/>
        </w:numPr>
        <w:tabs>
          <w:tab w:val="left" w:pos="426"/>
        </w:tabs>
        <w:spacing w:after="865" w:line="360" w:lineRule="auto"/>
        <w:ind w:left="142" w:right="9" w:hanging="142"/>
        <w:jc w:val="left"/>
        <w:rPr>
          <w:rFonts w:ascii="Verdana" w:hAnsi="Verdana"/>
          <w:sz w:val="20"/>
          <w:szCs w:val="20"/>
        </w:rPr>
      </w:pPr>
      <w:r w:rsidRPr="009245B1">
        <w:rPr>
          <w:rFonts w:ascii="Verdana" w:hAnsi="Verdana"/>
          <w:sz w:val="20"/>
          <w:szCs w:val="20"/>
        </w:rPr>
        <w:t>Ważnym zadaniem stojącym przed państwowymi i samorządowymi decydentami jest stworzenie kampanii informacyjnej ukazującej potencjał edukacyjny muzeów wzbogacony o doświadczenia poznawcze. Podobnie ważna jest integracja działalności podstawowej muzeów w jej wymiarze naukowym, wystawienniczym, wydawniczym i kolekcjonerskim oraz zaakcentowanie ich walorów edukacyjnych dostosowanych do potrzeb różnych grup zwiedzających.</w:t>
      </w:r>
    </w:p>
    <w:sectPr w:rsidR="00770473" w:rsidRPr="009245B1">
      <w:footerReference w:type="default" r:id="rId22"/>
      <w:pgSz w:w="11904" w:h="16834"/>
      <w:pgMar w:top="1368" w:right="1382" w:bottom="1338" w:left="136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8AA" w:rsidRDefault="009F18AA" w:rsidP="00AB40D9">
      <w:pPr>
        <w:spacing w:after="0" w:line="240" w:lineRule="auto"/>
      </w:pPr>
      <w:r>
        <w:separator/>
      </w:r>
    </w:p>
  </w:endnote>
  <w:endnote w:type="continuationSeparator" w:id="0">
    <w:p w:rsidR="009F18AA" w:rsidRDefault="009F18AA" w:rsidP="00AB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780236"/>
      <w:docPartObj>
        <w:docPartGallery w:val="Page Numbers (Bottom of Page)"/>
        <w:docPartUnique/>
      </w:docPartObj>
    </w:sdtPr>
    <w:sdtEndPr/>
    <w:sdtContent>
      <w:sdt>
        <w:sdtPr>
          <w:id w:val="1728636285"/>
          <w:docPartObj>
            <w:docPartGallery w:val="Page Numbers (Top of Page)"/>
            <w:docPartUnique/>
          </w:docPartObj>
        </w:sdtPr>
        <w:sdtEndPr/>
        <w:sdtContent>
          <w:p w:rsidR="00AB40D9" w:rsidRDefault="00AB40D9" w:rsidP="00AB40D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B40D9" w:rsidRDefault="00AB40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8AA" w:rsidRDefault="009F18AA" w:rsidP="00AB40D9">
      <w:pPr>
        <w:spacing w:after="0" w:line="240" w:lineRule="auto"/>
      </w:pPr>
      <w:r>
        <w:separator/>
      </w:r>
    </w:p>
  </w:footnote>
  <w:footnote w:type="continuationSeparator" w:id="0">
    <w:p w:rsidR="009F18AA" w:rsidRDefault="009F18AA" w:rsidP="00AB4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B44"/>
    <w:multiLevelType w:val="hybridMultilevel"/>
    <w:tmpl w:val="9DE62038"/>
    <w:lvl w:ilvl="0" w:tplc="6BDC619A">
      <w:start w:val="10"/>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0CD4EA">
      <w:start w:val="1"/>
      <w:numFmt w:val="lowerLetter"/>
      <w:lvlText w:val="%2"/>
      <w:lvlJc w:val="left"/>
      <w:pPr>
        <w:ind w:left="1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725A80">
      <w:start w:val="1"/>
      <w:numFmt w:val="lowerRoman"/>
      <w:lvlText w:val="%3"/>
      <w:lvlJc w:val="left"/>
      <w:pPr>
        <w:ind w:left="1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4E29FC">
      <w:start w:val="1"/>
      <w:numFmt w:val="decimal"/>
      <w:lvlText w:val="%4"/>
      <w:lvlJc w:val="left"/>
      <w:pPr>
        <w:ind w:left="2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8E00BA">
      <w:start w:val="1"/>
      <w:numFmt w:val="lowerLetter"/>
      <w:lvlText w:val="%5"/>
      <w:lvlJc w:val="left"/>
      <w:pPr>
        <w:ind w:left="3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7C2838">
      <w:start w:val="1"/>
      <w:numFmt w:val="lowerRoman"/>
      <w:lvlText w:val="%6"/>
      <w:lvlJc w:val="left"/>
      <w:pPr>
        <w:ind w:left="3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F82C22">
      <w:start w:val="1"/>
      <w:numFmt w:val="decimal"/>
      <w:lvlText w:val="%7"/>
      <w:lvlJc w:val="left"/>
      <w:pPr>
        <w:ind w:left="4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D8C0A8">
      <w:start w:val="1"/>
      <w:numFmt w:val="lowerLetter"/>
      <w:lvlText w:val="%8"/>
      <w:lvlJc w:val="left"/>
      <w:pPr>
        <w:ind w:left="5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C8C6A8">
      <w:start w:val="1"/>
      <w:numFmt w:val="lowerRoman"/>
      <w:lvlText w:val="%9"/>
      <w:lvlJc w:val="left"/>
      <w:pPr>
        <w:ind w:left="6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D95F47"/>
    <w:multiLevelType w:val="hybridMultilevel"/>
    <w:tmpl w:val="C97E97AC"/>
    <w:lvl w:ilvl="0" w:tplc="3DCAF0C2">
      <w:start w:val="6"/>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FCBB34">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A462CC">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CE0A9E">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EAF59C">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06D30">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E4AEB6">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5EB48A">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269F2">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3802E1"/>
    <w:multiLevelType w:val="hybridMultilevel"/>
    <w:tmpl w:val="3A80AB1E"/>
    <w:lvl w:ilvl="0" w:tplc="143A50F2">
      <w:start w:val="1"/>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E28B1C">
      <w:start w:val="1"/>
      <w:numFmt w:val="lowerLetter"/>
      <w:lvlText w:val="%2"/>
      <w:lvlJc w:val="left"/>
      <w:pPr>
        <w:ind w:left="1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461C88">
      <w:start w:val="1"/>
      <w:numFmt w:val="lowerRoman"/>
      <w:lvlText w:val="%3"/>
      <w:lvlJc w:val="left"/>
      <w:pPr>
        <w:ind w:left="2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F6A844">
      <w:start w:val="1"/>
      <w:numFmt w:val="decimal"/>
      <w:lvlText w:val="%4"/>
      <w:lvlJc w:val="left"/>
      <w:pPr>
        <w:ind w:left="2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D0F092">
      <w:start w:val="1"/>
      <w:numFmt w:val="lowerLetter"/>
      <w:lvlText w:val="%5"/>
      <w:lvlJc w:val="left"/>
      <w:pPr>
        <w:ind w:left="3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BA80EA">
      <w:start w:val="1"/>
      <w:numFmt w:val="lowerRoman"/>
      <w:lvlText w:val="%6"/>
      <w:lvlJc w:val="left"/>
      <w:pPr>
        <w:ind w:left="4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A006D2">
      <w:start w:val="1"/>
      <w:numFmt w:val="decimal"/>
      <w:lvlText w:val="%7"/>
      <w:lvlJc w:val="left"/>
      <w:pPr>
        <w:ind w:left="4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C41542">
      <w:start w:val="1"/>
      <w:numFmt w:val="lowerLetter"/>
      <w:lvlText w:val="%8"/>
      <w:lvlJc w:val="left"/>
      <w:pPr>
        <w:ind w:left="5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0814C6">
      <w:start w:val="1"/>
      <w:numFmt w:val="lowerRoman"/>
      <w:lvlText w:val="%9"/>
      <w:lvlJc w:val="left"/>
      <w:pPr>
        <w:ind w:left="6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96"/>
    <w:rsid w:val="00096A26"/>
    <w:rsid w:val="001000BE"/>
    <w:rsid w:val="002C53C3"/>
    <w:rsid w:val="003342EA"/>
    <w:rsid w:val="00443FE8"/>
    <w:rsid w:val="005052C2"/>
    <w:rsid w:val="00547BF2"/>
    <w:rsid w:val="00652309"/>
    <w:rsid w:val="00770473"/>
    <w:rsid w:val="00837DFB"/>
    <w:rsid w:val="00860838"/>
    <w:rsid w:val="008F0896"/>
    <w:rsid w:val="009245B1"/>
    <w:rsid w:val="009F18AA"/>
    <w:rsid w:val="00AB40D9"/>
    <w:rsid w:val="00B45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EFC7"/>
  <w15:docId w15:val="{D087DA51-7BF7-4662-88F5-72C6C292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303" w:lineRule="auto"/>
      <w:ind w:left="1532" w:hanging="332"/>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42"/>
      <w:ind w:left="720" w:right="1454"/>
      <w:outlineLvl w:val="0"/>
    </w:pPr>
    <w:rPr>
      <w:rFonts w:ascii="Calibri" w:eastAsia="Calibri" w:hAnsi="Calibri" w:cs="Calibri"/>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8"/>
    </w:rPr>
  </w:style>
  <w:style w:type="paragraph" w:styleId="Akapitzlist">
    <w:name w:val="List Paragraph"/>
    <w:basedOn w:val="Normalny"/>
    <w:uiPriority w:val="34"/>
    <w:qFormat/>
    <w:rsid w:val="00547BF2"/>
    <w:pPr>
      <w:ind w:left="720"/>
      <w:contextualSpacing/>
    </w:pPr>
  </w:style>
  <w:style w:type="paragraph" w:styleId="Nagwek">
    <w:name w:val="header"/>
    <w:basedOn w:val="Normalny"/>
    <w:link w:val="NagwekZnak"/>
    <w:uiPriority w:val="99"/>
    <w:unhideWhenUsed/>
    <w:rsid w:val="00AB40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0D9"/>
    <w:rPr>
      <w:rFonts w:ascii="Calibri" w:eastAsia="Calibri" w:hAnsi="Calibri" w:cs="Calibri"/>
      <w:color w:val="000000"/>
    </w:rPr>
  </w:style>
  <w:style w:type="paragraph" w:styleId="Stopka">
    <w:name w:val="footer"/>
    <w:basedOn w:val="Normalny"/>
    <w:link w:val="StopkaZnak"/>
    <w:uiPriority w:val="99"/>
    <w:unhideWhenUsed/>
    <w:rsid w:val="00AB40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0D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1925</Words>
  <Characters>11550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Kubicz-Wichłacz Dominika</dc:creator>
  <cp:keywords/>
  <cp:lastModifiedBy>Kubicz-Wichłacz Dominika</cp:lastModifiedBy>
  <cp:revision>10</cp:revision>
  <dcterms:created xsi:type="dcterms:W3CDTF">2025-09-03T11:02:00Z</dcterms:created>
  <dcterms:modified xsi:type="dcterms:W3CDTF">2025-09-03T12:11:00Z</dcterms:modified>
</cp:coreProperties>
</file>