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838D" w14:textId="570222D5" w:rsidR="00385746" w:rsidRDefault="00905202" w:rsidP="00385746">
      <w:pPr>
        <w:pStyle w:val="04StanowiskoAdresata"/>
        <w:suppressAutoHyphens/>
        <w:spacing w:line="276" w:lineRule="auto"/>
        <w:jc w:val="left"/>
      </w:pPr>
      <w:r>
        <w:t>…………………………………..</w:t>
      </w:r>
    </w:p>
    <w:p w14:paraId="272A8CAB" w14:textId="45D11E2B" w:rsidR="00385746" w:rsidRDefault="007569E0" w:rsidP="00385746">
      <w:pPr>
        <w:pStyle w:val="04StanowiskoAdresata"/>
        <w:suppressAutoHyphens/>
        <w:spacing w:line="276" w:lineRule="auto"/>
        <w:jc w:val="left"/>
      </w:pPr>
      <w:r>
        <w:t xml:space="preserve">ul. </w:t>
      </w:r>
      <w:r w:rsidR="00905202">
        <w:t>……………………………</w:t>
      </w:r>
    </w:p>
    <w:p w14:paraId="26634ACC" w14:textId="6B3A0FA2" w:rsidR="00385746" w:rsidRDefault="00905202" w:rsidP="00385746">
      <w:pPr>
        <w:pStyle w:val="04StanowiskoAdresata"/>
        <w:suppressAutoHyphens/>
        <w:spacing w:line="276" w:lineRule="auto"/>
        <w:jc w:val="left"/>
      </w:pPr>
      <w:r>
        <w:t>………………………………..</w:t>
      </w:r>
    </w:p>
    <w:p w14:paraId="279D6B32" w14:textId="77777777" w:rsidR="00385746" w:rsidRDefault="00385746" w:rsidP="00385746">
      <w:pPr>
        <w:pStyle w:val="04StanowiskoAdresata"/>
        <w:suppressAutoHyphens/>
      </w:pPr>
    </w:p>
    <w:p w14:paraId="5D261C8D" w14:textId="77777777" w:rsidR="00385746" w:rsidRDefault="00385746" w:rsidP="00385746">
      <w:pPr>
        <w:pStyle w:val="04StanowiskoAdresata"/>
        <w:suppressAutoHyphens/>
      </w:pPr>
      <w:r>
        <w:tab/>
      </w:r>
    </w:p>
    <w:p w14:paraId="1A2240B1" w14:textId="77777777" w:rsidR="00385746" w:rsidRDefault="00385746" w:rsidP="00385746">
      <w:pPr>
        <w:pStyle w:val="Nagwek1"/>
        <w:suppressAutoHyphens/>
        <w:ind w:left="4248" w:firstLine="708"/>
        <w:jc w:val="both"/>
        <w:rPr>
          <w:rFonts w:ascii="Verdana" w:hAnsi="Verdana"/>
          <w:b w:val="0"/>
          <w:szCs w:val="22"/>
        </w:rPr>
      </w:pPr>
    </w:p>
    <w:p w14:paraId="2F187642" w14:textId="22B0791B" w:rsidR="00385746" w:rsidRDefault="00385746" w:rsidP="00385746">
      <w:pPr>
        <w:pStyle w:val="08Sygnaturapisma"/>
        <w:suppressAutoHyphens/>
        <w:ind w:left="4248"/>
        <w:rPr>
          <w:rStyle w:val="displayonly"/>
          <w:sz w:val="20"/>
          <w:szCs w:val="20"/>
        </w:rPr>
      </w:pPr>
      <w:r>
        <w:t xml:space="preserve">                   </w:t>
      </w:r>
      <w:r w:rsidR="00D85937">
        <w:tab/>
      </w:r>
      <w:r w:rsidR="001F71F0">
        <w:fldChar w:fldCharType="begin"/>
      </w:r>
      <w:r w:rsidR="001F71F0">
        <w:instrText xml:space="preserve"> DOCVARIABLE miasto \* MERGEFORMAT </w:instrText>
      </w:r>
      <w:r w:rsidR="001F71F0">
        <w:fldChar w:fldCharType="separate"/>
      </w:r>
      <w:r>
        <w:rPr>
          <w:sz w:val="20"/>
        </w:rPr>
        <w:t>Wrocław</w:t>
      </w:r>
      <w:r w:rsidR="001F71F0">
        <w:rPr>
          <w:sz w:val="20"/>
        </w:rPr>
        <w:fldChar w:fldCharType="end"/>
      </w:r>
      <w:r>
        <w:rPr>
          <w:sz w:val="20"/>
        </w:rPr>
        <w:t>,</w:t>
      </w:r>
      <w:r w:rsidR="00D85937">
        <w:rPr>
          <w:sz w:val="20"/>
        </w:rPr>
        <w:t xml:space="preserve"> </w:t>
      </w:r>
      <w:r w:rsidR="0005237E">
        <w:rPr>
          <w:sz w:val="20"/>
        </w:rPr>
        <w:t>09</w:t>
      </w:r>
      <w:r w:rsidR="00D85937">
        <w:rPr>
          <w:sz w:val="20"/>
        </w:rPr>
        <w:t>.0</w:t>
      </w:r>
      <w:r w:rsidR="00321515">
        <w:rPr>
          <w:sz w:val="20"/>
        </w:rPr>
        <w:t>5</w:t>
      </w:r>
      <w:r w:rsidR="00D85937">
        <w:rPr>
          <w:sz w:val="20"/>
        </w:rPr>
        <w:t>.202</w:t>
      </w:r>
      <w:r w:rsidR="00C20FB0">
        <w:rPr>
          <w:sz w:val="20"/>
        </w:rPr>
        <w:t>5</w:t>
      </w:r>
      <w:r w:rsidR="00D85937">
        <w:rPr>
          <w:sz w:val="20"/>
        </w:rPr>
        <w:t>r.</w:t>
      </w:r>
      <w:r w:rsidR="002370FE">
        <w:rPr>
          <w:sz w:val="20"/>
        </w:rPr>
        <w:t xml:space="preserve">         </w:t>
      </w:r>
    </w:p>
    <w:p w14:paraId="587D7F0B" w14:textId="77777777" w:rsidR="00385746" w:rsidRDefault="00385746" w:rsidP="00385746">
      <w:pPr>
        <w:suppressAutoHyphens/>
        <w:jc w:val="both"/>
        <w:rPr>
          <w:rFonts w:ascii="Verdana" w:hAnsi="Verdana"/>
          <w:szCs w:val="22"/>
        </w:rPr>
      </w:pPr>
    </w:p>
    <w:p w14:paraId="314C2D92" w14:textId="77777777" w:rsidR="00F23D71" w:rsidRPr="00F23D71" w:rsidRDefault="00F23D71" w:rsidP="00385746">
      <w:pPr>
        <w:suppressAutoHyphens/>
        <w:jc w:val="both"/>
        <w:rPr>
          <w:rFonts w:ascii="Verdana" w:hAnsi="Verdana"/>
          <w:sz w:val="20"/>
          <w:szCs w:val="22"/>
        </w:rPr>
      </w:pPr>
      <w:r w:rsidRPr="00F23D71">
        <w:rPr>
          <w:rFonts w:ascii="Verdana" w:hAnsi="Verdana"/>
          <w:sz w:val="20"/>
          <w:szCs w:val="22"/>
        </w:rPr>
        <w:t>WPO-DNT.310.1.1.2025.PR</w:t>
      </w:r>
    </w:p>
    <w:p w14:paraId="78CD5AF4" w14:textId="0134D072" w:rsidR="00385746" w:rsidRDefault="00385746" w:rsidP="00385746">
      <w:pPr>
        <w:suppressAutoHyphens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KOD PODATNIKA: </w:t>
      </w:r>
      <w:r w:rsidR="00905202">
        <w:rPr>
          <w:rFonts w:ascii="Verdana" w:hAnsi="Verdana"/>
          <w:sz w:val="20"/>
          <w:szCs w:val="22"/>
        </w:rPr>
        <w:t>…………..</w:t>
      </w:r>
    </w:p>
    <w:p w14:paraId="792740D1" w14:textId="77777777" w:rsidR="00385746" w:rsidRDefault="00385746" w:rsidP="00385746">
      <w:pPr>
        <w:suppressAutoHyphens/>
        <w:jc w:val="both"/>
        <w:rPr>
          <w:rFonts w:ascii="Verdana" w:hAnsi="Verdana"/>
          <w:sz w:val="20"/>
          <w:szCs w:val="22"/>
        </w:rPr>
      </w:pPr>
    </w:p>
    <w:p w14:paraId="71EE8DA1" w14:textId="3FAE49F2" w:rsidR="00385746" w:rsidRDefault="00385746" w:rsidP="00385746">
      <w:pPr>
        <w:suppressAutoHyphens/>
        <w:jc w:val="both"/>
        <w:rPr>
          <w:rFonts w:ascii="Verdana" w:hAnsi="Verdana"/>
          <w:sz w:val="20"/>
          <w:szCs w:val="20"/>
        </w:rPr>
      </w:pPr>
    </w:p>
    <w:p w14:paraId="1C5791D2" w14:textId="77777777" w:rsidR="009A0794" w:rsidRPr="00A27DFA" w:rsidRDefault="009A0794" w:rsidP="00385746">
      <w:pPr>
        <w:suppressAutoHyphens/>
        <w:jc w:val="both"/>
        <w:rPr>
          <w:rFonts w:ascii="Verdana" w:hAnsi="Verdana"/>
          <w:sz w:val="20"/>
          <w:szCs w:val="20"/>
        </w:rPr>
      </w:pPr>
    </w:p>
    <w:p w14:paraId="67BC557E" w14:textId="77777777" w:rsidR="00385746" w:rsidRDefault="00385746" w:rsidP="00385746">
      <w:pPr>
        <w:suppressAutoHyphens/>
        <w:jc w:val="both"/>
      </w:pPr>
    </w:p>
    <w:p w14:paraId="71652297" w14:textId="77777777" w:rsidR="00385746" w:rsidRDefault="00385746" w:rsidP="00385746">
      <w:pPr>
        <w:suppressAutoHyphens/>
        <w:jc w:val="center"/>
        <w:rPr>
          <w:rFonts w:ascii="Verdana" w:hAnsi="Verdana"/>
          <w:b/>
          <w:sz w:val="20"/>
          <w:szCs w:val="22"/>
        </w:rPr>
      </w:pPr>
      <w:r w:rsidRPr="00C66FF7">
        <w:rPr>
          <w:rFonts w:ascii="Verdana" w:hAnsi="Verdana"/>
          <w:b/>
          <w:sz w:val="20"/>
          <w:szCs w:val="22"/>
        </w:rPr>
        <w:t>Interpretacja indywidualna przepisów prawa podatkowego</w:t>
      </w:r>
    </w:p>
    <w:p w14:paraId="4FECF2BD" w14:textId="77777777" w:rsidR="00181ACD" w:rsidRDefault="00181ACD" w:rsidP="00385746">
      <w:pPr>
        <w:suppressAutoHyphens/>
        <w:jc w:val="center"/>
        <w:rPr>
          <w:rFonts w:ascii="Verdana" w:hAnsi="Verdana"/>
          <w:b/>
          <w:sz w:val="20"/>
          <w:szCs w:val="22"/>
        </w:rPr>
      </w:pPr>
    </w:p>
    <w:p w14:paraId="50292E7A" w14:textId="77777777" w:rsidR="00385746" w:rsidRPr="00C66FF7" w:rsidRDefault="00385746" w:rsidP="00385746">
      <w:pPr>
        <w:suppressAutoHyphens/>
        <w:jc w:val="center"/>
        <w:rPr>
          <w:rFonts w:ascii="Verdana" w:hAnsi="Verdana"/>
          <w:b/>
          <w:sz w:val="20"/>
          <w:szCs w:val="22"/>
        </w:rPr>
      </w:pPr>
    </w:p>
    <w:p w14:paraId="3D381463" w14:textId="08CCAA26" w:rsidR="00FF1316" w:rsidRDefault="00385746" w:rsidP="00A22CB7">
      <w:pPr>
        <w:pStyle w:val="11Trescpisma"/>
        <w:rPr>
          <w:szCs w:val="20"/>
        </w:rPr>
      </w:pPr>
      <w:r>
        <w:t xml:space="preserve">Na </w:t>
      </w:r>
      <w:r w:rsidRPr="003C37CB">
        <w:t xml:space="preserve">podstawie art. </w:t>
      </w:r>
      <w:r>
        <w:t xml:space="preserve">14b, art. 14c i art. </w:t>
      </w:r>
      <w:r w:rsidRPr="003C37CB">
        <w:t>14j §</w:t>
      </w:r>
      <w:r>
        <w:t xml:space="preserve">1 ustawy z dnia 29 sierpnia 1997 r. Ordynacja podatkowa </w:t>
      </w:r>
      <w:r>
        <w:rPr>
          <w:rFonts w:eastAsia="Calibri" w:cs="Helv"/>
          <w:color w:val="000000"/>
          <w:szCs w:val="20"/>
        </w:rPr>
        <w:t>(Dz. U. z 202</w:t>
      </w:r>
      <w:r w:rsidR="000A55AA">
        <w:rPr>
          <w:rFonts w:eastAsia="Calibri" w:cs="Helv"/>
          <w:color w:val="000000"/>
          <w:szCs w:val="20"/>
        </w:rPr>
        <w:t>5</w:t>
      </w:r>
      <w:r w:rsidRPr="00CB3188">
        <w:rPr>
          <w:rFonts w:eastAsia="Calibri" w:cs="Helv"/>
          <w:color w:val="000000"/>
          <w:szCs w:val="20"/>
        </w:rPr>
        <w:t xml:space="preserve"> r. po</w:t>
      </w:r>
      <w:r w:rsidR="000D1C52">
        <w:rPr>
          <w:rFonts w:eastAsia="Calibri" w:cs="Helv"/>
          <w:color w:val="000000"/>
          <w:szCs w:val="20"/>
        </w:rPr>
        <w:t>z</w:t>
      </w:r>
      <w:r w:rsidR="000A55AA">
        <w:rPr>
          <w:rFonts w:eastAsia="Calibri" w:cs="Helv"/>
          <w:color w:val="000000"/>
          <w:szCs w:val="20"/>
        </w:rPr>
        <w:t>. 111</w:t>
      </w:r>
      <w:r w:rsidRPr="00CB3188">
        <w:rPr>
          <w:rFonts w:eastAsia="Calibri" w:cs="Helv"/>
          <w:color w:val="000000"/>
          <w:szCs w:val="20"/>
        </w:rPr>
        <w:t>)</w:t>
      </w:r>
      <w:r>
        <w:rPr>
          <w:rFonts w:ascii="Helv" w:eastAsia="Calibri" w:hAnsi="Helv" w:cs="Helv"/>
          <w:color w:val="000000"/>
          <w:sz w:val="22"/>
          <w:szCs w:val="22"/>
        </w:rPr>
        <w:t xml:space="preserve"> </w:t>
      </w:r>
      <w:r>
        <w:t>w związku z art. 1c ustawy z dnia 12 stycznia 1991 r. o podatkach i opłatach lokalnych (Dz. U. z 202</w:t>
      </w:r>
      <w:r w:rsidR="00506CFB">
        <w:t>3</w:t>
      </w:r>
      <w:r>
        <w:t xml:space="preserve"> r. poz. </w:t>
      </w:r>
      <w:r w:rsidR="00506CFB">
        <w:t xml:space="preserve">70 </w:t>
      </w:r>
      <w:r w:rsidR="009852A2">
        <w:br/>
      </w:r>
      <w:r w:rsidR="00506CFB">
        <w:t>z późn.zm.</w:t>
      </w:r>
      <w:r>
        <w:t xml:space="preserve"> dalej </w:t>
      </w:r>
      <w:proofErr w:type="spellStart"/>
      <w:r>
        <w:t>upol</w:t>
      </w:r>
      <w:proofErr w:type="spellEnd"/>
      <w:r>
        <w:t>),</w:t>
      </w:r>
      <w:r w:rsidR="002C40D4">
        <w:t xml:space="preserve"> </w:t>
      </w:r>
      <w:r w:rsidRPr="00E508B6">
        <w:t xml:space="preserve">po rozpatrzeniu wniosku o wydanie indywidualnej interpretacji przepisów prawa podatkowego </w:t>
      </w:r>
      <w:r w:rsidR="002F3607">
        <w:t xml:space="preserve">spółki </w:t>
      </w:r>
      <w:r w:rsidR="000F619E">
        <w:t>………………..</w:t>
      </w:r>
      <w:r w:rsidR="002F3607">
        <w:t xml:space="preserve"> Sp. z o.o.</w:t>
      </w:r>
      <w:r w:rsidR="00E805BF">
        <w:t>,</w:t>
      </w:r>
      <w:r w:rsidR="002F3607">
        <w:t xml:space="preserve"> </w:t>
      </w:r>
      <w:r>
        <w:t xml:space="preserve">który wpłynął </w:t>
      </w:r>
      <w:r w:rsidR="000A55AA">
        <w:t>10</w:t>
      </w:r>
      <w:r>
        <w:t xml:space="preserve"> </w:t>
      </w:r>
      <w:r w:rsidR="002F3607">
        <w:t>kwietnia</w:t>
      </w:r>
      <w:r>
        <w:t xml:space="preserve"> 202</w:t>
      </w:r>
      <w:r w:rsidR="000A55AA">
        <w:t>5</w:t>
      </w:r>
      <w:r w:rsidRPr="00E508B6">
        <w:t xml:space="preserve"> r. w sprawie</w:t>
      </w:r>
      <w:r w:rsidR="005F4A85">
        <w:t xml:space="preserve"> </w:t>
      </w:r>
      <w:r w:rsidR="00B16D94">
        <w:rPr>
          <w:szCs w:val="20"/>
        </w:rPr>
        <w:t xml:space="preserve">opodatkowania budynku </w:t>
      </w:r>
      <w:r w:rsidR="006D4B34">
        <w:rPr>
          <w:szCs w:val="20"/>
        </w:rPr>
        <w:t xml:space="preserve">po całkowitym </w:t>
      </w:r>
      <w:r w:rsidR="009852A2">
        <w:rPr>
          <w:szCs w:val="20"/>
        </w:rPr>
        <w:br/>
      </w:r>
      <w:r w:rsidR="006D4B34">
        <w:rPr>
          <w:szCs w:val="20"/>
        </w:rPr>
        <w:t>i trwałym usunięciu dachu</w:t>
      </w:r>
      <w:r w:rsidR="00E805BF">
        <w:rPr>
          <w:szCs w:val="20"/>
        </w:rPr>
        <w:t>,</w:t>
      </w:r>
      <w:r w:rsidR="006D4F5D">
        <w:rPr>
          <w:szCs w:val="20"/>
        </w:rPr>
        <w:t xml:space="preserve"> </w:t>
      </w:r>
      <w:r w:rsidR="006D4F5D" w:rsidRPr="006D4F5D">
        <w:rPr>
          <w:rFonts w:cs="Arial"/>
          <w:bCs/>
          <w:szCs w:val="20"/>
        </w:rPr>
        <w:t xml:space="preserve">organ podatkowy </w:t>
      </w:r>
      <w:r w:rsidR="006D4F5D" w:rsidRPr="006D4F5D">
        <w:rPr>
          <w:bCs/>
        </w:rPr>
        <w:t xml:space="preserve">uznaje stanowisko </w:t>
      </w:r>
      <w:r w:rsidR="00F958BF">
        <w:rPr>
          <w:bCs/>
        </w:rPr>
        <w:t>W</w:t>
      </w:r>
      <w:r w:rsidR="006D4F5D" w:rsidRPr="006D4F5D">
        <w:rPr>
          <w:bCs/>
        </w:rPr>
        <w:t>nioskodawcy</w:t>
      </w:r>
    </w:p>
    <w:p w14:paraId="72FA6346" w14:textId="2D917E87" w:rsidR="00385746" w:rsidRDefault="006D4F5D" w:rsidP="00A22CB7">
      <w:pPr>
        <w:pStyle w:val="11Trescpisma"/>
        <w:numPr>
          <w:ilvl w:val="0"/>
          <w:numId w:val="23"/>
        </w:numPr>
        <w:rPr>
          <w:b/>
        </w:rPr>
      </w:pPr>
      <w:r>
        <w:rPr>
          <w:b/>
        </w:rPr>
        <w:t xml:space="preserve">za </w:t>
      </w:r>
      <w:r w:rsidR="00385746" w:rsidRPr="00FD20D5">
        <w:rPr>
          <w:b/>
        </w:rPr>
        <w:t xml:space="preserve">prawidłowe i </w:t>
      </w:r>
      <w:r w:rsidR="00385746">
        <w:rPr>
          <w:b/>
        </w:rPr>
        <w:t>stwierdza, że</w:t>
      </w:r>
      <w:r w:rsidR="00367B73">
        <w:rPr>
          <w:b/>
        </w:rPr>
        <w:t xml:space="preserve"> </w:t>
      </w:r>
      <w:r w:rsidR="0004691C">
        <w:rPr>
          <w:b/>
        </w:rPr>
        <w:t xml:space="preserve">trwałe </w:t>
      </w:r>
      <w:r w:rsidR="00E92C7A">
        <w:rPr>
          <w:b/>
        </w:rPr>
        <w:t xml:space="preserve">i całkowite </w:t>
      </w:r>
      <w:r w:rsidR="00816BB3">
        <w:rPr>
          <w:b/>
        </w:rPr>
        <w:t>usunięcie</w:t>
      </w:r>
      <w:r w:rsidR="00E92C7A">
        <w:rPr>
          <w:b/>
        </w:rPr>
        <w:t xml:space="preserve"> dachu</w:t>
      </w:r>
      <w:r w:rsidR="00816BB3">
        <w:rPr>
          <w:b/>
        </w:rPr>
        <w:t xml:space="preserve"> </w:t>
      </w:r>
      <w:r w:rsidR="00E92C7A">
        <w:rPr>
          <w:b/>
        </w:rPr>
        <w:br/>
      </w:r>
      <w:r w:rsidR="00816BB3">
        <w:rPr>
          <w:b/>
        </w:rPr>
        <w:t>w toku procesu rozb</w:t>
      </w:r>
      <w:r w:rsidR="00774F83">
        <w:rPr>
          <w:b/>
        </w:rPr>
        <w:t xml:space="preserve">iórki </w:t>
      </w:r>
      <w:r w:rsidR="00E92C7A">
        <w:rPr>
          <w:b/>
        </w:rPr>
        <w:t>budynku</w:t>
      </w:r>
      <w:r w:rsidR="00ED504F">
        <w:rPr>
          <w:b/>
        </w:rPr>
        <w:t>,</w:t>
      </w:r>
      <w:r w:rsidR="00E92C7A">
        <w:rPr>
          <w:b/>
        </w:rPr>
        <w:t xml:space="preserve"> </w:t>
      </w:r>
      <w:r w:rsidR="004E710C">
        <w:rPr>
          <w:b/>
        </w:rPr>
        <w:t>stanowić</w:t>
      </w:r>
      <w:r w:rsidR="00774F83">
        <w:rPr>
          <w:b/>
        </w:rPr>
        <w:t xml:space="preserve"> będzie okoliczność, uzasadniającą </w:t>
      </w:r>
      <w:r w:rsidR="004E710C">
        <w:rPr>
          <w:b/>
        </w:rPr>
        <w:t>wygaśnięcie</w:t>
      </w:r>
      <w:r w:rsidR="00774F83">
        <w:rPr>
          <w:b/>
        </w:rPr>
        <w:t xml:space="preserve"> obowiązku podatkowego od budynku </w:t>
      </w:r>
      <w:r w:rsidR="00880FBC">
        <w:rPr>
          <w:b/>
        </w:rPr>
        <w:br/>
      </w:r>
      <w:r w:rsidR="00774F83">
        <w:rPr>
          <w:b/>
        </w:rPr>
        <w:t xml:space="preserve">w zakresie podatku od nieruchomości </w:t>
      </w:r>
      <w:r w:rsidR="00880FBC">
        <w:rPr>
          <w:b/>
        </w:rPr>
        <w:t>,</w:t>
      </w:r>
    </w:p>
    <w:p w14:paraId="59257AED" w14:textId="7CF8D5D1" w:rsidR="006D4F5D" w:rsidRDefault="006D4F5D" w:rsidP="00A22CB7">
      <w:pPr>
        <w:pStyle w:val="11Trescpisma"/>
        <w:numPr>
          <w:ilvl w:val="0"/>
          <w:numId w:val="23"/>
        </w:numPr>
        <w:rPr>
          <w:b/>
        </w:rPr>
      </w:pPr>
      <w:r>
        <w:rPr>
          <w:b/>
        </w:rPr>
        <w:t xml:space="preserve">za prawidłowe </w:t>
      </w:r>
      <w:r w:rsidR="000B45C7">
        <w:rPr>
          <w:b/>
        </w:rPr>
        <w:t xml:space="preserve">i stwierdza, że po </w:t>
      </w:r>
      <w:r w:rsidR="002848A5">
        <w:rPr>
          <w:b/>
        </w:rPr>
        <w:t xml:space="preserve">trwałym i </w:t>
      </w:r>
      <w:r w:rsidR="000B45C7">
        <w:rPr>
          <w:b/>
        </w:rPr>
        <w:t xml:space="preserve">całkowitym usunięciu dachu </w:t>
      </w:r>
      <w:r w:rsidR="002848A5">
        <w:rPr>
          <w:b/>
        </w:rPr>
        <w:t>w toku procesu rozbiórki budynku</w:t>
      </w:r>
      <w:r w:rsidR="00966005">
        <w:rPr>
          <w:b/>
        </w:rPr>
        <w:t>,</w:t>
      </w:r>
      <w:r w:rsidR="002848A5">
        <w:rPr>
          <w:b/>
        </w:rPr>
        <w:t xml:space="preserve"> </w:t>
      </w:r>
      <w:r w:rsidR="000B45C7">
        <w:rPr>
          <w:b/>
        </w:rPr>
        <w:t>nie będzie</w:t>
      </w:r>
      <w:r w:rsidR="00DA0D66">
        <w:rPr>
          <w:b/>
        </w:rPr>
        <w:t xml:space="preserve"> on</w:t>
      </w:r>
      <w:r w:rsidR="000B45C7">
        <w:rPr>
          <w:b/>
        </w:rPr>
        <w:t xml:space="preserve"> stanowił budowli</w:t>
      </w:r>
      <w:r w:rsidR="00C86066">
        <w:rPr>
          <w:b/>
        </w:rPr>
        <w:t xml:space="preserve">, </w:t>
      </w:r>
      <w:r w:rsidR="000B45C7">
        <w:rPr>
          <w:b/>
        </w:rPr>
        <w:t>podlegającej opodatkowaniu podatkiem od nieruchomości.</w:t>
      </w:r>
    </w:p>
    <w:p w14:paraId="366BB085" w14:textId="5C5FC065" w:rsidR="009A0794" w:rsidRDefault="009A0794" w:rsidP="00A22CB7">
      <w:pPr>
        <w:suppressAutoHyphens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2609FE2A" w14:textId="6681F503" w:rsidR="00385746" w:rsidRDefault="00385746" w:rsidP="009A0794">
      <w:pPr>
        <w:suppressAutoHyphens/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803F7">
        <w:rPr>
          <w:rFonts w:ascii="Verdana" w:hAnsi="Verdana"/>
          <w:b/>
          <w:sz w:val="20"/>
          <w:szCs w:val="20"/>
        </w:rPr>
        <w:t xml:space="preserve"> Z A S A D N I E N I E</w:t>
      </w:r>
    </w:p>
    <w:p w14:paraId="22A1581F" w14:textId="77777777" w:rsidR="009A0794" w:rsidRPr="008803F7" w:rsidRDefault="009A0794" w:rsidP="009A0794">
      <w:pPr>
        <w:suppressAutoHyphen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A48FD03" w14:textId="2A7053F1" w:rsidR="00C630DF" w:rsidRDefault="00C630DF" w:rsidP="00A22CB7">
      <w:pPr>
        <w:jc w:val="both"/>
        <w:rPr>
          <w:rFonts w:ascii="Verdana" w:hAnsi="Verdana"/>
          <w:sz w:val="20"/>
          <w:szCs w:val="18"/>
        </w:rPr>
      </w:pPr>
      <w:r w:rsidRPr="00A22CB7">
        <w:rPr>
          <w:rFonts w:ascii="Verdana" w:hAnsi="Verdana"/>
          <w:sz w:val="20"/>
          <w:szCs w:val="18"/>
        </w:rPr>
        <w:t xml:space="preserve">W dniu 10.04.2025r. (data wpływu do urzędu)  </w:t>
      </w:r>
      <w:r w:rsidR="00BA6908" w:rsidRPr="00A22CB7">
        <w:rPr>
          <w:rFonts w:ascii="Verdana" w:hAnsi="Verdana"/>
          <w:sz w:val="20"/>
          <w:szCs w:val="18"/>
        </w:rPr>
        <w:t>Wnioskodawca</w:t>
      </w:r>
      <w:r w:rsidRPr="00A22CB7">
        <w:rPr>
          <w:rFonts w:ascii="Verdana" w:hAnsi="Verdana"/>
          <w:sz w:val="20"/>
          <w:szCs w:val="18"/>
        </w:rPr>
        <w:t xml:space="preserve"> złożył wniosek </w:t>
      </w:r>
      <w:r w:rsidR="00BA6908" w:rsidRPr="00A22CB7">
        <w:rPr>
          <w:rFonts w:ascii="Verdana" w:hAnsi="Verdana"/>
          <w:sz w:val="20"/>
          <w:szCs w:val="18"/>
        </w:rPr>
        <w:br/>
      </w:r>
      <w:r w:rsidRPr="00A22CB7">
        <w:rPr>
          <w:rFonts w:ascii="Verdana" w:hAnsi="Verdana"/>
          <w:sz w:val="20"/>
          <w:szCs w:val="18"/>
        </w:rPr>
        <w:t>o wydanie interpretacji indywidualnej</w:t>
      </w:r>
      <w:r w:rsidR="00D46BBF" w:rsidRPr="00A22CB7">
        <w:rPr>
          <w:rFonts w:ascii="Verdana" w:hAnsi="Verdana"/>
          <w:sz w:val="20"/>
          <w:szCs w:val="18"/>
        </w:rPr>
        <w:t xml:space="preserve">, w sprawie opodatkowania budynku, który </w:t>
      </w:r>
      <w:r w:rsidR="00BA6908" w:rsidRPr="00A22CB7">
        <w:rPr>
          <w:rFonts w:ascii="Verdana" w:hAnsi="Verdana"/>
          <w:sz w:val="20"/>
          <w:szCs w:val="18"/>
        </w:rPr>
        <w:br/>
      </w:r>
      <w:r w:rsidR="00D46BBF" w:rsidRPr="00A22CB7">
        <w:rPr>
          <w:rFonts w:ascii="Verdana" w:hAnsi="Verdana"/>
          <w:sz w:val="20"/>
          <w:szCs w:val="18"/>
        </w:rPr>
        <w:t xml:space="preserve">w wyniku procesu rozbiórki </w:t>
      </w:r>
      <w:r w:rsidR="002848A5">
        <w:rPr>
          <w:rFonts w:ascii="Verdana" w:hAnsi="Verdana"/>
          <w:sz w:val="20"/>
          <w:szCs w:val="18"/>
        </w:rPr>
        <w:t>będzie miał</w:t>
      </w:r>
      <w:r w:rsidR="00D46BBF" w:rsidRPr="00A22CB7">
        <w:rPr>
          <w:rFonts w:ascii="Verdana" w:hAnsi="Verdana"/>
          <w:sz w:val="20"/>
          <w:szCs w:val="18"/>
        </w:rPr>
        <w:t xml:space="preserve"> całkowicie i trwale usunięty dach. </w:t>
      </w:r>
    </w:p>
    <w:p w14:paraId="3B4F7C1F" w14:textId="771D2B36" w:rsidR="001C4AEA" w:rsidRPr="001855C6" w:rsidRDefault="00CA7BF2" w:rsidP="001C4AEA">
      <w:p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……………………….</w:t>
      </w:r>
      <w:r w:rsidR="001C4AEA" w:rsidRPr="001855C6">
        <w:rPr>
          <w:rFonts w:ascii="Verdana" w:hAnsi="Verdana"/>
          <w:sz w:val="20"/>
          <w:szCs w:val="18"/>
        </w:rPr>
        <w:t xml:space="preserve">  sp. z o.o. jest polską spółką kapitałową, posiadającą siedzibę działalności gospodarczej w Polsce. W 2024 r. spółka podpisała umowę przedwstępną, dotyczącą nabycia użytkowania wieczystego nieruchomości, </w:t>
      </w:r>
      <w:r w:rsidR="001C4AEA" w:rsidRPr="001855C6">
        <w:rPr>
          <w:rFonts w:ascii="Verdana" w:hAnsi="Verdana"/>
          <w:sz w:val="20"/>
          <w:szCs w:val="18"/>
        </w:rPr>
        <w:lastRenderedPageBreak/>
        <w:t xml:space="preserve">położonej we Wrocławiu przy ul. </w:t>
      </w:r>
      <w:r w:rsidR="00E0330B">
        <w:rPr>
          <w:rFonts w:ascii="Verdana" w:hAnsi="Verdana"/>
          <w:sz w:val="20"/>
          <w:szCs w:val="18"/>
        </w:rPr>
        <w:t>…………..</w:t>
      </w:r>
      <w:r w:rsidR="001C4AEA" w:rsidRPr="001855C6">
        <w:rPr>
          <w:rFonts w:ascii="Verdana" w:hAnsi="Verdana"/>
          <w:sz w:val="20"/>
          <w:szCs w:val="18"/>
        </w:rPr>
        <w:t>. Spółka zamierza dokonać finalnego nabycia ww. nieruchomości w trakcie 2025 r. W stosunku do budynku została wydana już decyzja o pozwoleniu na rozbiórkę. Prace budowlane będą podzielone na etapy. W pierwszym etapie zostanie usunięty dach w 100 %</w:t>
      </w:r>
      <w:r w:rsidR="00D27F14">
        <w:rPr>
          <w:rFonts w:ascii="Verdana" w:hAnsi="Verdana"/>
          <w:sz w:val="20"/>
          <w:szCs w:val="18"/>
        </w:rPr>
        <w:t xml:space="preserve">, co zostanie potwierdzone odpowiednim wpisem w dzienniku budowy. </w:t>
      </w:r>
    </w:p>
    <w:p w14:paraId="46335BA4" w14:textId="77777777" w:rsidR="001C4AEA" w:rsidRDefault="001C4AEA" w:rsidP="00A22CB7">
      <w:pPr>
        <w:jc w:val="both"/>
        <w:rPr>
          <w:rFonts w:ascii="Verdana" w:hAnsi="Verdana"/>
          <w:sz w:val="20"/>
          <w:szCs w:val="18"/>
        </w:rPr>
      </w:pPr>
    </w:p>
    <w:p w14:paraId="44198BE4" w14:textId="55E455E7" w:rsidR="006D1FA9" w:rsidRPr="00A22CB7" w:rsidRDefault="006D1FA9" w:rsidP="00A22CB7">
      <w:pPr>
        <w:pStyle w:val="textjustify"/>
        <w:shd w:val="clear" w:color="auto" w:fill="FFFFFF"/>
        <w:spacing w:before="0" w:beforeAutospacing="0"/>
        <w:jc w:val="both"/>
        <w:rPr>
          <w:rFonts w:ascii="Verdana" w:hAnsi="Verdana"/>
          <w:sz w:val="20"/>
          <w:szCs w:val="18"/>
        </w:rPr>
      </w:pPr>
      <w:r w:rsidRPr="00A22CB7">
        <w:rPr>
          <w:rFonts w:ascii="Verdana" w:hAnsi="Verdana"/>
          <w:sz w:val="20"/>
          <w:szCs w:val="18"/>
        </w:rPr>
        <w:t xml:space="preserve">W związku z powyższym Wnioskodawca zwrócił się o wykładnię przepisów ustawy </w:t>
      </w:r>
      <w:r w:rsidR="0075394C">
        <w:rPr>
          <w:rFonts w:ascii="Verdana" w:hAnsi="Verdana"/>
          <w:sz w:val="20"/>
          <w:szCs w:val="18"/>
        </w:rPr>
        <w:br/>
      </w:r>
      <w:r w:rsidRPr="00A22CB7">
        <w:rPr>
          <w:rFonts w:ascii="Verdana" w:hAnsi="Verdana"/>
          <w:sz w:val="20"/>
          <w:szCs w:val="18"/>
        </w:rPr>
        <w:t xml:space="preserve">z dnia 12 stycznia 1991 roku o podatkach i opłatach lokalnych (Dz. U. 2023 poz. 70 z </w:t>
      </w:r>
      <w:proofErr w:type="spellStart"/>
      <w:r w:rsidRPr="00A22CB7">
        <w:rPr>
          <w:rFonts w:ascii="Verdana" w:hAnsi="Verdana"/>
          <w:sz w:val="20"/>
          <w:szCs w:val="18"/>
        </w:rPr>
        <w:t>późn</w:t>
      </w:r>
      <w:proofErr w:type="spellEnd"/>
      <w:r w:rsidRPr="00A22CB7">
        <w:rPr>
          <w:rFonts w:ascii="Verdana" w:hAnsi="Verdana"/>
          <w:sz w:val="20"/>
          <w:szCs w:val="18"/>
        </w:rPr>
        <w:t xml:space="preserve">. zm.; dalej </w:t>
      </w:r>
      <w:proofErr w:type="spellStart"/>
      <w:r w:rsidRPr="00A22CB7">
        <w:rPr>
          <w:rFonts w:ascii="Verdana" w:hAnsi="Verdana"/>
          <w:sz w:val="20"/>
          <w:szCs w:val="18"/>
        </w:rPr>
        <w:t>upol</w:t>
      </w:r>
      <w:proofErr w:type="spellEnd"/>
      <w:r w:rsidRPr="00A22CB7">
        <w:rPr>
          <w:rFonts w:ascii="Verdana" w:hAnsi="Verdana"/>
          <w:sz w:val="20"/>
          <w:szCs w:val="18"/>
        </w:rPr>
        <w:t>) poprzez odpowiedź na pytania:</w:t>
      </w:r>
    </w:p>
    <w:p w14:paraId="4C0ECC8F" w14:textId="77777777" w:rsidR="006D1FA9" w:rsidRPr="00A22CB7" w:rsidRDefault="006D1FA9" w:rsidP="00A22CB7">
      <w:pPr>
        <w:pStyle w:val="Akapitzlist"/>
        <w:numPr>
          <w:ilvl w:val="0"/>
          <w:numId w:val="22"/>
        </w:numPr>
        <w:spacing w:after="160" w:line="259" w:lineRule="auto"/>
        <w:jc w:val="both"/>
        <w:rPr>
          <w:rFonts w:ascii="Verdana" w:hAnsi="Verdana"/>
          <w:sz w:val="20"/>
          <w:szCs w:val="18"/>
        </w:rPr>
      </w:pPr>
      <w:r w:rsidRPr="00A22CB7">
        <w:rPr>
          <w:rFonts w:ascii="Verdana" w:hAnsi="Verdana"/>
          <w:sz w:val="20"/>
          <w:szCs w:val="18"/>
        </w:rPr>
        <w:t>Czy usunięcie – w toku procesu rozbiórki - dachu budynku w całości stanowić będzie okoliczność, uzasadniającą wygaśnięcie obowiązku podatkowego od budynku w zakresie podatku od nieruchomości?</w:t>
      </w:r>
    </w:p>
    <w:p w14:paraId="6ECA5D44" w14:textId="77777777" w:rsidR="006D1FA9" w:rsidRPr="00A22CB7" w:rsidRDefault="006D1FA9" w:rsidP="00A22CB7">
      <w:pPr>
        <w:pStyle w:val="Akapitzlist"/>
        <w:numPr>
          <w:ilvl w:val="0"/>
          <w:numId w:val="22"/>
        </w:numPr>
        <w:spacing w:after="160" w:line="259" w:lineRule="auto"/>
        <w:jc w:val="both"/>
        <w:rPr>
          <w:rFonts w:ascii="Verdana" w:hAnsi="Verdana"/>
          <w:sz w:val="20"/>
          <w:szCs w:val="18"/>
        </w:rPr>
      </w:pPr>
      <w:r w:rsidRPr="00A22CB7">
        <w:rPr>
          <w:rFonts w:ascii="Verdana" w:hAnsi="Verdana"/>
          <w:sz w:val="20"/>
          <w:szCs w:val="18"/>
        </w:rPr>
        <w:t>Czy budynek - w toku procesu rozbiórki - po usunięciu dachu w całości będzie stanowił budowlę podlegającą opodatkowaniu podatkiem od nieruchomości?</w:t>
      </w:r>
    </w:p>
    <w:p w14:paraId="5A6D4158" w14:textId="77777777" w:rsidR="006D1FA9" w:rsidRPr="00A22CB7" w:rsidRDefault="006D1FA9" w:rsidP="00A22CB7">
      <w:pPr>
        <w:pStyle w:val="Tekstpodstawowy"/>
        <w:suppressAutoHyphens/>
        <w:spacing w:line="276" w:lineRule="auto"/>
        <w:ind w:left="360"/>
        <w:jc w:val="both"/>
        <w:rPr>
          <w:rFonts w:ascii="Verdana" w:hAnsi="Verdana"/>
          <w:sz w:val="20"/>
          <w:szCs w:val="18"/>
        </w:rPr>
      </w:pPr>
    </w:p>
    <w:p w14:paraId="2C70A4DC" w14:textId="309ADB9F" w:rsidR="006D1FA9" w:rsidRPr="000F12C2" w:rsidRDefault="006D1FA9" w:rsidP="00A22CB7">
      <w:pPr>
        <w:pStyle w:val="Tekstpodstawowy"/>
        <w:suppressAutoHyphens/>
        <w:spacing w:line="276" w:lineRule="auto"/>
        <w:jc w:val="both"/>
        <w:rPr>
          <w:rFonts w:ascii="Verdana" w:hAnsi="Verdana"/>
          <w:b/>
          <w:bCs/>
          <w:sz w:val="20"/>
          <w:szCs w:val="18"/>
        </w:rPr>
      </w:pPr>
      <w:r w:rsidRPr="000F12C2">
        <w:rPr>
          <w:rFonts w:ascii="Verdana" w:hAnsi="Verdana"/>
          <w:b/>
          <w:bCs/>
          <w:sz w:val="20"/>
          <w:szCs w:val="18"/>
        </w:rPr>
        <w:t>Wnioskodawca przedstawił następując</w:t>
      </w:r>
      <w:r w:rsidR="001C4AEA">
        <w:rPr>
          <w:rFonts w:ascii="Verdana" w:hAnsi="Verdana"/>
          <w:b/>
          <w:bCs/>
          <w:sz w:val="20"/>
          <w:szCs w:val="18"/>
        </w:rPr>
        <w:t>ą ocenę prawną.</w:t>
      </w:r>
    </w:p>
    <w:p w14:paraId="3B3717C4" w14:textId="77777777" w:rsidR="006D1FA9" w:rsidRPr="00A22CB7" w:rsidRDefault="006D1FA9" w:rsidP="00A22CB7">
      <w:pPr>
        <w:jc w:val="both"/>
        <w:rPr>
          <w:rFonts w:ascii="Verdana" w:hAnsi="Verdana"/>
          <w:sz w:val="20"/>
          <w:szCs w:val="18"/>
        </w:rPr>
      </w:pPr>
    </w:p>
    <w:p w14:paraId="6E390F9E" w14:textId="77777777" w:rsidR="00E464B0" w:rsidRPr="001C4AEA" w:rsidRDefault="00E464B0" w:rsidP="001C4AEA">
      <w:pPr>
        <w:jc w:val="both"/>
        <w:rPr>
          <w:rFonts w:ascii="Verdana" w:hAnsi="Verdana"/>
          <w:sz w:val="20"/>
          <w:szCs w:val="18"/>
        </w:rPr>
      </w:pPr>
    </w:p>
    <w:p w14:paraId="7E6CC5D6" w14:textId="71D32478" w:rsidR="00E464B0" w:rsidRPr="001855C6" w:rsidRDefault="003E34CC" w:rsidP="00A22CB7">
      <w:p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Zdaniem </w:t>
      </w:r>
      <w:r w:rsidR="00B67378">
        <w:rPr>
          <w:rFonts w:ascii="Verdana" w:hAnsi="Verdana"/>
          <w:sz w:val="20"/>
          <w:szCs w:val="18"/>
        </w:rPr>
        <w:t>Spółki,</w:t>
      </w:r>
      <w:r>
        <w:rPr>
          <w:rFonts w:ascii="Verdana" w:hAnsi="Verdana"/>
          <w:sz w:val="20"/>
          <w:szCs w:val="18"/>
        </w:rPr>
        <w:t xml:space="preserve"> u</w:t>
      </w:r>
      <w:r w:rsidR="00E464B0" w:rsidRPr="001855C6">
        <w:rPr>
          <w:rFonts w:ascii="Verdana" w:hAnsi="Verdana"/>
          <w:sz w:val="20"/>
          <w:szCs w:val="18"/>
        </w:rPr>
        <w:t>sunięcie dachu budynku w całości stanowić będzie okoliczność uzasadniającą wygaśnięcie obowiązku podatkowego w zakresie podatku od nieruchomości.</w:t>
      </w:r>
    </w:p>
    <w:p w14:paraId="2DEE8F77" w14:textId="75C93FE4" w:rsidR="00E464B0" w:rsidRPr="001855C6" w:rsidRDefault="00E464B0" w:rsidP="00A22CB7">
      <w:pPr>
        <w:jc w:val="both"/>
        <w:rPr>
          <w:rFonts w:ascii="Verdana" w:hAnsi="Verdana"/>
          <w:sz w:val="20"/>
          <w:szCs w:val="18"/>
        </w:rPr>
      </w:pPr>
      <w:r w:rsidRPr="001855C6">
        <w:rPr>
          <w:rFonts w:ascii="Verdana" w:hAnsi="Verdana"/>
          <w:sz w:val="20"/>
          <w:szCs w:val="18"/>
        </w:rPr>
        <w:t xml:space="preserve">Zgodnie z art. 1a pkt 1 </w:t>
      </w:r>
      <w:proofErr w:type="spellStart"/>
      <w:r w:rsidRPr="001855C6">
        <w:rPr>
          <w:rFonts w:ascii="Verdana" w:hAnsi="Verdana"/>
          <w:sz w:val="20"/>
          <w:szCs w:val="18"/>
        </w:rPr>
        <w:t>upol</w:t>
      </w:r>
      <w:proofErr w:type="spellEnd"/>
      <w:r w:rsidRPr="001855C6">
        <w:rPr>
          <w:rFonts w:ascii="Verdana" w:hAnsi="Verdana"/>
          <w:sz w:val="20"/>
          <w:szCs w:val="18"/>
        </w:rPr>
        <w:t xml:space="preserve"> budynek to obiekt wzniesiony w wyniku robót budowlanych, wraz z instalacjami zapewniającymi możliwość jego użytkowania zgodnie z przeznaczeniem, trwale związany z gruntem, wydzielony z przestrzeni za pomocą przegród  budowlanych, który posiada fundamenty i dach. </w:t>
      </w:r>
      <w:r w:rsidR="00AE48EF">
        <w:rPr>
          <w:rFonts w:ascii="Verdana" w:hAnsi="Verdana"/>
          <w:sz w:val="20"/>
          <w:szCs w:val="18"/>
        </w:rPr>
        <w:t xml:space="preserve">Z opisu zdarzenia przyszłego wynika, że pierwsza faza prac rozbiórkowych prowadzona przez Spółkę (po przyjęciu decyzji o pozwoleniu na rozbiórkę budynku) zakończy się całkowitą rozbiórką (usunięciem) dachu. </w:t>
      </w:r>
      <w:r w:rsidR="00AD4E9D">
        <w:rPr>
          <w:rFonts w:ascii="Verdana" w:hAnsi="Verdana"/>
          <w:sz w:val="20"/>
          <w:szCs w:val="18"/>
        </w:rPr>
        <w:t>Po tej fazie, budynek będzie obiektem otwartym/odsłoniętym z góry. Formalnym potwierdzeniem dokonania takiej zmiany w substancji budynku będzie wpis w dzienniku budowy/rozbiórki prowadzon</w:t>
      </w:r>
      <w:r w:rsidR="00CF75FF">
        <w:rPr>
          <w:rFonts w:ascii="Verdana" w:hAnsi="Verdana"/>
          <w:sz w:val="20"/>
          <w:szCs w:val="18"/>
        </w:rPr>
        <w:t>y</w:t>
      </w:r>
      <w:r w:rsidR="00CE7B7E">
        <w:rPr>
          <w:rFonts w:ascii="Verdana" w:hAnsi="Verdana"/>
          <w:sz w:val="20"/>
          <w:szCs w:val="18"/>
        </w:rPr>
        <w:t>m</w:t>
      </w:r>
      <w:r w:rsidR="00AD4E9D">
        <w:rPr>
          <w:rFonts w:ascii="Verdana" w:hAnsi="Verdana"/>
          <w:sz w:val="20"/>
          <w:szCs w:val="18"/>
        </w:rPr>
        <w:t xml:space="preserve"> zgodnie z zasadami prawa budowlanego. </w:t>
      </w:r>
    </w:p>
    <w:p w14:paraId="5AEFF4E2" w14:textId="4C9154F0" w:rsidR="00472730" w:rsidRDefault="00E464B0" w:rsidP="00A22CB7">
      <w:pPr>
        <w:jc w:val="both"/>
        <w:rPr>
          <w:rFonts w:ascii="Verdana" w:hAnsi="Verdana"/>
          <w:sz w:val="20"/>
          <w:szCs w:val="18"/>
        </w:rPr>
      </w:pPr>
      <w:r w:rsidRPr="001855C6">
        <w:rPr>
          <w:rFonts w:ascii="Verdana" w:hAnsi="Verdana"/>
          <w:sz w:val="20"/>
          <w:szCs w:val="18"/>
        </w:rPr>
        <w:t xml:space="preserve">Jak wynika z orzecznictwa sądów administracyjnych, pozbawienie budynku dachu powoduje, że cały obiekt przestaje być budynkiem dla potrzeb opodatkowania podatkiem od nieruchomości (m.in. wyroki Naczelnego Sądu Administracyjnego </w:t>
      </w:r>
      <w:r w:rsidR="005309AB">
        <w:rPr>
          <w:rFonts w:ascii="Verdana" w:hAnsi="Verdana"/>
          <w:sz w:val="20"/>
          <w:szCs w:val="18"/>
        </w:rPr>
        <w:br/>
      </w:r>
      <w:r w:rsidRPr="001855C6">
        <w:rPr>
          <w:rFonts w:ascii="Verdana" w:hAnsi="Verdana"/>
          <w:sz w:val="20"/>
          <w:szCs w:val="18"/>
        </w:rPr>
        <w:t xml:space="preserve">z dnia 3 kwietnia 2014r., sygn. akt II FSK 321/14; z dnia 6 października 2015r., sygn. akt II FSK 812/12; z dnia 27 sierpnia 2017r., sygn. akt II FSK 2933/17). </w:t>
      </w:r>
    </w:p>
    <w:p w14:paraId="078CD3CF" w14:textId="77777777" w:rsidR="00472730" w:rsidRDefault="00472730" w:rsidP="00A22CB7">
      <w:pPr>
        <w:jc w:val="both"/>
        <w:rPr>
          <w:rFonts w:ascii="Verdana" w:hAnsi="Verdana"/>
          <w:sz w:val="20"/>
          <w:szCs w:val="18"/>
        </w:rPr>
      </w:pPr>
    </w:p>
    <w:p w14:paraId="1B91CF3C" w14:textId="03C51569" w:rsidR="0085735E" w:rsidRDefault="00507BE7" w:rsidP="00A22CB7">
      <w:p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Zgodnie z definicją słownikową d</w:t>
      </w:r>
      <w:r w:rsidR="00472730">
        <w:rPr>
          <w:rFonts w:ascii="Verdana" w:hAnsi="Verdana"/>
          <w:sz w:val="20"/>
          <w:szCs w:val="18"/>
        </w:rPr>
        <w:t xml:space="preserve">achem jest „konstrukcja osłaniająca od góry budowlę lub teren </w:t>
      </w:r>
      <w:r w:rsidR="00F661F9">
        <w:rPr>
          <w:rFonts w:ascii="Verdana" w:hAnsi="Verdana"/>
          <w:sz w:val="20"/>
          <w:szCs w:val="18"/>
        </w:rPr>
        <w:t>przed</w:t>
      </w:r>
      <w:r w:rsidR="00472730">
        <w:rPr>
          <w:rFonts w:ascii="Verdana" w:hAnsi="Verdana"/>
          <w:sz w:val="20"/>
          <w:szCs w:val="18"/>
        </w:rPr>
        <w:t xml:space="preserve"> opadami atmosferycznymi, górna część </w:t>
      </w:r>
      <w:r w:rsidR="00F661F9">
        <w:rPr>
          <w:rFonts w:ascii="Verdana" w:hAnsi="Verdana"/>
          <w:sz w:val="20"/>
          <w:szCs w:val="18"/>
        </w:rPr>
        <w:t>jakiegoś</w:t>
      </w:r>
      <w:r w:rsidR="00472730">
        <w:rPr>
          <w:rFonts w:ascii="Verdana" w:hAnsi="Verdana"/>
          <w:sz w:val="20"/>
          <w:szCs w:val="18"/>
        </w:rPr>
        <w:t xml:space="preserve"> pojazdu, wierzchnia część osłoniętego </w:t>
      </w:r>
      <w:r w:rsidR="00F661F9">
        <w:rPr>
          <w:rFonts w:ascii="Verdana" w:hAnsi="Verdana"/>
          <w:sz w:val="20"/>
          <w:szCs w:val="18"/>
        </w:rPr>
        <w:t>wnętrza</w:t>
      </w:r>
      <w:r w:rsidR="00472730">
        <w:rPr>
          <w:rFonts w:ascii="Verdana" w:hAnsi="Verdana"/>
          <w:sz w:val="20"/>
          <w:szCs w:val="18"/>
        </w:rPr>
        <w:t xml:space="preserve">”. </w:t>
      </w:r>
      <w:r w:rsidR="004337A6">
        <w:rPr>
          <w:rFonts w:ascii="Verdana" w:hAnsi="Verdana"/>
          <w:sz w:val="20"/>
          <w:szCs w:val="18"/>
        </w:rPr>
        <w:t xml:space="preserve">Zatem przy tak zakreślonym rozumieniu pojęcia „dach”, jakim posłużono się w definicji </w:t>
      </w:r>
      <w:r w:rsidR="007C09B1">
        <w:rPr>
          <w:rFonts w:ascii="Verdana" w:hAnsi="Verdana"/>
          <w:sz w:val="20"/>
          <w:szCs w:val="18"/>
        </w:rPr>
        <w:t>budynku</w:t>
      </w:r>
      <w:r w:rsidR="004337A6">
        <w:rPr>
          <w:rFonts w:ascii="Verdana" w:hAnsi="Verdana"/>
          <w:sz w:val="20"/>
          <w:szCs w:val="18"/>
        </w:rPr>
        <w:t xml:space="preserve"> </w:t>
      </w:r>
      <w:r w:rsidR="007C09B1">
        <w:rPr>
          <w:rFonts w:ascii="Verdana" w:hAnsi="Verdana"/>
          <w:sz w:val="20"/>
          <w:szCs w:val="18"/>
        </w:rPr>
        <w:t>na</w:t>
      </w:r>
      <w:r w:rsidR="004337A6">
        <w:rPr>
          <w:rFonts w:ascii="Verdana" w:hAnsi="Verdana"/>
          <w:sz w:val="20"/>
          <w:szCs w:val="18"/>
        </w:rPr>
        <w:t xml:space="preserve"> potrzeby podatku od nieruchomości, dopiero całkowi</w:t>
      </w:r>
      <w:r w:rsidR="00A3374C">
        <w:rPr>
          <w:rFonts w:ascii="Verdana" w:hAnsi="Verdana"/>
          <w:sz w:val="20"/>
          <w:szCs w:val="18"/>
        </w:rPr>
        <w:t>te</w:t>
      </w:r>
      <w:r w:rsidR="004337A6">
        <w:rPr>
          <w:rFonts w:ascii="Verdana" w:hAnsi="Verdana"/>
          <w:sz w:val="20"/>
          <w:szCs w:val="18"/>
        </w:rPr>
        <w:t xml:space="preserve"> i trwałe pozbawienie obiektu budowlanego dachu </w:t>
      </w:r>
      <w:r w:rsidR="007C09B1">
        <w:rPr>
          <w:rFonts w:ascii="Verdana" w:hAnsi="Verdana"/>
          <w:sz w:val="20"/>
          <w:szCs w:val="18"/>
        </w:rPr>
        <w:t>powoduje</w:t>
      </w:r>
      <w:r w:rsidR="004337A6">
        <w:rPr>
          <w:rFonts w:ascii="Verdana" w:hAnsi="Verdana"/>
          <w:sz w:val="20"/>
          <w:szCs w:val="18"/>
        </w:rPr>
        <w:t xml:space="preserve">, że przestaje </w:t>
      </w:r>
      <w:r w:rsidR="007C09B1">
        <w:rPr>
          <w:rFonts w:ascii="Verdana" w:hAnsi="Verdana"/>
          <w:sz w:val="20"/>
          <w:szCs w:val="18"/>
        </w:rPr>
        <w:t xml:space="preserve">być on budynkiem w rozumieniu przepisów prawa budowlanego. Z tego wywieść należy, że budynek posiada dach do momentu jego całkowitego usunięcia, demontażu, rozbiórki. </w:t>
      </w:r>
      <w:r w:rsidR="00EC581A">
        <w:rPr>
          <w:rFonts w:ascii="Verdana" w:hAnsi="Verdana"/>
          <w:sz w:val="20"/>
          <w:szCs w:val="18"/>
        </w:rPr>
        <w:t xml:space="preserve">W orzecznictwie wskazuje się także, że stan dachu, jego uszkodzenie lub częściowe usunięcie </w:t>
      </w:r>
      <w:r w:rsidR="009A4D7B">
        <w:rPr>
          <w:rFonts w:ascii="Verdana" w:hAnsi="Verdana"/>
          <w:sz w:val="20"/>
          <w:szCs w:val="18"/>
        </w:rPr>
        <w:t xml:space="preserve">nie </w:t>
      </w:r>
      <w:r w:rsidR="00EC581A">
        <w:rPr>
          <w:rFonts w:ascii="Verdana" w:hAnsi="Verdana"/>
          <w:sz w:val="20"/>
          <w:szCs w:val="18"/>
        </w:rPr>
        <w:t>oznacza, że dany obiekt „nie posiada dachu”, a prze</w:t>
      </w:r>
      <w:r w:rsidR="00B262AC">
        <w:rPr>
          <w:rFonts w:ascii="Verdana" w:hAnsi="Verdana"/>
          <w:sz w:val="20"/>
          <w:szCs w:val="18"/>
        </w:rPr>
        <w:t>z</w:t>
      </w:r>
      <w:r w:rsidR="00EC581A">
        <w:rPr>
          <w:rFonts w:ascii="Verdana" w:hAnsi="Verdana"/>
          <w:sz w:val="20"/>
          <w:szCs w:val="18"/>
        </w:rPr>
        <w:t xml:space="preserve"> to przestaje być budynkiem w rozumieniu ustawy podatkowej. Dopiero obiekt całkowicie i trwale pozbawiony dachu, nieosłonięty, nieograniczony od góry przestaje być budynkiem. </w:t>
      </w:r>
    </w:p>
    <w:p w14:paraId="0ED55FF5" w14:textId="32210631" w:rsidR="00851152" w:rsidRPr="001855C6" w:rsidRDefault="003E0F2D" w:rsidP="00A22CB7">
      <w:p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 </w:t>
      </w:r>
    </w:p>
    <w:p w14:paraId="618C7B2E" w14:textId="6B09E999" w:rsidR="00E464B0" w:rsidRDefault="00613E71" w:rsidP="00A22CB7">
      <w:p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Zgodnie ze stanowiskiem Spółki, b</w:t>
      </w:r>
      <w:r w:rsidR="00E464B0" w:rsidRPr="001855C6">
        <w:rPr>
          <w:rFonts w:ascii="Verdana" w:hAnsi="Verdana"/>
          <w:sz w:val="20"/>
          <w:szCs w:val="18"/>
        </w:rPr>
        <w:t xml:space="preserve">udynek po usunięciu dachu w całości nie będzie stanowić budowli, podlegającej opodatkowaniu podatkiem od nieruchomości. </w:t>
      </w:r>
    </w:p>
    <w:p w14:paraId="79D4E578" w14:textId="438BC780" w:rsidR="00B47B27" w:rsidRDefault="00B47B27" w:rsidP="00A22CB7">
      <w:p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Zgodnie z art. 1a pkt 2 </w:t>
      </w:r>
      <w:proofErr w:type="spellStart"/>
      <w:r>
        <w:rPr>
          <w:rFonts w:ascii="Verdana" w:hAnsi="Verdana"/>
          <w:sz w:val="20"/>
          <w:szCs w:val="18"/>
        </w:rPr>
        <w:t>upol</w:t>
      </w:r>
      <w:proofErr w:type="spellEnd"/>
      <w:r>
        <w:rPr>
          <w:rFonts w:ascii="Verdana" w:hAnsi="Verdana"/>
          <w:sz w:val="20"/>
          <w:szCs w:val="18"/>
        </w:rPr>
        <w:t xml:space="preserve"> budowla to:</w:t>
      </w:r>
    </w:p>
    <w:p w14:paraId="6471404E" w14:textId="72670994" w:rsidR="00B47B27" w:rsidRDefault="000D33AB" w:rsidP="00B47B27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o</w:t>
      </w:r>
      <w:r w:rsidR="00B47B27">
        <w:rPr>
          <w:rFonts w:ascii="Verdana" w:hAnsi="Verdana"/>
          <w:sz w:val="20"/>
          <w:szCs w:val="18"/>
        </w:rPr>
        <w:t xml:space="preserve">biekt niebędący budynkiem, </w:t>
      </w:r>
      <w:r>
        <w:rPr>
          <w:rFonts w:ascii="Verdana" w:hAnsi="Verdana"/>
          <w:sz w:val="20"/>
          <w:szCs w:val="18"/>
        </w:rPr>
        <w:t>wymieniony</w:t>
      </w:r>
      <w:r w:rsidR="00B47B27">
        <w:rPr>
          <w:rFonts w:ascii="Verdana" w:hAnsi="Verdana"/>
          <w:sz w:val="20"/>
          <w:szCs w:val="18"/>
        </w:rPr>
        <w:t xml:space="preserve"> w załączniku nr</w:t>
      </w:r>
      <w:r w:rsidR="00B6405B">
        <w:rPr>
          <w:rFonts w:ascii="Verdana" w:hAnsi="Verdana"/>
          <w:sz w:val="20"/>
          <w:szCs w:val="18"/>
        </w:rPr>
        <w:t xml:space="preserve"> </w:t>
      </w:r>
      <w:r w:rsidR="00B47B27">
        <w:rPr>
          <w:rFonts w:ascii="Verdana" w:hAnsi="Verdana"/>
          <w:sz w:val="20"/>
          <w:szCs w:val="18"/>
        </w:rPr>
        <w:t xml:space="preserve">4 do ustawy, wraz z instalacjami zapewniającymi możliwość jego użytkowania zgodnie </w:t>
      </w:r>
      <w:r w:rsidR="00B6405B">
        <w:rPr>
          <w:rFonts w:ascii="Verdana" w:hAnsi="Verdana"/>
          <w:sz w:val="20"/>
          <w:szCs w:val="18"/>
        </w:rPr>
        <w:br/>
      </w:r>
      <w:r w:rsidR="00B47B27">
        <w:rPr>
          <w:rFonts w:ascii="Verdana" w:hAnsi="Verdana"/>
          <w:sz w:val="20"/>
          <w:szCs w:val="18"/>
        </w:rPr>
        <w:t xml:space="preserve">z </w:t>
      </w:r>
      <w:r>
        <w:rPr>
          <w:rFonts w:ascii="Verdana" w:hAnsi="Verdana"/>
          <w:sz w:val="20"/>
          <w:szCs w:val="18"/>
        </w:rPr>
        <w:t>przeznaczeniem</w:t>
      </w:r>
      <w:r w:rsidR="00B47B27">
        <w:rPr>
          <w:rFonts w:ascii="Verdana" w:hAnsi="Verdana"/>
          <w:sz w:val="20"/>
          <w:szCs w:val="18"/>
        </w:rPr>
        <w:t>,</w:t>
      </w:r>
    </w:p>
    <w:p w14:paraId="43C7DCCC" w14:textId="733E4DA5" w:rsidR="00B47B27" w:rsidRDefault="003D244A" w:rsidP="00B47B27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lastRenderedPageBreak/>
        <w:t>elektrowni</w:t>
      </w:r>
      <w:r w:rsidR="00A64170">
        <w:rPr>
          <w:rFonts w:ascii="Verdana" w:hAnsi="Verdana"/>
          <w:sz w:val="20"/>
          <w:szCs w:val="18"/>
        </w:rPr>
        <w:t>a</w:t>
      </w:r>
      <w:r>
        <w:rPr>
          <w:rFonts w:ascii="Verdana" w:hAnsi="Verdana"/>
          <w:sz w:val="20"/>
          <w:szCs w:val="18"/>
        </w:rPr>
        <w:t xml:space="preserve"> wiatrow</w:t>
      </w:r>
      <w:r w:rsidR="00A64170">
        <w:rPr>
          <w:rFonts w:ascii="Verdana" w:hAnsi="Verdana"/>
          <w:sz w:val="20"/>
          <w:szCs w:val="18"/>
        </w:rPr>
        <w:t>a</w:t>
      </w:r>
      <w:r>
        <w:rPr>
          <w:rFonts w:ascii="Verdana" w:hAnsi="Verdana"/>
          <w:sz w:val="20"/>
          <w:szCs w:val="18"/>
        </w:rPr>
        <w:t>, elektrowni</w:t>
      </w:r>
      <w:r w:rsidR="00A64170">
        <w:rPr>
          <w:rFonts w:ascii="Verdana" w:hAnsi="Verdana"/>
          <w:sz w:val="20"/>
          <w:szCs w:val="18"/>
        </w:rPr>
        <w:t>a</w:t>
      </w:r>
      <w:r>
        <w:rPr>
          <w:rFonts w:ascii="Verdana" w:hAnsi="Verdana"/>
          <w:sz w:val="20"/>
          <w:szCs w:val="18"/>
        </w:rPr>
        <w:t xml:space="preserve"> jądrow</w:t>
      </w:r>
      <w:r w:rsidR="00A64170">
        <w:rPr>
          <w:rFonts w:ascii="Verdana" w:hAnsi="Verdana"/>
          <w:sz w:val="20"/>
          <w:szCs w:val="18"/>
        </w:rPr>
        <w:t>a</w:t>
      </w:r>
      <w:r>
        <w:rPr>
          <w:rFonts w:ascii="Verdana" w:hAnsi="Verdana"/>
          <w:sz w:val="20"/>
          <w:szCs w:val="18"/>
        </w:rPr>
        <w:t xml:space="preserve"> i elektrowni</w:t>
      </w:r>
      <w:r w:rsidR="00A64170">
        <w:rPr>
          <w:rFonts w:ascii="Verdana" w:hAnsi="Verdana"/>
          <w:sz w:val="20"/>
          <w:szCs w:val="18"/>
        </w:rPr>
        <w:t>a</w:t>
      </w:r>
      <w:r>
        <w:rPr>
          <w:rFonts w:ascii="Verdana" w:hAnsi="Verdana"/>
          <w:sz w:val="20"/>
          <w:szCs w:val="18"/>
        </w:rPr>
        <w:t xml:space="preserve"> fotowoltaiczn</w:t>
      </w:r>
      <w:r w:rsidR="00A64170">
        <w:rPr>
          <w:rFonts w:ascii="Verdana" w:hAnsi="Verdana"/>
          <w:sz w:val="20"/>
          <w:szCs w:val="18"/>
        </w:rPr>
        <w:t>a</w:t>
      </w:r>
      <w:r>
        <w:rPr>
          <w:rFonts w:ascii="Verdana" w:hAnsi="Verdana"/>
          <w:sz w:val="20"/>
          <w:szCs w:val="18"/>
        </w:rPr>
        <w:t>, biogazowni</w:t>
      </w:r>
      <w:r w:rsidR="00A64170">
        <w:rPr>
          <w:rFonts w:ascii="Verdana" w:hAnsi="Verdana"/>
          <w:sz w:val="20"/>
          <w:szCs w:val="18"/>
        </w:rPr>
        <w:t>a</w:t>
      </w:r>
      <w:r>
        <w:rPr>
          <w:rFonts w:ascii="Verdana" w:hAnsi="Verdana"/>
          <w:sz w:val="20"/>
          <w:szCs w:val="18"/>
        </w:rPr>
        <w:t>, biogazowni</w:t>
      </w:r>
      <w:r w:rsidR="00A64170">
        <w:rPr>
          <w:rFonts w:ascii="Verdana" w:hAnsi="Verdana"/>
          <w:sz w:val="20"/>
          <w:szCs w:val="18"/>
        </w:rPr>
        <w:t>a</w:t>
      </w:r>
      <w:r>
        <w:rPr>
          <w:rFonts w:ascii="Verdana" w:hAnsi="Verdana"/>
          <w:sz w:val="20"/>
          <w:szCs w:val="18"/>
        </w:rPr>
        <w:t xml:space="preserve"> rolnicz</w:t>
      </w:r>
      <w:r w:rsidR="00A64170">
        <w:rPr>
          <w:rFonts w:ascii="Verdana" w:hAnsi="Verdana"/>
          <w:sz w:val="20"/>
          <w:szCs w:val="18"/>
        </w:rPr>
        <w:t>a</w:t>
      </w:r>
      <w:r>
        <w:rPr>
          <w:rFonts w:ascii="Verdana" w:hAnsi="Verdana"/>
          <w:sz w:val="20"/>
          <w:szCs w:val="18"/>
        </w:rPr>
        <w:t>, magazyn energii, kocioł, piec przemysłowy, kolej liniow</w:t>
      </w:r>
      <w:r w:rsidR="00A64170">
        <w:rPr>
          <w:rFonts w:ascii="Verdana" w:hAnsi="Verdana"/>
          <w:sz w:val="20"/>
          <w:szCs w:val="18"/>
        </w:rPr>
        <w:t>a</w:t>
      </w:r>
      <w:r>
        <w:rPr>
          <w:rFonts w:ascii="Verdana" w:hAnsi="Verdana"/>
          <w:sz w:val="20"/>
          <w:szCs w:val="18"/>
        </w:rPr>
        <w:t>, wyciąg narciarski oraz skoczni</w:t>
      </w:r>
      <w:r w:rsidR="00A64170">
        <w:rPr>
          <w:rFonts w:ascii="Verdana" w:hAnsi="Verdana"/>
          <w:sz w:val="20"/>
          <w:szCs w:val="18"/>
        </w:rPr>
        <w:t>a</w:t>
      </w:r>
      <w:r>
        <w:rPr>
          <w:rFonts w:ascii="Verdana" w:hAnsi="Verdana"/>
          <w:sz w:val="20"/>
          <w:szCs w:val="18"/>
        </w:rPr>
        <w:t>, w części niebędącej budynkiem- wyłącznie w zakresie ich części budowlanych,</w:t>
      </w:r>
    </w:p>
    <w:p w14:paraId="1A166AA1" w14:textId="335B1713" w:rsidR="003D244A" w:rsidRDefault="009F0016" w:rsidP="00B47B27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urządzenie budowlane- przyłącze oraz urządzenie instalacyjne, w tym służące oczyszczaniu lub gromadzeniu ścieków, oraz inne </w:t>
      </w:r>
      <w:r w:rsidR="001D19CF">
        <w:rPr>
          <w:rFonts w:ascii="Verdana" w:hAnsi="Verdana"/>
          <w:sz w:val="20"/>
          <w:szCs w:val="18"/>
        </w:rPr>
        <w:t>urządzenie techniczne, bezpośrednio związane z budynkiem lub obiektem, o który</w:t>
      </w:r>
      <w:r w:rsidR="00B60773">
        <w:rPr>
          <w:rFonts w:ascii="Verdana" w:hAnsi="Verdana"/>
          <w:sz w:val="20"/>
          <w:szCs w:val="18"/>
        </w:rPr>
        <w:t>m</w:t>
      </w:r>
      <w:r w:rsidR="001D19CF">
        <w:rPr>
          <w:rFonts w:ascii="Verdana" w:hAnsi="Verdana"/>
          <w:sz w:val="20"/>
          <w:szCs w:val="18"/>
        </w:rPr>
        <w:t xml:space="preserve"> mowa w lit.</w:t>
      </w:r>
      <w:r w:rsidR="000861ED">
        <w:rPr>
          <w:rFonts w:ascii="Verdana" w:hAnsi="Verdana"/>
          <w:sz w:val="20"/>
          <w:szCs w:val="18"/>
        </w:rPr>
        <w:t xml:space="preserve"> </w:t>
      </w:r>
      <w:r w:rsidR="001D19CF">
        <w:rPr>
          <w:rFonts w:ascii="Verdana" w:hAnsi="Verdana"/>
          <w:sz w:val="20"/>
          <w:szCs w:val="18"/>
        </w:rPr>
        <w:t xml:space="preserve">a, niezbędne do ich </w:t>
      </w:r>
      <w:r w:rsidR="000861ED">
        <w:rPr>
          <w:rFonts w:ascii="Verdana" w:hAnsi="Verdana"/>
          <w:sz w:val="20"/>
          <w:szCs w:val="18"/>
        </w:rPr>
        <w:t>użytkowania</w:t>
      </w:r>
      <w:r w:rsidR="001D19CF">
        <w:rPr>
          <w:rFonts w:ascii="Verdana" w:hAnsi="Verdana"/>
          <w:sz w:val="20"/>
          <w:szCs w:val="18"/>
        </w:rPr>
        <w:t xml:space="preserve"> zgodnie z przeznaczeniem,</w:t>
      </w:r>
    </w:p>
    <w:p w14:paraId="44E05D64" w14:textId="22C763E1" w:rsidR="001D19CF" w:rsidRDefault="00104DF6" w:rsidP="00B47B27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urządzenie techniczne inne niż </w:t>
      </w:r>
      <w:r w:rsidR="00883EFB">
        <w:rPr>
          <w:rFonts w:ascii="Verdana" w:hAnsi="Verdana"/>
          <w:sz w:val="20"/>
          <w:szCs w:val="18"/>
        </w:rPr>
        <w:t>wymienione</w:t>
      </w:r>
      <w:r>
        <w:rPr>
          <w:rFonts w:ascii="Verdana" w:hAnsi="Verdana"/>
          <w:sz w:val="20"/>
          <w:szCs w:val="18"/>
        </w:rPr>
        <w:t xml:space="preserve"> w lit. </w:t>
      </w:r>
      <w:r w:rsidR="00883EFB">
        <w:rPr>
          <w:rFonts w:ascii="Verdana" w:hAnsi="Verdana"/>
          <w:sz w:val="20"/>
          <w:szCs w:val="18"/>
        </w:rPr>
        <w:t>a</w:t>
      </w:r>
      <w:r>
        <w:rPr>
          <w:rFonts w:ascii="Verdana" w:hAnsi="Verdana"/>
          <w:sz w:val="20"/>
          <w:szCs w:val="18"/>
        </w:rPr>
        <w:t>-c – wyłącznie w zakresie jego części budowlanych,</w:t>
      </w:r>
    </w:p>
    <w:p w14:paraId="41180143" w14:textId="6068085B" w:rsidR="00104DF6" w:rsidRPr="00B47B27" w:rsidRDefault="00883EFB" w:rsidP="00B47B27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fundamenty</w:t>
      </w:r>
      <w:r w:rsidR="00B42889">
        <w:rPr>
          <w:rFonts w:ascii="Verdana" w:hAnsi="Verdana"/>
          <w:sz w:val="20"/>
          <w:szCs w:val="18"/>
        </w:rPr>
        <w:t xml:space="preserve"> pod maszyny oraz pod urządzenia techniczne, jako odrębne pod względem technicznym części przedmiotów składających się na całość użytkową- </w:t>
      </w:r>
      <w:r>
        <w:rPr>
          <w:rFonts w:ascii="Verdana" w:hAnsi="Verdana"/>
          <w:sz w:val="20"/>
          <w:szCs w:val="18"/>
        </w:rPr>
        <w:t>wzniesione</w:t>
      </w:r>
      <w:r w:rsidR="00B42889">
        <w:rPr>
          <w:rFonts w:ascii="Verdana" w:hAnsi="Verdana"/>
          <w:sz w:val="20"/>
          <w:szCs w:val="18"/>
        </w:rPr>
        <w:t xml:space="preserve"> w wyniku robót </w:t>
      </w:r>
      <w:r>
        <w:rPr>
          <w:rFonts w:ascii="Verdana" w:hAnsi="Verdana"/>
          <w:sz w:val="20"/>
          <w:szCs w:val="18"/>
        </w:rPr>
        <w:t>budowlanych</w:t>
      </w:r>
      <w:r w:rsidR="00B42889">
        <w:rPr>
          <w:rFonts w:ascii="Verdana" w:hAnsi="Verdana"/>
          <w:sz w:val="20"/>
          <w:szCs w:val="18"/>
        </w:rPr>
        <w:t xml:space="preserve">, także w przypadku, gdy </w:t>
      </w:r>
      <w:r>
        <w:rPr>
          <w:rFonts w:ascii="Verdana" w:hAnsi="Verdana"/>
          <w:sz w:val="20"/>
          <w:szCs w:val="18"/>
        </w:rPr>
        <w:t>stanowią</w:t>
      </w:r>
      <w:r w:rsidR="00B42889">
        <w:rPr>
          <w:rFonts w:ascii="Verdana" w:hAnsi="Verdana"/>
          <w:sz w:val="20"/>
          <w:szCs w:val="18"/>
        </w:rPr>
        <w:t xml:space="preserve"> część </w:t>
      </w:r>
      <w:r>
        <w:rPr>
          <w:rFonts w:ascii="Verdana" w:hAnsi="Verdana"/>
          <w:sz w:val="20"/>
          <w:szCs w:val="18"/>
        </w:rPr>
        <w:t>obiektu</w:t>
      </w:r>
      <w:r w:rsidR="00B42889">
        <w:rPr>
          <w:rFonts w:ascii="Verdana" w:hAnsi="Verdana"/>
          <w:sz w:val="20"/>
          <w:szCs w:val="18"/>
        </w:rPr>
        <w:t xml:space="preserve"> </w:t>
      </w:r>
      <w:r>
        <w:rPr>
          <w:rFonts w:ascii="Verdana" w:hAnsi="Verdana"/>
          <w:sz w:val="20"/>
          <w:szCs w:val="18"/>
        </w:rPr>
        <w:t>niewymienionego</w:t>
      </w:r>
      <w:r w:rsidR="00B42889">
        <w:rPr>
          <w:rFonts w:ascii="Verdana" w:hAnsi="Verdana"/>
          <w:sz w:val="20"/>
          <w:szCs w:val="18"/>
        </w:rPr>
        <w:t xml:space="preserve"> w ustawie. </w:t>
      </w:r>
    </w:p>
    <w:p w14:paraId="655E6F7F" w14:textId="5638123D" w:rsidR="00E464B0" w:rsidRPr="001855C6" w:rsidRDefault="00E464B0" w:rsidP="00A22CB7">
      <w:pPr>
        <w:jc w:val="both"/>
        <w:rPr>
          <w:rFonts w:ascii="Verdana" w:hAnsi="Verdana"/>
          <w:sz w:val="20"/>
          <w:szCs w:val="18"/>
        </w:rPr>
      </w:pPr>
      <w:r w:rsidRPr="001855C6">
        <w:rPr>
          <w:rFonts w:ascii="Verdana" w:hAnsi="Verdana"/>
          <w:sz w:val="20"/>
          <w:szCs w:val="18"/>
        </w:rPr>
        <w:t xml:space="preserve">Budowla – jako przedmiot opodatkowania - może zaistnieć wyłącznie w wyniku robót budowlanych. Roboty budowlane muszą być podejmowane celowo, tzn. tak, aby </w:t>
      </w:r>
      <w:r w:rsidR="00B31A62">
        <w:rPr>
          <w:rFonts w:ascii="Verdana" w:hAnsi="Verdana"/>
          <w:sz w:val="20"/>
          <w:szCs w:val="18"/>
        </w:rPr>
        <w:br/>
      </w:r>
      <w:r w:rsidRPr="001855C6">
        <w:rPr>
          <w:rFonts w:ascii="Verdana" w:hAnsi="Verdana"/>
          <w:sz w:val="20"/>
          <w:szCs w:val="18"/>
        </w:rPr>
        <w:t xml:space="preserve">w ich wyniku powstał obiekt potencjalnie kwalifikowany przez </w:t>
      </w:r>
      <w:proofErr w:type="spellStart"/>
      <w:r w:rsidRPr="001855C6">
        <w:rPr>
          <w:rFonts w:ascii="Verdana" w:hAnsi="Verdana"/>
          <w:sz w:val="20"/>
          <w:szCs w:val="18"/>
        </w:rPr>
        <w:t>upol</w:t>
      </w:r>
      <w:proofErr w:type="spellEnd"/>
      <w:r w:rsidRPr="001855C6">
        <w:rPr>
          <w:rFonts w:ascii="Verdana" w:hAnsi="Verdana"/>
          <w:sz w:val="20"/>
          <w:szCs w:val="18"/>
        </w:rPr>
        <w:t xml:space="preserve"> jako budowla podlegającą opodatkowaniu. Spółka będzie podejmowała prace budowlane, jednak będą to prace rozbiórkowe zmierzające do rozebrania budynku. Nie będą to prace podejmowane w celu wybudowania budowli. Wobec powyższego, budynek pozbawiony dachu przestaje być budynkiem, lecz nie staje się budowlą </w:t>
      </w:r>
      <w:r w:rsidRPr="001855C6">
        <w:rPr>
          <w:rFonts w:ascii="Verdana" w:hAnsi="Verdana"/>
          <w:sz w:val="20"/>
          <w:szCs w:val="18"/>
        </w:rPr>
        <w:br/>
        <w:t xml:space="preserve">w rozumieniu </w:t>
      </w:r>
      <w:proofErr w:type="spellStart"/>
      <w:r w:rsidRPr="001855C6">
        <w:rPr>
          <w:rFonts w:ascii="Verdana" w:hAnsi="Verdana"/>
          <w:sz w:val="20"/>
          <w:szCs w:val="18"/>
        </w:rPr>
        <w:t>upol</w:t>
      </w:r>
      <w:proofErr w:type="spellEnd"/>
      <w:r w:rsidRPr="001855C6">
        <w:rPr>
          <w:rFonts w:ascii="Verdana" w:hAnsi="Verdana"/>
          <w:sz w:val="20"/>
          <w:szCs w:val="18"/>
        </w:rPr>
        <w:t xml:space="preserve">. Ponadto, załącznik nr 4 do ustawy zawiera wykaz 28 typów obiektów, z których żaden nie przystaje do stanu budynku po usunięciu dachu. </w:t>
      </w:r>
    </w:p>
    <w:p w14:paraId="306A570C" w14:textId="689CE41C" w:rsidR="00C35BF4" w:rsidRPr="001855C6" w:rsidRDefault="00BE435D" w:rsidP="00A22CB7">
      <w:pPr>
        <w:pStyle w:val="11Trescpisma"/>
      </w:pPr>
      <w:r w:rsidRPr="001855C6">
        <w:t>P</w:t>
      </w:r>
      <w:r w:rsidR="009D3CD0" w:rsidRPr="001855C6">
        <w:t>o przeanalizowaniu okoliczności podanych we wniosku, obowiązujących przepisów prawa i orzecznictwa sądowego, organ podatkowy uznaje za prawidłowe stanowisko Wnioskodawcy w zakresie</w:t>
      </w:r>
      <w:r w:rsidR="003A7190" w:rsidRPr="001855C6">
        <w:t xml:space="preserve"> uznania,</w:t>
      </w:r>
      <w:r w:rsidR="009D3CD0" w:rsidRPr="001855C6">
        <w:t xml:space="preserve"> </w:t>
      </w:r>
      <w:r w:rsidR="00BD5187">
        <w:t xml:space="preserve">że po trwałym i całkowitym usunięciu dachu  </w:t>
      </w:r>
      <w:r w:rsidR="000F61E3">
        <w:t>wygaśnie obowiązek podatkowy w zakresie podatku od nieruchomości</w:t>
      </w:r>
      <w:r w:rsidR="008D4ACB">
        <w:t xml:space="preserve"> w</w:t>
      </w:r>
      <w:r w:rsidR="000F61E3">
        <w:t xml:space="preserve"> </w:t>
      </w:r>
      <w:r w:rsidR="00BD5187">
        <w:t xml:space="preserve">stosunku do </w:t>
      </w:r>
      <w:r w:rsidR="000F61E3">
        <w:t>budynku</w:t>
      </w:r>
      <w:r w:rsidR="00BD5187">
        <w:t xml:space="preserve"> oraz że, budynek </w:t>
      </w:r>
      <w:r w:rsidR="0074726A">
        <w:t xml:space="preserve">bez dachu </w:t>
      </w:r>
      <w:r w:rsidR="00BD5187">
        <w:t xml:space="preserve">nie </w:t>
      </w:r>
      <w:r w:rsidR="000F61E3">
        <w:t>będzie</w:t>
      </w:r>
      <w:r w:rsidR="00BD5187">
        <w:t xml:space="preserve"> </w:t>
      </w:r>
      <w:r w:rsidR="000F61E3">
        <w:t>stanowił</w:t>
      </w:r>
      <w:r w:rsidR="00BD5187">
        <w:t xml:space="preserve"> budowli</w:t>
      </w:r>
      <w:r w:rsidR="00D31B6B">
        <w:t xml:space="preserve"> -</w:t>
      </w:r>
      <w:r w:rsidR="0074726A">
        <w:t xml:space="preserve"> nowego przedmiotu opodatkowania</w:t>
      </w:r>
      <w:r w:rsidR="00BD5187">
        <w:t xml:space="preserve"> podatkiem od </w:t>
      </w:r>
      <w:r w:rsidR="000F61E3">
        <w:t>nieruchomości</w:t>
      </w:r>
      <w:r w:rsidR="00BD5187">
        <w:t xml:space="preserve">. </w:t>
      </w:r>
    </w:p>
    <w:p w14:paraId="7A9A3BE0" w14:textId="7AB77E01" w:rsidR="009D3CD0" w:rsidRPr="001855C6" w:rsidRDefault="009D3CD0" w:rsidP="00A22CB7">
      <w:pPr>
        <w:pStyle w:val="11Trescpisma"/>
        <w:suppressAutoHyphens/>
        <w:spacing w:before="120"/>
      </w:pPr>
      <w:r w:rsidRPr="001855C6">
        <w:t xml:space="preserve">Zatem na podstawie </w:t>
      </w:r>
      <w:r w:rsidR="00175B17">
        <w:t>przedstawionego opisu zdarzenia przyszłego,</w:t>
      </w:r>
      <w:r w:rsidRPr="001855C6">
        <w:t xml:space="preserve"> tut. organ podatkowy uznał stanowisko Wnioskodawcy za prawidłowe w obowiązującym stanie prawnym.</w:t>
      </w:r>
    </w:p>
    <w:p w14:paraId="09F7FC63" w14:textId="77777777" w:rsidR="009D3CD0" w:rsidRPr="001855C6" w:rsidRDefault="009D3CD0" w:rsidP="00A22CB7">
      <w:pPr>
        <w:pStyle w:val="11Trescpisma"/>
        <w:suppressAutoHyphens/>
        <w:spacing w:before="0"/>
      </w:pPr>
      <w:r w:rsidRPr="001855C6">
        <w:t>Na podstawie przepisu art. 14c  § 1 ustawy Ordynacja podatkowa, odstępuje się od uzasadnienia prawnego.</w:t>
      </w:r>
    </w:p>
    <w:p w14:paraId="099A06C2" w14:textId="77777777" w:rsidR="009D3CD0" w:rsidRPr="001855C6" w:rsidRDefault="009D3CD0" w:rsidP="00A22CB7">
      <w:pPr>
        <w:pStyle w:val="11Trescpisma"/>
        <w:suppressAutoHyphens/>
        <w:spacing w:before="0"/>
      </w:pPr>
      <w:r w:rsidRPr="001855C6">
        <w:t xml:space="preserve">Zgodnie z ww. przepisem, jeżeli stanowisko wnioskodawcy jest prawidłowe </w:t>
      </w:r>
      <w:r w:rsidRPr="001855C6">
        <w:br/>
        <w:t>w pełnym zakresie, można odstąpić od uzasadnienia prawnego.</w:t>
      </w:r>
    </w:p>
    <w:p w14:paraId="7501FB11" w14:textId="77777777" w:rsidR="0008594D" w:rsidRPr="001855C6" w:rsidRDefault="0008594D" w:rsidP="00A22CB7">
      <w:pPr>
        <w:pStyle w:val="11Trescpisma"/>
        <w:suppressAutoHyphens/>
        <w:spacing w:before="0"/>
      </w:pPr>
    </w:p>
    <w:p w14:paraId="6809BD06" w14:textId="77777777" w:rsidR="009D3CD0" w:rsidRPr="001855C6" w:rsidRDefault="009D3CD0" w:rsidP="00A22CB7">
      <w:pPr>
        <w:pStyle w:val="11Trescpisma"/>
        <w:suppressAutoHyphens/>
        <w:spacing w:before="0"/>
      </w:pPr>
      <w:r w:rsidRPr="001855C6">
        <w:t xml:space="preserve">W związku z faktem, iż stanowisko Wnioskodawcy zostało uznane za prawidłowe </w:t>
      </w:r>
      <w:r w:rsidRPr="001855C6">
        <w:br/>
        <w:t xml:space="preserve">w pełnym zakresie, odstąpiono od uzasadnienia prawnego. </w:t>
      </w:r>
    </w:p>
    <w:p w14:paraId="58A58724" w14:textId="77777777" w:rsidR="009D3CD0" w:rsidRPr="001855C6" w:rsidRDefault="009D3CD0" w:rsidP="00A22CB7">
      <w:pPr>
        <w:pStyle w:val="11Trescpisma"/>
        <w:suppressAutoHyphens/>
        <w:spacing w:before="0"/>
      </w:pPr>
      <w:r w:rsidRPr="001855C6">
        <w:t xml:space="preserve">Interpretacja indywidualna wywołuje skutki </w:t>
      </w:r>
      <w:proofErr w:type="spellStart"/>
      <w:r w:rsidRPr="001855C6">
        <w:t>prawno</w:t>
      </w:r>
      <w:proofErr w:type="spellEnd"/>
      <w:r w:rsidRPr="001855C6">
        <w:t xml:space="preserve"> - podatkowe tylko wtedy, gdy rzeczywisty stan faktyczny sprawy będącej przedmiotem interpretacji pokrywał się będzie ze stanem faktycznym podanym przez Wnioskodawcę w złożonym wniosku. W związku z powyższym, w przypadku zmiany któregokolwiek elementu opisu sprawy, przedstawionego we wniosku, wydana interpretacja nie będzie miała zastosowania.</w:t>
      </w:r>
    </w:p>
    <w:p w14:paraId="613E427F" w14:textId="79CE9697" w:rsidR="009D3CD0" w:rsidRDefault="009D3CD0" w:rsidP="00A22CB7">
      <w:pPr>
        <w:pStyle w:val="11Trescpisma"/>
        <w:suppressAutoHyphens/>
      </w:pPr>
    </w:p>
    <w:p w14:paraId="605BAB3B" w14:textId="77777777" w:rsidR="009D3CD0" w:rsidRPr="001855C6" w:rsidRDefault="009D3CD0" w:rsidP="00A22CB7">
      <w:pPr>
        <w:jc w:val="both"/>
        <w:rPr>
          <w:rFonts w:ascii="Verdana" w:hAnsi="Verdana"/>
          <w:sz w:val="20"/>
          <w:szCs w:val="18"/>
        </w:rPr>
      </w:pPr>
      <w:r w:rsidRPr="001855C6">
        <w:rPr>
          <w:rFonts w:ascii="Verdana" w:hAnsi="Verdana"/>
          <w:sz w:val="20"/>
          <w:szCs w:val="18"/>
        </w:rPr>
        <w:t>Pouczenie:</w:t>
      </w:r>
    </w:p>
    <w:p w14:paraId="37C4E15B" w14:textId="77777777" w:rsidR="009D3CD0" w:rsidRPr="001855C6" w:rsidRDefault="009D3CD0" w:rsidP="00A22CB7">
      <w:pPr>
        <w:suppressAutoHyphens/>
        <w:jc w:val="both"/>
        <w:rPr>
          <w:rFonts w:ascii="Verdana" w:hAnsi="Verdana"/>
          <w:sz w:val="20"/>
          <w:szCs w:val="18"/>
        </w:rPr>
      </w:pPr>
    </w:p>
    <w:p w14:paraId="1706419E" w14:textId="77777777" w:rsidR="009D3CD0" w:rsidRPr="001855C6" w:rsidRDefault="009D3CD0" w:rsidP="00A22CB7">
      <w:pPr>
        <w:suppressAutoHyphens/>
        <w:jc w:val="both"/>
        <w:rPr>
          <w:rFonts w:ascii="Verdana" w:hAnsi="Verdana"/>
          <w:sz w:val="20"/>
          <w:szCs w:val="18"/>
        </w:rPr>
      </w:pPr>
      <w:r w:rsidRPr="001855C6">
        <w:rPr>
          <w:rFonts w:ascii="Verdana" w:hAnsi="Verdana"/>
          <w:sz w:val="20"/>
          <w:szCs w:val="18"/>
        </w:rPr>
        <w:t xml:space="preserve">Zgodnie z art. 14 na </w:t>
      </w:r>
      <w:r w:rsidRPr="001855C6">
        <w:rPr>
          <w:szCs w:val="18"/>
        </w:rPr>
        <w:t>§ 1 p</w:t>
      </w:r>
      <w:r w:rsidRPr="001855C6">
        <w:rPr>
          <w:rFonts w:ascii="Verdana" w:hAnsi="Verdana"/>
          <w:sz w:val="20"/>
          <w:szCs w:val="18"/>
        </w:rPr>
        <w:t>rzepisów art. 14k - 14n nie stosuje się, jeżeli stan faktyczny lub zdarzenie przyszłe będące przedmiotem interpretacji indywidualnej stanowi element czynności będących przedmiotem decyzji wydanej:</w:t>
      </w:r>
    </w:p>
    <w:p w14:paraId="661010E7" w14:textId="77777777" w:rsidR="009D3CD0" w:rsidRPr="001855C6" w:rsidRDefault="009D3CD0" w:rsidP="00A22CB7">
      <w:pPr>
        <w:suppressAutoHyphens/>
        <w:jc w:val="both"/>
        <w:rPr>
          <w:rFonts w:ascii="Verdana" w:hAnsi="Verdana"/>
          <w:sz w:val="20"/>
          <w:szCs w:val="18"/>
        </w:rPr>
      </w:pPr>
      <w:r w:rsidRPr="001855C6">
        <w:rPr>
          <w:szCs w:val="18"/>
        </w:rPr>
        <w:t xml:space="preserve">1) </w:t>
      </w:r>
      <w:r w:rsidRPr="001855C6">
        <w:rPr>
          <w:rFonts w:ascii="Verdana" w:hAnsi="Verdana"/>
          <w:sz w:val="20"/>
          <w:szCs w:val="18"/>
        </w:rPr>
        <w:t>z zastosowaniem art. 119 a;</w:t>
      </w:r>
    </w:p>
    <w:p w14:paraId="11656B34" w14:textId="77777777" w:rsidR="009D3CD0" w:rsidRPr="001855C6" w:rsidRDefault="009D3CD0" w:rsidP="00A22CB7">
      <w:pPr>
        <w:suppressAutoHyphens/>
        <w:jc w:val="both"/>
        <w:rPr>
          <w:rFonts w:ascii="Verdana" w:hAnsi="Verdana"/>
          <w:sz w:val="20"/>
          <w:szCs w:val="18"/>
        </w:rPr>
      </w:pPr>
      <w:r w:rsidRPr="001855C6">
        <w:rPr>
          <w:szCs w:val="18"/>
        </w:rPr>
        <w:t xml:space="preserve">2) </w:t>
      </w:r>
      <w:r w:rsidRPr="001855C6">
        <w:rPr>
          <w:rFonts w:ascii="Verdana" w:hAnsi="Verdana"/>
          <w:sz w:val="20"/>
          <w:szCs w:val="18"/>
        </w:rPr>
        <w:t>w związku z wystąpieniem nadużycia prawa, o którym mowa w art. 5 ust. 5 ustawy z dnia 11 marca 2004 r. o podatku od towarów i usług;</w:t>
      </w:r>
    </w:p>
    <w:p w14:paraId="7ACE51F9" w14:textId="77777777" w:rsidR="009D3CD0" w:rsidRPr="001855C6" w:rsidRDefault="009D3CD0" w:rsidP="00A22CB7">
      <w:pPr>
        <w:suppressAutoHyphens/>
        <w:jc w:val="both"/>
        <w:rPr>
          <w:rFonts w:ascii="Verdana" w:hAnsi="Verdana"/>
          <w:sz w:val="20"/>
          <w:szCs w:val="18"/>
        </w:rPr>
      </w:pPr>
      <w:r w:rsidRPr="001855C6">
        <w:rPr>
          <w:szCs w:val="18"/>
        </w:rPr>
        <w:t xml:space="preserve">3) </w:t>
      </w:r>
      <w:r w:rsidRPr="001855C6">
        <w:rPr>
          <w:rFonts w:ascii="Verdana" w:hAnsi="Verdana"/>
          <w:sz w:val="20"/>
          <w:szCs w:val="18"/>
        </w:rPr>
        <w:t>z zastosowaniem środków ograniczających umowne korzyści.</w:t>
      </w:r>
    </w:p>
    <w:p w14:paraId="582BC47A" w14:textId="77777777" w:rsidR="009D3CD0" w:rsidRPr="001855C6" w:rsidRDefault="009D3CD0" w:rsidP="00A22CB7">
      <w:pPr>
        <w:suppressAutoHyphens/>
        <w:jc w:val="both"/>
        <w:rPr>
          <w:rFonts w:ascii="Verdana" w:hAnsi="Verdana"/>
          <w:sz w:val="20"/>
          <w:szCs w:val="18"/>
        </w:rPr>
      </w:pPr>
      <w:r w:rsidRPr="001855C6">
        <w:rPr>
          <w:rFonts w:ascii="Verdana" w:hAnsi="Verdana"/>
          <w:sz w:val="20"/>
          <w:szCs w:val="18"/>
        </w:rPr>
        <w:t xml:space="preserve">Przepisów art. 14k - 14n nie stosuje się, jeżeli korzyść podatkowa, stwierdzona </w:t>
      </w:r>
      <w:r w:rsidRPr="001855C6">
        <w:rPr>
          <w:rFonts w:ascii="Verdana" w:hAnsi="Verdana"/>
          <w:sz w:val="20"/>
          <w:szCs w:val="18"/>
        </w:rPr>
        <w:br/>
        <w:t xml:space="preserve">w decyzjach wymienionych w § 1, jest skutkiem zastosowania się do utrwalonej </w:t>
      </w:r>
      <w:r w:rsidRPr="001855C6">
        <w:rPr>
          <w:rFonts w:ascii="Verdana" w:hAnsi="Verdana"/>
          <w:sz w:val="20"/>
          <w:szCs w:val="18"/>
        </w:rPr>
        <w:lastRenderedPageBreak/>
        <w:t>praktyki interpretacyjnej, interpretacji ogólnej lub objaśnień podatkowych (art. 14 na § 2 ordynacji podatkowej).</w:t>
      </w:r>
    </w:p>
    <w:p w14:paraId="022C4E23" w14:textId="5F103C37" w:rsidR="009D3CD0" w:rsidRPr="001855C6" w:rsidRDefault="009D3CD0" w:rsidP="00A22CB7">
      <w:pPr>
        <w:pStyle w:val="11Trescpisma"/>
        <w:suppressAutoHyphens/>
      </w:pPr>
      <w:r w:rsidRPr="001855C6">
        <w:t xml:space="preserve">Na niniejszą interpretację Wnioskodawcy przysługuje prawo wniesienia skargi do Wojewódzkiego Sądu Administracyjnego we Wrocławiu, ul. Św. Mikołaja 78-79, </w:t>
      </w:r>
      <w:r w:rsidR="00112CC9">
        <w:br/>
      </w:r>
      <w:r w:rsidRPr="001855C6">
        <w:t xml:space="preserve">50-126 Wrocław, w terminie 30 dni od doręczenia interpretacji. Skargę wnosi się za pośrednictwem Prezydenta Wrocławia (art. 53 §1 oraz art. 54 §1 i §2 ustawy </w:t>
      </w:r>
      <w:r w:rsidRPr="001855C6">
        <w:br/>
        <w:t>z dnia 30 sierpnia 2002 r. Prawo o postępowaniu przed sądami administracyjnymi Dz. U. z 2018 r. poz. 1302 ze zm.).</w:t>
      </w:r>
    </w:p>
    <w:p w14:paraId="78BE53A7" w14:textId="77777777" w:rsidR="009D3CD0" w:rsidRPr="001855C6" w:rsidRDefault="009D3CD0" w:rsidP="00A22CB7">
      <w:pPr>
        <w:pStyle w:val="11Trescpisma"/>
        <w:suppressAutoHyphens/>
      </w:pPr>
    </w:p>
    <w:p w14:paraId="389C1DB0" w14:textId="77777777" w:rsidR="009D3CD0" w:rsidRPr="001855C6" w:rsidRDefault="009D3CD0" w:rsidP="00A22CB7">
      <w:pPr>
        <w:pStyle w:val="11Trescpisma"/>
        <w:suppressAutoHyphens/>
      </w:pPr>
    </w:p>
    <w:p w14:paraId="582BC89F" w14:textId="77777777" w:rsidR="009D3CD0" w:rsidRPr="001855C6" w:rsidRDefault="009D3CD0" w:rsidP="00A22CB7">
      <w:pPr>
        <w:pStyle w:val="11Trescpisma"/>
        <w:suppressAutoHyphens/>
        <w:spacing w:before="0"/>
      </w:pPr>
    </w:p>
    <w:p w14:paraId="22BC53E1" w14:textId="77777777" w:rsidR="00CA6FB6" w:rsidRPr="001855C6" w:rsidRDefault="00CA6FB6" w:rsidP="00A22CB7">
      <w:pPr>
        <w:pStyle w:val="11Trescpisma"/>
        <w:suppressAutoHyphens/>
        <w:spacing w:before="0"/>
      </w:pPr>
    </w:p>
    <w:p w14:paraId="2DEAA998" w14:textId="77777777" w:rsidR="00CA6FB6" w:rsidRPr="001855C6" w:rsidRDefault="00CA6FB6" w:rsidP="00A22CB7">
      <w:pPr>
        <w:pStyle w:val="11Trescpisma"/>
        <w:suppressAutoHyphens/>
        <w:spacing w:before="0"/>
      </w:pPr>
    </w:p>
    <w:p w14:paraId="1E78F14E" w14:textId="77777777" w:rsidR="00CA6FB6" w:rsidRPr="001855C6" w:rsidRDefault="00CA6FB6" w:rsidP="00A22CB7">
      <w:pPr>
        <w:pStyle w:val="11Trescpisma"/>
        <w:suppressAutoHyphens/>
        <w:spacing w:before="0"/>
      </w:pPr>
    </w:p>
    <w:p w14:paraId="20CE02F2" w14:textId="77777777" w:rsidR="00CA6FB6" w:rsidRPr="001855C6" w:rsidRDefault="00CA6FB6" w:rsidP="00A22CB7">
      <w:pPr>
        <w:pStyle w:val="11Trescpisma"/>
        <w:suppressAutoHyphens/>
        <w:spacing w:before="0"/>
      </w:pPr>
    </w:p>
    <w:p w14:paraId="1A53CDF1" w14:textId="77777777" w:rsidR="00CA6FB6" w:rsidRPr="001855C6" w:rsidRDefault="00CA6FB6" w:rsidP="00A22CB7">
      <w:pPr>
        <w:pStyle w:val="11Trescpisma"/>
        <w:suppressAutoHyphens/>
        <w:spacing w:before="0"/>
      </w:pPr>
    </w:p>
    <w:p w14:paraId="1C1049BB" w14:textId="77777777" w:rsidR="00CA6FB6" w:rsidRPr="001855C6" w:rsidRDefault="00CA6FB6" w:rsidP="00A22CB7">
      <w:pPr>
        <w:pStyle w:val="11Trescpisma"/>
        <w:suppressAutoHyphens/>
        <w:spacing w:before="0"/>
      </w:pPr>
    </w:p>
    <w:p w14:paraId="37E940BC" w14:textId="77777777" w:rsidR="00CA6FB6" w:rsidRPr="001855C6" w:rsidRDefault="00CA6FB6" w:rsidP="00A22CB7">
      <w:pPr>
        <w:pStyle w:val="11Trescpisma"/>
        <w:suppressAutoHyphens/>
        <w:spacing w:before="0"/>
      </w:pPr>
    </w:p>
    <w:p w14:paraId="0A652FD0" w14:textId="77777777" w:rsidR="00CA6FB6" w:rsidRPr="001855C6" w:rsidRDefault="00CA6FB6" w:rsidP="00A22CB7">
      <w:pPr>
        <w:pStyle w:val="11Trescpisma"/>
        <w:suppressAutoHyphens/>
        <w:spacing w:before="0"/>
      </w:pPr>
    </w:p>
    <w:p w14:paraId="66E7E4EC" w14:textId="77777777" w:rsidR="009D3CD0" w:rsidRPr="001855C6" w:rsidRDefault="009D3CD0" w:rsidP="00A22CB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18"/>
        </w:rPr>
      </w:pPr>
    </w:p>
    <w:p w14:paraId="2DF0E8AF" w14:textId="0F959DAC" w:rsidR="009D3CD0" w:rsidRPr="001855C6" w:rsidRDefault="009D3CD0" w:rsidP="00A22CB7">
      <w:pPr>
        <w:suppressAutoHyphens/>
        <w:spacing w:before="120" w:line="23" w:lineRule="atLeast"/>
        <w:jc w:val="both"/>
        <w:rPr>
          <w:rFonts w:ascii="Verdana" w:hAnsi="Verdana"/>
          <w:sz w:val="20"/>
          <w:szCs w:val="18"/>
        </w:rPr>
      </w:pPr>
      <w:r w:rsidRPr="001855C6">
        <w:rPr>
          <w:rFonts w:ascii="Verdana" w:hAnsi="Verdana"/>
          <w:sz w:val="20"/>
          <w:szCs w:val="18"/>
        </w:rPr>
        <w:t xml:space="preserve">                   </w:t>
      </w:r>
    </w:p>
    <w:sectPr w:rsidR="009D3CD0" w:rsidRPr="001855C6" w:rsidSect="004F3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FF040" w14:textId="77777777" w:rsidR="001F71F0" w:rsidRDefault="001F71F0" w:rsidP="00CA5E1F">
      <w:r>
        <w:separator/>
      </w:r>
    </w:p>
  </w:endnote>
  <w:endnote w:type="continuationSeparator" w:id="0">
    <w:p w14:paraId="0A62362B" w14:textId="77777777" w:rsidR="001F71F0" w:rsidRDefault="001F71F0" w:rsidP="00CA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AA00" w14:textId="77777777" w:rsidR="004F3F42" w:rsidRDefault="004F3F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68DA7" w14:textId="77777777" w:rsidR="004F3F42" w:rsidRPr="004D6885" w:rsidRDefault="004F3F42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D2EF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D2EFB" w:rsidRPr="004D6885">
      <w:rPr>
        <w:sz w:val="14"/>
        <w:szCs w:val="14"/>
      </w:rPr>
      <w:fldChar w:fldCharType="separate"/>
    </w:r>
    <w:r w:rsidR="00261FA4">
      <w:rPr>
        <w:noProof/>
        <w:sz w:val="14"/>
        <w:szCs w:val="14"/>
      </w:rPr>
      <w:t>2</w:t>
    </w:r>
    <w:r w:rsidR="008D2EF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D2EF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D2EFB" w:rsidRPr="004D6885">
      <w:rPr>
        <w:sz w:val="14"/>
        <w:szCs w:val="14"/>
      </w:rPr>
      <w:fldChar w:fldCharType="separate"/>
    </w:r>
    <w:r w:rsidR="00261FA4">
      <w:rPr>
        <w:noProof/>
        <w:sz w:val="14"/>
        <w:szCs w:val="14"/>
      </w:rPr>
      <w:t>5</w:t>
    </w:r>
    <w:r w:rsidR="008D2EFB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9901" w14:textId="77777777" w:rsidR="004F3F42" w:rsidRDefault="004F3F42" w:rsidP="004F3F42">
    <w:pPr>
      <w:pStyle w:val="Stopka"/>
    </w:pPr>
  </w:p>
  <w:p w14:paraId="00147D87" w14:textId="6D275D3B" w:rsidR="004F3F42" w:rsidRDefault="0085664C" w:rsidP="004F3F42">
    <w:pPr>
      <w:pStyle w:val="Stopka"/>
    </w:pPr>
    <w:r>
      <w:rPr>
        <w:noProof/>
      </w:rPr>
      <w:drawing>
        <wp:inline distT="0" distB="0" distL="0" distR="0" wp14:anchorId="3328F7D0" wp14:editId="66E7FED0">
          <wp:extent cx="2057400" cy="752475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C725" w14:textId="77777777" w:rsidR="001F71F0" w:rsidRDefault="001F71F0" w:rsidP="00CA5E1F">
      <w:r>
        <w:separator/>
      </w:r>
    </w:p>
  </w:footnote>
  <w:footnote w:type="continuationSeparator" w:id="0">
    <w:p w14:paraId="281F89C3" w14:textId="77777777" w:rsidR="001F71F0" w:rsidRDefault="001F71F0" w:rsidP="00CA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A8E1" w14:textId="77777777" w:rsidR="004F3F42" w:rsidRDefault="001F71F0">
    <w:r>
      <w:rPr>
        <w:noProof/>
      </w:rPr>
      <w:pict w14:anchorId="42CDD3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706F" w14:textId="77777777" w:rsidR="004F3F42" w:rsidRDefault="004F3F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303E" w14:textId="7C309B17" w:rsidR="004F3F42" w:rsidRDefault="0085664C" w:rsidP="004F3F42">
    <w:pPr>
      <w:pStyle w:val="Stopka"/>
    </w:pPr>
    <w:r>
      <w:rPr>
        <w:noProof/>
      </w:rPr>
      <w:drawing>
        <wp:inline distT="0" distB="0" distL="0" distR="0" wp14:anchorId="6D2B5A02" wp14:editId="7EA7889B">
          <wp:extent cx="2047875" cy="1828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11B7"/>
    <w:multiLevelType w:val="hybridMultilevel"/>
    <w:tmpl w:val="1FECE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5F28"/>
    <w:multiLevelType w:val="hybridMultilevel"/>
    <w:tmpl w:val="11A43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2DA1"/>
    <w:multiLevelType w:val="hybridMultilevel"/>
    <w:tmpl w:val="476EC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C33"/>
    <w:multiLevelType w:val="hybridMultilevel"/>
    <w:tmpl w:val="C12685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AA0FA0"/>
    <w:multiLevelType w:val="hybridMultilevel"/>
    <w:tmpl w:val="2326E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B0146"/>
    <w:multiLevelType w:val="hybridMultilevel"/>
    <w:tmpl w:val="4740A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F0FA0"/>
    <w:multiLevelType w:val="hybridMultilevel"/>
    <w:tmpl w:val="061C9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22DD5"/>
    <w:multiLevelType w:val="hybridMultilevel"/>
    <w:tmpl w:val="08DAD0B6"/>
    <w:lvl w:ilvl="0" w:tplc="40F6A61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F7815"/>
    <w:multiLevelType w:val="hybridMultilevel"/>
    <w:tmpl w:val="4EEE741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2DEA3341"/>
    <w:multiLevelType w:val="hybridMultilevel"/>
    <w:tmpl w:val="5EBA8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88B"/>
    <w:multiLevelType w:val="hybridMultilevel"/>
    <w:tmpl w:val="4CFE2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A49B8"/>
    <w:multiLevelType w:val="hybridMultilevel"/>
    <w:tmpl w:val="9D4A9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A02F5"/>
    <w:multiLevelType w:val="hybridMultilevel"/>
    <w:tmpl w:val="11EE2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C04BD"/>
    <w:multiLevelType w:val="hybridMultilevel"/>
    <w:tmpl w:val="9AD67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25982"/>
    <w:multiLevelType w:val="hybridMultilevel"/>
    <w:tmpl w:val="F80C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B4E69"/>
    <w:multiLevelType w:val="hybridMultilevel"/>
    <w:tmpl w:val="33BE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56186"/>
    <w:multiLevelType w:val="hybridMultilevel"/>
    <w:tmpl w:val="B35E9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85FE9"/>
    <w:multiLevelType w:val="hybridMultilevel"/>
    <w:tmpl w:val="A692D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B24E7F"/>
    <w:multiLevelType w:val="hybridMultilevel"/>
    <w:tmpl w:val="060C7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90A49"/>
    <w:multiLevelType w:val="hybridMultilevel"/>
    <w:tmpl w:val="F15A99FE"/>
    <w:lvl w:ilvl="0" w:tplc="40CADD4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5A7F0582"/>
    <w:multiLevelType w:val="hybridMultilevel"/>
    <w:tmpl w:val="5E8C8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766B0C"/>
    <w:multiLevelType w:val="multilevel"/>
    <w:tmpl w:val="145A080A"/>
    <w:lvl w:ilvl="0">
      <w:start w:val="1"/>
      <w:numFmt w:val="decimal"/>
      <w:pStyle w:val="18Zalaczniki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241037"/>
    <w:multiLevelType w:val="hybridMultilevel"/>
    <w:tmpl w:val="A43AD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E2DC9"/>
    <w:multiLevelType w:val="hybridMultilevel"/>
    <w:tmpl w:val="AF060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19"/>
  </w:num>
  <w:num w:numId="6">
    <w:abstractNumId w:val="23"/>
  </w:num>
  <w:num w:numId="7">
    <w:abstractNumId w:val="3"/>
  </w:num>
  <w:num w:numId="8">
    <w:abstractNumId w:val="15"/>
  </w:num>
  <w:num w:numId="9">
    <w:abstractNumId w:val="13"/>
  </w:num>
  <w:num w:numId="10">
    <w:abstractNumId w:val="2"/>
  </w:num>
  <w:num w:numId="11">
    <w:abstractNumId w:val="4"/>
  </w:num>
  <w:num w:numId="12">
    <w:abstractNumId w:val="18"/>
  </w:num>
  <w:num w:numId="13">
    <w:abstractNumId w:val="10"/>
  </w:num>
  <w:num w:numId="14">
    <w:abstractNumId w:val="9"/>
  </w:num>
  <w:num w:numId="15">
    <w:abstractNumId w:val="20"/>
  </w:num>
  <w:num w:numId="16">
    <w:abstractNumId w:val="6"/>
  </w:num>
  <w:num w:numId="17">
    <w:abstractNumId w:val="7"/>
  </w:num>
  <w:num w:numId="18">
    <w:abstractNumId w:val="5"/>
  </w:num>
  <w:num w:numId="19">
    <w:abstractNumId w:val="14"/>
  </w:num>
  <w:num w:numId="20">
    <w:abstractNumId w:val="1"/>
  </w:num>
  <w:num w:numId="21">
    <w:abstractNumId w:val="21"/>
  </w:num>
  <w:num w:numId="22">
    <w:abstractNumId w:val="16"/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1F"/>
    <w:rsid w:val="000040F6"/>
    <w:rsid w:val="00006B6E"/>
    <w:rsid w:val="00007054"/>
    <w:rsid w:val="00010094"/>
    <w:rsid w:val="00012A51"/>
    <w:rsid w:val="0002115F"/>
    <w:rsid w:val="00021D36"/>
    <w:rsid w:val="000252DA"/>
    <w:rsid w:val="000259E3"/>
    <w:rsid w:val="0002632F"/>
    <w:rsid w:val="00031F7A"/>
    <w:rsid w:val="00036CE4"/>
    <w:rsid w:val="0004691C"/>
    <w:rsid w:val="0005216E"/>
    <w:rsid w:val="0005237E"/>
    <w:rsid w:val="00061AED"/>
    <w:rsid w:val="00063841"/>
    <w:rsid w:val="000644B7"/>
    <w:rsid w:val="00071896"/>
    <w:rsid w:val="00073CE3"/>
    <w:rsid w:val="0007517C"/>
    <w:rsid w:val="000752B0"/>
    <w:rsid w:val="000814B8"/>
    <w:rsid w:val="00084D8E"/>
    <w:rsid w:val="0008594D"/>
    <w:rsid w:val="000861ED"/>
    <w:rsid w:val="0008678B"/>
    <w:rsid w:val="00091C18"/>
    <w:rsid w:val="000972C4"/>
    <w:rsid w:val="000A15CF"/>
    <w:rsid w:val="000A251C"/>
    <w:rsid w:val="000A2D1D"/>
    <w:rsid w:val="000A55AA"/>
    <w:rsid w:val="000A6C82"/>
    <w:rsid w:val="000B2CF6"/>
    <w:rsid w:val="000B45C7"/>
    <w:rsid w:val="000B6F5C"/>
    <w:rsid w:val="000C0799"/>
    <w:rsid w:val="000C1B56"/>
    <w:rsid w:val="000C4FC8"/>
    <w:rsid w:val="000D1C52"/>
    <w:rsid w:val="000D33AB"/>
    <w:rsid w:val="000D33C4"/>
    <w:rsid w:val="000D5809"/>
    <w:rsid w:val="000D5E04"/>
    <w:rsid w:val="000D736E"/>
    <w:rsid w:val="000D790E"/>
    <w:rsid w:val="000D7EF9"/>
    <w:rsid w:val="000E1051"/>
    <w:rsid w:val="000E248D"/>
    <w:rsid w:val="000E4C2A"/>
    <w:rsid w:val="000E5A64"/>
    <w:rsid w:val="000E62A8"/>
    <w:rsid w:val="000E6EF9"/>
    <w:rsid w:val="000F07BD"/>
    <w:rsid w:val="000F092D"/>
    <w:rsid w:val="000F12C2"/>
    <w:rsid w:val="000F3ED7"/>
    <w:rsid w:val="000F619E"/>
    <w:rsid w:val="000F61E3"/>
    <w:rsid w:val="000F7EB3"/>
    <w:rsid w:val="00104DF6"/>
    <w:rsid w:val="001059B0"/>
    <w:rsid w:val="00106120"/>
    <w:rsid w:val="0010627D"/>
    <w:rsid w:val="0010771D"/>
    <w:rsid w:val="00112CC9"/>
    <w:rsid w:val="00114D87"/>
    <w:rsid w:val="001172E5"/>
    <w:rsid w:val="001203C1"/>
    <w:rsid w:val="00124141"/>
    <w:rsid w:val="00124F23"/>
    <w:rsid w:val="001271BA"/>
    <w:rsid w:val="00127666"/>
    <w:rsid w:val="00130E26"/>
    <w:rsid w:val="0013376E"/>
    <w:rsid w:val="00136857"/>
    <w:rsid w:val="0014371A"/>
    <w:rsid w:val="001514AB"/>
    <w:rsid w:val="00151927"/>
    <w:rsid w:val="00151E8C"/>
    <w:rsid w:val="00157B22"/>
    <w:rsid w:val="0017377C"/>
    <w:rsid w:val="00175B17"/>
    <w:rsid w:val="00181ACD"/>
    <w:rsid w:val="001855C6"/>
    <w:rsid w:val="00186D2D"/>
    <w:rsid w:val="00192BBC"/>
    <w:rsid w:val="00194B04"/>
    <w:rsid w:val="001A021E"/>
    <w:rsid w:val="001A59E3"/>
    <w:rsid w:val="001A68A4"/>
    <w:rsid w:val="001A791B"/>
    <w:rsid w:val="001B00C8"/>
    <w:rsid w:val="001B2558"/>
    <w:rsid w:val="001B7303"/>
    <w:rsid w:val="001C02BB"/>
    <w:rsid w:val="001C3C2F"/>
    <w:rsid w:val="001C4AEA"/>
    <w:rsid w:val="001D19CF"/>
    <w:rsid w:val="001D4654"/>
    <w:rsid w:val="001E0362"/>
    <w:rsid w:val="001E4B7B"/>
    <w:rsid w:val="001F3C1C"/>
    <w:rsid w:val="001F71F0"/>
    <w:rsid w:val="00200519"/>
    <w:rsid w:val="00200EF0"/>
    <w:rsid w:val="002029B4"/>
    <w:rsid w:val="002133B5"/>
    <w:rsid w:val="0021692D"/>
    <w:rsid w:val="00220CA2"/>
    <w:rsid w:val="0022275A"/>
    <w:rsid w:val="00223752"/>
    <w:rsid w:val="0023362C"/>
    <w:rsid w:val="00234B8F"/>
    <w:rsid w:val="002370FE"/>
    <w:rsid w:val="002426A4"/>
    <w:rsid w:val="0026058E"/>
    <w:rsid w:val="00261FA4"/>
    <w:rsid w:val="0026565F"/>
    <w:rsid w:val="00266A84"/>
    <w:rsid w:val="002822F6"/>
    <w:rsid w:val="00282D99"/>
    <w:rsid w:val="0028378E"/>
    <w:rsid w:val="002848A5"/>
    <w:rsid w:val="00287CE3"/>
    <w:rsid w:val="00290C8E"/>
    <w:rsid w:val="00293C24"/>
    <w:rsid w:val="002A1A81"/>
    <w:rsid w:val="002A483E"/>
    <w:rsid w:val="002B0C49"/>
    <w:rsid w:val="002B17CE"/>
    <w:rsid w:val="002B2297"/>
    <w:rsid w:val="002B26B1"/>
    <w:rsid w:val="002B47A1"/>
    <w:rsid w:val="002B560A"/>
    <w:rsid w:val="002C40D4"/>
    <w:rsid w:val="002C5BA1"/>
    <w:rsid w:val="002D10CE"/>
    <w:rsid w:val="002D13D9"/>
    <w:rsid w:val="002D4378"/>
    <w:rsid w:val="002D73E4"/>
    <w:rsid w:val="002E3093"/>
    <w:rsid w:val="002E4E0A"/>
    <w:rsid w:val="002F25D0"/>
    <w:rsid w:val="002F3607"/>
    <w:rsid w:val="00301502"/>
    <w:rsid w:val="00303DA7"/>
    <w:rsid w:val="00305915"/>
    <w:rsid w:val="003071A7"/>
    <w:rsid w:val="00311428"/>
    <w:rsid w:val="00312351"/>
    <w:rsid w:val="003128AB"/>
    <w:rsid w:val="00313689"/>
    <w:rsid w:val="00316D55"/>
    <w:rsid w:val="00320B5C"/>
    <w:rsid w:val="00321515"/>
    <w:rsid w:val="0032457B"/>
    <w:rsid w:val="00324B39"/>
    <w:rsid w:val="00326E81"/>
    <w:rsid w:val="00330FF1"/>
    <w:rsid w:val="00331DDE"/>
    <w:rsid w:val="00332A38"/>
    <w:rsid w:val="00341F35"/>
    <w:rsid w:val="003476D6"/>
    <w:rsid w:val="00347AC6"/>
    <w:rsid w:val="00350C0B"/>
    <w:rsid w:val="003516BE"/>
    <w:rsid w:val="003520CD"/>
    <w:rsid w:val="00352FC8"/>
    <w:rsid w:val="003551E0"/>
    <w:rsid w:val="0035794A"/>
    <w:rsid w:val="00362250"/>
    <w:rsid w:val="003679E1"/>
    <w:rsid w:val="00367B73"/>
    <w:rsid w:val="00377849"/>
    <w:rsid w:val="00385746"/>
    <w:rsid w:val="00385A8C"/>
    <w:rsid w:val="00392281"/>
    <w:rsid w:val="00395DC5"/>
    <w:rsid w:val="00396292"/>
    <w:rsid w:val="00397AFF"/>
    <w:rsid w:val="003A39EA"/>
    <w:rsid w:val="003A3DCA"/>
    <w:rsid w:val="003A7190"/>
    <w:rsid w:val="003B120B"/>
    <w:rsid w:val="003B175E"/>
    <w:rsid w:val="003B20DC"/>
    <w:rsid w:val="003C15CD"/>
    <w:rsid w:val="003D244A"/>
    <w:rsid w:val="003E0F2D"/>
    <w:rsid w:val="003E34CC"/>
    <w:rsid w:val="003F0CDE"/>
    <w:rsid w:val="00404509"/>
    <w:rsid w:val="004052CE"/>
    <w:rsid w:val="004237A7"/>
    <w:rsid w:val="004249A1"/>
    <w:rsid w:val="00426E84"/>
    <w:rsid w:val="004337A6"/>
    <w:rsid w:val="0043583E"/>
    <w:rsid w:val="00440B27"/>
    <w:rsid w:val="00440B94"/>
    <w:rsid w:val="00450298"/>
    <w:rsid w:val="00450903"/>
    <w:rsid w:val="004533AD"/>
    <w:rsid w:val="0045577E"/>
    <w:rsid w:val="00456A05"/>
    <w:rsid w:val="00456F72"/>
    <w:rsid w:val="0046421E"/>
    <w:rsid w:val="0046451F"/>
    <w:rsid w:val="00472730"/>
    <w:rsid w:val="004857EF"/>
    <w:rsid w:val="004911F8"/>
    <w:rsid w:val="00497463"/>
    <w:rsid w:val="004A0F13"/>
    <w:rsid w:val="004A7F4C"/>
    <w:rsid w:val="004B0006"/>
    <w:rsid w:val="004B0CCB"/>
    <w:rsid w:val="004B2C76"/>
    <w:rsid w:val="004B5CA3"/>
    <w:rsid w:val="004D0715"/>
    <w:rsid w:val="004E3840"/>
    <w:rsid w:val="004E5F62"/>
    <w:rsid w:val="004E60F0"/>
    <w:rsid w:val="004E710C"/>
    <w:rsid w:val="004F3F42"/>
    <w:rsid w:val="004F5C43"/>
    <w:rsid w:val="004F7754"/>
    <w:rsid w:val="00506CBB"/>
    <w:rsid w:val="00506CFB"/>
    <w:rsid w:val="00507BE7"/>
    <w:rsid w:val="00516051"/>
    <w:rsid w:val="00521073"/>
    <w:rsid w:val="00521DAA"/>
    <w:rsid w:val="005240C5"/>
    <w:rsid w:val="005309AB"/>
    <w:rsid w:val="005312E8"/>
    <w:rsid w:val="00547350"/>
    <w:rsid w:val="00550FC1"/>
    <w:rsid w:val="00550FC8"/>
    <w:rsid w:val="00555F8D"/>
    <w:rsid w:val="00561061"/>
    <w:rsid w:val="0057226C"/>
    <w:rsid w:val="0057521D"/>
    <w:rsid w:val="005757B1"/>
    <w:rsid w:val="00577C5D"/>
    <w:rsid w:val="00583CA4"/>
    <w:rsid w:val="00586A9C"/>
    <w:rsid w:val="00587F86"/>
    <w:rsid w:val="0059046D"/>
    <w:rsid w:val="00594FA5"/>
    <w:rsid w:val="005956CE"/>
    <w:rsid w:val="005A52D7"/>
    <w:rsid w:val="005A592C"/>
    <w:rsid w:val="005B0FC0"/>
    <w:rsid w:val="005B1FAA"/>
    <w:rsid w:val="005C0289"/>
    <w:rsid w:val="005C54F2"/>
    <w:rsid w:val="005C553F"/>
    <w:rsid w:val="005C59DC"/>
    <w:rsid w:val="005C6634"/>
    <w:rsid w:val="005D60FF"/>
    <w:rsid w:val="005E22F4"/>
    <w:rsid w:val="005E3BB5"/>
    <w:rsid w:val="005F4A85"/>
    <w:rsid w:val="005F60C6"/>
    <w:rsid w:val="005F648B"/>
    <w:rsid w:val="005F6E82"/>
    <w:rsid w:val="00613E71"/>
    <w:rsid w:val="006221E5"/>
    <w:rsid w:val="00624300"/>
    <w:rsid w:val="006260B4"/>
    <w:rsid w:val="00626C35"/>
    <w:rsid w:val="00627643"/>
    <w:rsid w:val="006308BE"/>
    <w:rsid w:val="00632318"/>
    <w:rsid w:val="00650B77"/>
    <w:rsid w:val="0065160D"/>
    <w:rsid w:val="00651EB5"/>
    <w:rsid w:val="00653B3F"/>
    <w:rsid w:val="006564A9"/>
    <w:rsid w:val="0066365D"/>
    <w:rsid w:val="00663953"/>
    <w:rsid w:val="00665052"/>
    <w:rsid w:val="00675A57"/>
    <w:rsid w:val="00677E68"/>
    <w:rsid w:val="00683975"/>
    <w:rsid w:val="00687ACD"/>
    <w:rsid w:val="00691819"/>
    <w:rsid w:val="00691C6C"/>
    <w:rsid w:val="00693128"/>
    <w:rsid w:val="006937D2"/>
    <w:rsid w:val="00693D73"/>
    <w:rsid w:val="006A28E3"/>
    <w:rsid w:val="006A390D"/>
    <w:rsid w:val="006A5EF1"/>
    <w:rsid w:val="006A694E"/>
    <w:rsid w:val="006B41C0"/>
    <w:rsid w:val="006C2E53"/>
    <w:rsid w:val="006D1FA9"/>
    <w:rsid w:val="006D28F5"/>
    <w:rsid w:val="006D30CE"/>
    <w:rsid w:val="006D4B34"/>
    <w:rsid w:val="006D4F5D"/>
    <w:rsid w:val="006D65D1"/>
    <w:rsid w:val="006E52AB"/>
    <w:rsid w:val="006F43FD"/>
    <w:rsid w:val="006F7DD8"/>
    <w:rsid w:val="00705908"/>
    <w:rsid w:val="00711D91"/>
    <w:rsid w:val="00721744"/>
    <w:rsid w:val="00724EC2"/>
    <w:rsid w:val="00732FEE"/>
    <w:rsid w:val="00744B5C"/>
    <w:rsid w:val="0074726A"/>
    <w:rsid w:val="0075099E"/>
    <w:rsid w:val="00750D94"/>
    <w:rsid w:val="007522E8"/>
    <w:rsid w:val="00752B8E"/>
    <w:rsid w:val="00752C98"/>
    <w:rsid w:val="0075394C"/>
    <w:rsid w:val="00755712"/>
    <w:rsid w:val="00756291"/>
    <w:rsid w:val="007569E0"/>
    <w:rsid w:val="00766AB5"/>
    <w:rsid w:val="00773005"/>
    <w:rsid w:val="00774DD0"/>
    <w:rsid w:val="00774F83"/>
    <w:rsid w:val="00793840"/>
    <w:rsid w:val="0079765C"/>
    <w:rsid w:val="007A2E0C"/>
    <w:rsid w:val="007A40B8"/>
    <w:rsid w:val="007B0327"/>
    <w:rsid w:val="007B0467"/>
    <w:rsid w:val="007B40B0"/>
    <w:rsid w:val="007B61DF"/>
    <w:rsid w:val="007B7EA1"/>
    <w:rsid w:val="007C09B1"/>
    <w:rsid w:val="007C3034"/>
    <w:rsid w:val="007C37BE"/>
    <w:rsid w:val="007C3C71"/>
    <w:rsid w:val="007C3F92"/>
    <w:rsid w:val="007C63DA"/>
    <w:rsid w:val="007D1C0C"/>
    <w:rsid w:val="007D72E7"/>
    <w:rsid w:val="007E2A98"/>
    <w:rsid w:val="007E55AD"/>
    <w:rsid w:val="007E59E1"/>
    <w:rsid w:val="007E6542"/>
    <w:rsid w:val="007F162C"/>
    <w:rsid w:val="007F7829"/>
    <w:rsid w:val="00802C65"/>
    <w:rsid w:val="00803157"/>
    <w:rsid w:val="00805EFE"/>
    <w:rsid w:val="00812E85"/>
    <w:rsid w:val="00816BB3"/>
    <w:rsid w:val="0082102F"/>
    <w:rsid w:val="00821335"/>
    <w:rsid w:val="008213E9"/>
    <w:rsid w:val="008220B3"/>
    <w:rsid w:val="00822815"/>
    <w:rsid w:val="00825A26"/>
    <w:rsid w:val="00833C12"/>
    <w:rsid w:val="00834216"/>
    <w:rsid w:val="00835972"/>
    <w:rsid w:val="008412B4"/>
    <w:rsid w:val="0084136F"/>
    <w:rsid w:val="00841846"/>
    <w:rsid w:val="0084296E"/>
    <w:rsid w:val="00843335"/>
    <w:rsid w:val="00844D9C"/>
    <w:rsid w:val="00847ECF"/>
    <w:rsid w:val="00851152"/>
    <w:rsid w:val="00854E2B"/>
    <w:rsid w:val="0085524D"/>
    <w:rsid w:val="0085664C"/>
    <w:rsid w:val="00856B21"/>
    <w:rsid w:val="0085735E"/>
    <w:rsid w:val="0086560D"/>
    <w:rsid w:val="008665EB"/>
    <w:rsid w:val="00870C10"/>
    <w:rsid w:val="00872E1F"/>
    <w:rsid w:val="0087456D"/>
    <w:rsid w:val="008763E3"/>
    <w:rsid w:val="00880B94"/>
    <w:rsid w:val="00880FBC"/>
    <w:rsid w:val="008812AA"/>
    <w:rsid w:val="00883EFB"/>
    <w:rsid w:val="00887B4B"/>
    <w:rsid w:val="00891850"/>
    <w:rsid w:val="008920CD"/>
    <w:rsid w:val="008927CD"/>
    <w:rsid w:val="0089792C"/>
    <w:rsid w:val="00897935"/>
    <w:rsid w:val="008A57E0"/>
    <w:rsid w:val="008A6BF6"/>
    <w:rsid w:val="008A7ECE"/>
    <w:rsid w:val="008B2487"/>
    <w:rsid w:val="008B6354"/>
    <w:rsid w:val="008C1681"/>
    <w:rsid w:val="008C19E4"/>
    <w:rsid w:val="008C1A64"/>
    <w:rsid w:val="008C2106"/>
    <w:rsid w:val="008C5183"/>
    <w:rsid w:val="008C73BF"/>
    <w:rsid w:val="008D0E4D"/>
    <w:rsid w:val="008D2C30"/>
    <w:rsid w:val="008D2EFB"/>
    <w:rsid w:val="008D4ACB"/>
    <w:rsid w:val="008E6674"/>
    <w:rsid w:val="008F2CFB"/>
    <w:rsid w:val="008F4AB9"/>
    <w:rsid w:val="0090182A"/>
    <w:rsid w:val="00905202"/>
    <w:rsid w:val="00907195"/>
    <w:rsid w:val="00910BDA"/>
    <w:rsid w:val="009158C8"/>
    <w:rsid w:val="00916B8E"/>
    <w:rsid w:val="00920DCD"/>
    <w:rsid w:val="00922533"/>
    <w:rsid w:val="00926D64"/>
    <w:rsid w:val="00937DCC"/>
    <w:rsid w:val="00941B5A"/>
    <w:rsid w:val="00942C29"/>
    <w:rsid w:val="009443F1"/>
    <w:rsid w:val="00946EA6"/>
    <w:rsid w:val="009549EE"/>
    <w:rsid w:val="00961584"/>
    <w:rsid w:val="00965B54"/>
    <w:rsid w:val="00966005"/>
    <w:rsid w:val="00973450"/>
    <w:rsid w:val="009749D2"/>
    <w:rsid w:val="00980486"/>
    <w:rsid w:val="009812A7"/>
    <w:rsid w:val="009812ED"/>
    <w:rsid w:val="0098211D"/>
    <w:rsid w:val="009852A2"/>
    <w:rsid w:val="00985F45"/>
    <w:rsid w:val="00995910"/>
    <w:rsid w:val="00995B69"/>
    <w:rsid w:val="009A0794"/>
    <w:rsid w:val="009A4D7B"/>
    <w:rsid w:val="009A727A"/>
    <w:rsid w:val="009B007C"/>
    <w:rsid w:val="009B1496"/>
    <w:rsid w:val="009C0250"/>
    <w:rsid w:val="009C312D"/>
    <w:rsid w:val="009C38A0"/>
    <w:rsid w:val="009C430A"/>
    <w:rsid w:val="009C4A45"/>
    <w:rsid w:val="009D13ED"/>
    <w:rsid w:val="009D39BB"/>
    <w:rsid w:val="009D3CD0"/>
    <w:rsid w:val="009D7064"/>
    <w:rsid w:val="009F0016"/>
    <w:rsid w:val="009F5804"/>
    <w:rsid w:val="009F77F9"/>
    <w:rsid w:val="009F7F46"/>
    <w:rsid w:val="00A0062E"/>
    <w:rsid w:val="00A01BBB"/>
    <w:rsid w:val="00A0545D"/>
    <w:rsid w:val="00A12904"/>
    <w:rsid w:val="00A16FF1"/>
    <w:rsid w:val="00A21D4D"/>
    <w:rsid w:val="00A21EF6"/>
    <w:rsid w:val="00A22CB7"/>
    <w:rsid w:val="00A23A47"/>
    <w:rsid w:val="00A246AE"/>
    <w:rsid w:val="00A3039E"/>
    <w:rsid w:val="00A308BC"/>
    <w:rsid w:val="00A313AF"/>
    <w:rsid w:val="00A3374C"/>
    <w:rsid w:val="00A4014C"/>
    <w:rsid w:val="00A46AC9"/>
    <w:rsid w:val="00A51245"/>
    <w:rsid w:val="00A54287"/>
    <w:rsid w:val="00A544EB"/>
    <w:rsid w:val="00A55F75"/>
    <w:rsid w:val="00A62EF3"/>
    <w:rsid w:val="00A64170"/>
    <w:rsid w:val="00A65798"/>
    <w:rsid w:val="00A67C70"/>
    <w:rsid w:val="00A707D2"/>
    <w:rsid w:val="00A71AFA"/>
    <w:rsid w:val="00A75A33"/>
    <w:rsid w:val="00A8139F"/>
    <w:rsid w:val="00A81C52"/>
    <w:rsid w:val="00A85A54"/>
    <w:rsid w:val="00A85EEB"/>
    <w:rsid w:val="00A86398"/>
    <w:rsid w:val="00A8747E"/>
    <w:rsid w:val="00A9244D"/>
    <w:rsid w:val="00A93796"/>
    <w:rsid w:val="00AA029A"/>
    <w:rsid w:val="00AA47FB"/>
    <w:rsid w:val="00AB0BA5"/>
    <w:rsid w:val="00AB0FCF"/>
    <w:rsid w:val="00AB6071"/>
    <w:rsid w:val="00AC0F79"/>
    <w:rsid w:val="00AC2DDE"/>
    <w:rsid w:val="00AC6142"/>
    <w:rsid w:val="00AD368A"/>
    <w:rsid w:val="00AD4E9D"/>
    <w:rsid w:val="00AD7568"/>
    <w:rsid w:val="00AE1423"/>
    <w:rsid w:val="00AE48EF"/>
    <w:rsid w:val="00AE4A12"/>
    <w:rsid w:val="00AE51BE"/>
    <w:rsid w:val="00AF0F72"/>
    <w:rsid w:val="00AF3BFC"/>
    <w:rsid w:val="00AF60A7"/>
    <w:rsid w:val="00B15AFB"/>
    <w:rsid w:val="00B16D94"/>
    <w:rsid w:val="00B22458"/>
    <w:rsid w:val="00B23BCB"/>
    <w:rsid w:val="00B23FCC"/>
    <w:rsid w:val="00B25D8E"/>
    <w:rsid w:val="00B262AC"/>
    <w:rsid w:val="00B26FDA"/>
    <w:rsid w:val="00B30864"/>
    <w:rsid w:val="00B31A62"/>
    <w:rsid w:val="00B33276"/>
    <w:rsid w:val="00B40F2E"/>
    <w:rsid w:val="00B42889"/>
    <w:rsid w:val="00B47469"/>
    <w:rsid w:val="00B47B27"/>
    <w:rsid w:val="00B47BA7"/>
    <w:rsid w:val="00B52F69"/>
    <w:rsid w:val="00B535FD"/>
    <w:rsid w:val="00B54C14"/>
    <w:rsid w:val="00B60773"/>
    <w:rsid w:val="00B6130E"/>
    <w:rsid w:val="00B62E13"/>
    <w:rsid w:val="00B6405B"/>
    <w:rsid w:val="00B67378"/>
    <w:rsid w:val="00B7067E"/>
    <w:rsid w:val="00B70F0B"/>
    <w:rsid w:val="00B7252B"/>
    <w:rsid w:val="00B739D0"/>
    <w:rsid w:val="00B7559B"/>
    <w:rsid w:val="00B80C67"/>
    <w:rsid w:val="00B82922"/>
    <w:rsid w:val="00B83AD7"/>
    <w:rsid w:val="00B85866"/>
    <w:rsid w:val="00B8705D"/>
    <w:rsid w:val="00B91126"/>
    <w:rsid w:val="00B94468"/>
    <w:rsid w:val="00B9664F"/>
    <w:rsid w:val="00BA3DC5"/>
    <w:rsid w:val="00BA6908"/>
    <w:rsid w:val="00BC34BE"/>
    <w:rsid w:val="00BC6631"/>
    <w:rsid w:val="00BD5187"/>
    <w:rsid w:val="00BD64D1"/>
    <w:rsid w:val="00BE435D"/>
    <w:rsid w:val="00BE4CBA"/>
    <w:rsid w:val="00BF0BAE"/>
    <w:rsid w:val="00BF1E25"/>
    <w:rsid w:val="00BF2C1E"/>
    <w:rsid w:val="00BF463E"/>
    <w:rsid w:val="00BF661D"/>
    <w:rsid w:val="00C0144F"/>
    <w:rsid w:val="00C062C2"/>
    <w:rsid w:val="00C157F4"/>
    <w:rsid w:val="00C20B00"/>
    <w:rsid w:val="00C20FB0"/>
    <w:rsid w:val="00C27C1A"/>
    <w:rsid w:val="00C3103F"/>
    <w:rsid w:val="00C31475"/>
    <w:rsid w:val="00C35BF4"/>
    <w:rsid w:val="00C36C2F"/>
    <w:rsid w:val="00C5245C"/>
    <w:rsid w:val="00C56F0C"/>
    <w:rsid w:val="00C60CF6"/>
    <w:rsid w:val="00C630DF"/>
    <w:rsid w:val="00C71800"/>
    <w:rsid w:val="00C80B95"/>
    <w:rsid w:val="00C8452C"/>
    <w:rsid w:val="00C86066"/>
    <w:rsid w:val="00C87654"/>
    <w:rsid w:val="00C92867"/>
    <w:rsid w:val="00C9719A"/>
    <w:rsid w:val="00C97B59"/>
    <w:rsid w:val="00CA12DD"/>
    <w:rsid w:val="00CA2714"/>
    <w:rsid w:val="00CA43B5"/>
    <w:rsid w:val="00CA4D63"/>
    <w:rsid w:val="00CA5E1F"/>
    <w:rsid w:val="00CA6FB6"/>
    <w:rsid w:val="00CA7447"/>
    <w:rsid w:val="00CA7BF2"/>
    <w:rsid w:val="00CB0F5C"/>
    <w:rsid w:val="00CB1393"/>
    <w:rsid w:val="00CB24AB"/>
    <w:rsid w:val="00CC50C1"/>
    <w:rsid w:val="00CC64A7"/>
    <w:rsid w:val="00CC798B"/>
    <w:rsid w:val="00CD2E06"/>
    <w:rsid w:val="00CD43DE"/>
    <w:rsid w:val="00CD6CCB"/>
    <w:rsid w:val="00CE0AFF"/>
    <w:rsid w:val="00CE2A45"/>
    <w:rsid w:val="00CE600A"/>
    <w:rsid w:val="00CE6974"/>
    <w:rsid w:val="00CE7A1B"/>
    <w:rsid w:val="00CE7B7E"/>
    <w:rsid w:val="00CF37B2"/>
    <w:rsid w:val="00CF5EDB"/>
    <w:rsid w:val="00CF75FF"/>
    <w:rsid w:val="00D02A24"/>
    <w:rsid w:val="00D043DC"/>
    <w:rsid w:val="00D054DC"/>
    <w:rsid w:val="00D05798"/>
    <w:rsid w:val="00D1294C"/>
    <w:rsid w:val="00D1616C"/>
    <w:rsid w:val="00D21CD5"/>
    <w:rsid w:val="00D21F70"/>
    <w:rsid w:val="00D24839"/>
    <w:rsid w:val="00D27F14"/>
    <w:rsid w:val="00D31B6B"/>
    <w:rsid w:val="00D33CF8"/>
    <w:rsid w:val="00D46BBF"/>
    <w:rsid w:val="00D47136"/>
    <w:rsid w:val="00D516B5"/>
    <w:rsid w:val="00D53D24"/>
    <w:rsid w:val="00D56227"/>
    <w:rsid w:val="00D57B56"/>
    <w:rsid w:val="00D64317"/>
    <w:rsid w:val="00D713A2"/>
    <w:rsid w:val="00D71ACA"/>
    <w:rsid w:val="00D81FC1"/>
    <w:rsid w:val="00D84213"/>
    <w:rsid w:val="00D853F8"/>
    <w:rsid w:val="00D85937"/>
    <w:rsid w:val="00D93C06"/>
    <w:rsid w:val="00DA0ABF"/>
    <w:rsid w:val="00DA0D66"/>
    <w:rsid w:val="00DA4A9E"/>
    <w:rsid w:val="00DA573D"/>
    <w:rsid w:val="00DA7184"/>
    <w:rsid w:val="00DB19E0"/>
    <w:rsid w:val="00DC1B73"/>
    <w:rsid w:val="00DC2B9D"/>
    <w:rsid w:val="00DC61DC"/>
    <w:rsid w:val="00DD064F"/>
    <w:rsid w:val="00DD1461"/>
    <w:rsid w:val="00DD2E06"/>
    <w:rsid w:val="00DD5B14"/>
    <w:rsid w:val="00DD7D10"/>
    <w:rsid w:val="00DF1081"/>
    <w:rsid w:val="00DF25AB"/>
    <w:rsid w:val="00DF7BDF"/>
    <w:rsid w:val="00E02E84"/>
    <w:rsid w:val="00E0330B"/>
    <w:rsid w:val="00E11108"/>
    <w:rsid w:val="00E129AF"/>
    <w:rsid w:val="00E14AA4"/>
    <w:rsid w:val="00E15CE8"/>
    <w:rsid w:val="00E16491"/>
    <w:rsid w:val="00E2059D"/>
    <w:rsid w:val="00E22721"/>
    <w:rsid w:val="00E24DED"/>
    <w:rsid w:val="00E255BB"/>
    <w:rsid w:val="00E31A00"/>
    <w:rsid w:val="00E32201"/>
    <w:rsid w:val="00E36462"/>
    <w:rsid w:val="00E41853"/>
    <w:rsid w:val="00E43821"/>
    <w:rsid w:val="00E463F0"/>
    <w:rsid w:val="00E464B0"/>
    <w:rsid w:val="00E471E0"/>
    <w:rsid w:val="00E50A45"/>
    <w:rsid w:val="00E5354D"/>
    <w:rsid w:val="00E53F25"/>
    <w:rsid w:val="00E555FC"/>
    <w:rsid w:val="00E55DC0"/>
    <w:rsid w:val="00E56B61"/>
    <w:rsid w:val="00E57E0A"/>
    <w:rsid w:val="00E70F4A"/>
    <w:rsid w:val="00E730FE"/>
    <w:rsid w:val="00E805BF"/>
    <w:rsid w:val="00E835E0"/>
    <w:rsid w:val="00E914FC"/>
    <w:rsid w:val="00E92C7A"/>
    <w:rsid w:val="00E95B6C"/>
    <w:rsid w:val="00E96261"/>
    <w:rsid w:val="00E96F65"/>
    <w:rsid w:val="00E9709D"/>
    <w:rsid w:val="00E97ECD"/>
    <w:rsid w:val="00EA26AA"/>
    <w:rsid w:val="00EA2DFF"/>
    <w:rsid w:val="00EB5836"/>
    <w:rsid w:val="00EC07EC"/>
    <w:rsid w:val="00EC30C7"/>
    <w:rsid w:val="00EC581A"/>
    <w:rsid w:val="00ED3C2E"/>
    <w:rsid w:val="00ED504F"/>
    <w:rsid w:val="00ED537C"/>
    <w:rsid w:val="00ED5CD8"/>
    <w:rsid w:val="00EE5B6F"/>
    <w:rsid w:val="00EF572E"/>
    <w:rsid w:val="00F00478"/>
    <w:rsid w:val="00F009C5"/>
    <w:rsid w:val="00F0317C"/>
    <w:rsid w:val="00F04987"/>
    <w:rsid w:val="00F10220"/>
    <w:rsid w:val="00F20BEB"/>
    <w:rsid w:val="00F235A5"/>
    <w:rsid w:val="00F23D71"/>
    <w:rsid w:val="00F2441D"/>
    <w:rsid w:val="00F24493"/>
    <w:rsid w:val="00F27148"/>
    <w:rsid w:val="00F273DC"/>
    <w:rsid w:val="00F36F30"/>
    <w:rsid w:val="00F371C1"/>
    <w:rsid w:val="00F43EF0"/>
    <w:rsid w:val="00F45C37"/>
    <w:rsid w:val="00F63563"/>
    <w:rsid w:val="00F63823"/>
    <w:rsid w:val="00F639F2"/>
    <w:rsid w:val="00F661F9"/>
    <w:rsid w:val="00F762DD"/>
    <w:rsid w:val="00F85452"/>
    <w:rsid w:val="00F915E6"/>
    <w:rsid w:val="00F958BF"/>
    <w:rsid w:val="00FA05E3"/>
    <w:rsid w:val="00FA354E"/>
    <w:rsid w:val="00FA71C8"/>
    <w:rsid w:val="00FB4D75"/>
    <w:rsid w:val="00FB7789"/>
    <w:rsid w:val="00FC21D2"/>
    <w:rsid w:val="00FC24D4"/>
    <w:rsid w:val="00FC58CA"/>
    <w:rsid w:val="00FD5AE2"/>
    <w:rsid w:val="00FE0082"/>
    <w:rsid w:val="00FE05D8"/>
    <w:rsid w:val="00FE20EC"/>
    <w:rsid w:val="00FE3D16"/>
    <w:rsid w:val="00FE5E2E"/>
    <w:rsid w:val="00FF1316"/>
    <w:rsid w:val="00FF4E0D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AB2021"/>
  <w15:docId w15:val="{3C9A4CAE-C35C-4B40-B534-9F69ED17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E1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A5E1F"/>
    <w:pPr>
      <w:keepNext/>
      <w:jc w:val="center"/>
      <w:outlineLvl w:val="0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7E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A5E1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10Szanowny">
    <w:name w:val="@10.Szanowny"/>
    <w:basedOn w:val="Normalny"/>
    <w:next w:val="Normalny"/>
    <w:rsid w:val="00CA5E1F"/>
  </w:style>
  <w:style w:type="paragraph" w:styleId="Stopka">
    <w:name w:val="footer"/>
    <w:basedOn w:val="Normalny"/>
    <w:link w:val="StopkaZnak"/>
    <w:rsid w:val="00CA5E1F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link w:val="Stopka"/>
    <w:rsid w:val="00CA5E1F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Nagwek">
    <w:name w:val="header"/>
    <w:basedOn w:val="Normalny"/>
    <w:link w:val="NagwekZnak"/>
    <w:rsid w:val="00CA5E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A5E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CA5E1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A5E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A5E1F"/>
    <w:rPr>
      <w:sz w:val="18"/>
      <w:szCs w:val="20"/>
    </w:rPr>
  </w:style>
  <w:style w:type="character" w:customStyle="1" w:styleId="TekstpodstawowyZnak">
    <w:name w:val="Tekst podstawowy Znak"/>
    <w:link w:val="Tekstpodstawowy"/>
    <w:rsid w:val="00CA5E1F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styleId="Odwoanieprzypisudolnego">
    <w:name w:val="footnote reference"/>
    <w:unhideWhenUsed/>
    <w:rsid w:val="00CA5E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5E1F"/>
    <w:pPr>
      <w:ind w:left="720"/>
      <w:contextualSpacing/>
    </w:pPr>
  </w:style>
  <w:style w:type="paragraph" w:customStyle="1" w:styleId="Default">
    <w:name w:val="Default"/>
    <w:rsid w:val="00CA5E1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7B7EA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08Sygnaturapisma">
    <w:name w:val="@08.Sygnatura_pisma"/>
    <w:basedOn w:val="11Trescpisma"/>
    <w:next w:val="10Szanowny"/>
    <w:uiPriority w:val="99"/>
    <w:rsid w:val="007B7EA1"/>
    <w:pPr>
      <w:spacing w:after="120"/>
    </w:pPr>
    <w:rPr>
      <w:sz w:val="16"/>
    </w:rPr>
  </w:style>
  <w:style w:type="paragraph" w:customStyle="1" w:styleId="11Trescpisma">
    <w:name w:val="@11.Tresc_pisma"/>
    <w:basedOn w:val="Normalny"/>
    <w:uiPriority w:val="99"/>
    <w:rsid w:val="007B7E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4StanowiskoAdresata">
    <w:name w:val="@04.StanowiskoAdresata"/>
    <w:basedOn w:val="11Trescpisma"/>
    <w:uiPriority w:val="99"/>
    <w:rsid w:val="007B7EA1"/>
    <w:pPr>
      <w:spacing w:before="0" w:after="100"/>
    </w:pPr>
    <w:rPr>
      <w:bCs/>
      <w:szCs w:val="20"/>
    </w:rPr>
  </w:style>
  <w:style w:type="paragraph" w:customStyle="1" w:styleId="18Zalacznikilista">
    <w:name w:val="@18.Zalaczniki_lista"/>
    <w:basedOn w:val="11Trescpisma"/>
    <w:rsid w:val="007B7EA1"/>
    <w:pPr>
      <w:numPr>
        <w:numId w:val="21"/>
      </w:numPr>
      <w:spacing w:before="0"/>
      <w:ind w:left="714" w:hanging="357"/>
    </w:pPr>
    <w:rPr>
      <w:sz w:val="16"/>
    </w:rPr>
  </w:style>
  <w:style w:type="character" w:customStyle="1" w:styleId="displayonly">
    <w:name w:val="display_only"/>
    <w:basedOn w:val="Domylnaczcionkaakapitu"/>
    <w:rsid w:val="007B7EA1"/>
  </w:style>
  <w:style w:type="character" w:customStyle="1" w:styleId="alb">
    <w:name w:val="a_lb"/>
    <w:basedOn w:val="Domylnaczcionkaakapitu"/>
    <w:rsid w:val="007B7EA1"/>
  </w:style>
  <w:style w:type="character" w:customStyle="1" w:styleId="alb-s">
    <w:name w:val="a_lb-s"/>
    <w:basedOn w:val="Domylnaczcionkaakapitu"/>
    <w:rsid w:val="007B7EA1"/>
  </w:style>
  <w:style w:type="character" w:styleId="Hipercze">
    <w:name w:val="Hyperlink"/>
    <w:uiPriority w:val="99"/>
    <w:semiHidden/>
    <w:unhideWhenUsed/>
    <w:rsid w:val="007B7EA1"/>
    <w:rPr>
      <w:color w:val="0000FF"/>
      <w:u w:val="single"/>
    </w:rPr>
  </w:style>
  <w:style w:type="character" w:customStyle="1" w:styleId="ng-scope">
    <w:name w:val="ng-scope"/>
    <w:basedOn w:val="Domylnaczcionkaakapitu"/>
    <w:rsid w:val="007B7EA1"/>
  </w:style>
  <w:style w:type="character" w:customStyle="1" w:styleId="ng-binding1">
    <w:name w:val="ng-binding1"/>
    <w:basedOn w:val="Domylnaczcionkaakapitu"/>
    <w:rsid w:val="007B7EA1"/>
  </w:style>
  <w:style w:type="paragraph" w:styleId="Tekstpodstawowywcity">
    <w:name w:val="Body Text Indent"/>
    <w:basedOn w:val="Normalny"/>
    <w:link w:val="TekstpodstawowywcityZnak"/>
    <w:uiPriority w:val="99"/>
    <w:unhideWhenUsed/>
    <w:rsid w:val="007B7EA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B7EA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D33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33C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D33C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3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33C4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3C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D33C4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F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C0F7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AC0F79"/>
    <w:rPr>
      <w:vertAlign w:val="superscript"/>
    </w:rPr>
  </w:style>
  <w:style w:type="paragraph" w:customStyle="1" w:styleId="14StanowiskoPodpisujacego">
    <w:name w:val="@14.StanowiskoPodpisujacego"/>
    <w:basedOn w:val="11Trescpisma"/>
    <w:rsid w:val="009D3CD0"/>
    <w:pPr>
      <w:spacing w:before="0"/>
    </w:pPr>
    <w:rPr>
      <w:sz w:val="18"/>
    </w:rPr>
  </w:style>
  <w:style w:type="character" w:customStyle="1" w:styleId="sw">
    <w:name w:val="sw"/>
    <w:basedOn w:val="Domylnaczcionkaakapitu"/>
    <w:rsid w:val="0086560D"/>
  </w:style>
  <w:style w:type="paragraph" w:customStyle="1" w:styleId="textjustify">
    <w:name w:val="textjustify"/>
    <w:basedOn w:val="Normalny"/>
    <w:rsid w:val="005B0F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CB863-487A-475C-B0F8-07CEC628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ummagl03</dc:creator>
  <cp:lastModifiedBy>Strus Dariusz</cp:lastModifiedBy>
  <cp:revision>2</cp:revision>
  <cp:lastPrinted>2025-05-05T12:25:00Z</cp:lastPrinted>
  <dcterms:created xsi:type="dcterms:W3CDTF">2025-05-12T07:26:00Z</dcterms:created>
  <dcterms:modified xsi:type="dcterms:W3CDTF">2025-05-12T07:26:00Z</dcterms:modified>
</cp:coreProperties>
</file>