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3101F" w14:textId="77777777" w:rsidR="005A1B9B" w:rsidRPr="00B078D0" w:rsidRDefault="005A1B9B" w:rsidP="005A1B9B">
      <w:pPr>
        <w:tabs>
          <w:tab w:val="left" w:pos="284"/>
        </w:tabs>
        <w:spacing w:line="360" w:lineRule="auto"/>
        <w:rPr>
          <w:rFonts w:ascii="Verdana" w:hAnsi="Verdana" w:cs="Arial"/>
          <w:b/>
          <w:bCs/>
        </w:rPr>
      </w:pPr>
      <w:r w:rsidRPr="00B078D0">
        <w:rPr>
          <w:rFonts w:ascii="Verdana" w:hAnsi="Verdana" w:cs="Arial"/>
          <w:b/>
          <w:bCs/>
        </w:rPr>
        <w:t xml:space="preserve">Załącznik numer </w:t>
      </w:r>
      <w:r w:rsidR="00A4343E">
        <w:rPr>
          <w:rFonts w:ascii="Verdana" w:hAnsi="Verdana" w:cs="Arial"/>
          <w:b/>
          <w:bCs/>
        </w:rPr>
        <w:t>9</w:t>
      </w:r>
      <w:r w:rsidR="00614232">
        <w:rPr>
          <w:rFonts w:ascii="Verdana" w:hAnsi="Verdana" w:cs="Arial"/>
          <w:b/>
          <w:bCs/>
        </w:rPr>
        <w:t xml:space="preserve"> do </w:t>
      </w:r>
      <w:r w:rsidR="00614232" w:rsidRPr="006B4808">
        <w:rPr>
          <w:rFonts w:ascii="Verdana" w:hAnsi="Verdana" w:cs="Arial"/>
          <w:b/>
          <w:bCs/>
          <w:color w:val="FF0000"/>
        </w:rPr>
        <w:t>U</w:t>
      </w:r>
      <w:r w:rsidRPr="00B078D0">
        <w:rPr>
          <w:rFonts w:ascii="Verdana" w:hAnsi="Verdana" w:cs="Arial"/>
          <w:b/>
          <w:bCs/>
        </w:rPr>
        <w:t>mowy numer …/WTR/202</w:t>
      </w:r>
      <w:r w:rsidR="007C3B24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z dnia </w:t>
      </w:r>
      <w:r w:rsidR="007C3B24" w:rsidRPr="007C3B24">
        <w:rPr>
          <w:rFonts w:ascii="Verdana" w:hAnsi="Verdana" w:cs="Arial"/>
          <w:b/>
          <w:bCs/>
        </w:rPr>
        <w:t>…</w:t>
      </w:r>
      <w:r w:rsidRPr="007C3B24">
        <w:rPr>
          <w:rFonts w:ascii="Verdana" w:hAnsi="Verdana" w:cs="Arial"/>
          <w:b/>
          <w:bCs/>
        </w:rPr>
        <w:t>……………..</w:t>
      </w:r>
      <w:r w:rsidRPr="00B078D0">
        <w:rPr>
          <w:rFonts w:ascii="Verdana" w:hAnsi="Verdana" w:cs="Arial"/>
          <w:b/>
          <w:bCs/>
        </w:rPr>
        <w:t xml:space="preserve"> 202</w:t>
      </w:r>
      <w:r w:rsidR="007C3B24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roku</w:t>
      </w:r>
    </w:p>
    <w:p w14:paraId="08BE75D8" w14:textId="77777777" w:rsidR="008B4326" w:rsidRPr="000A71FC" w:rsidRDefault="008B4326" w:rsidP="002E60DE">
      <w:pPr>
        <w:pStyle w:val="Nagwek9"/>
        <w:ind w:left="0" w:firstLine="0"/>
        <w:jc w:val="left"/>
        <w:rPr>
          <w:rFonts w:ascii="Verdana" w:hAnsi="Verdana" w:cs="Arial"/>
          <w:sz w:val="20"/>
          <w:szCs w:val="20"/>
        </w:rPr>
      </w:pPr>
    </w:p>
    <w:p w14:paraId="0DBB8742" w14:textId="77777777" w:rsidR="007607A0" w:rsidRPr="000A71FC" w:rsidRDefault="007607A0" w:rsidP="002E60DE">
      <w:pPr>
        <w:pStyle w:val="Nagwek9"/>
        <w:ind w:left="0" w:firstLine="0"/>
        <w:jc w:val="left"/>
        <w:rPr>
          <w:rFonts w:ascii="Verdana" w:hAnsi="Verdana" w:cs="Arial"/>
          <w:sz w:val="20"/>
          <w:szCs w:val="20"/>
        </w:rPr>
      </w:pPr>
    </w:p>
    <w:p w14:paraId="6E40B3C2" w14:textId="77777777" w:rsidR="000651E7" w:rsidRDefault="000F2B2B" w:rsidP="002E60DE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sz w:val="20"/>
          <w:szCs w:val="20"/>
          <w:u w:val="none"/>
        </w:rPr>
      </w:pPr>
      <w:r w:rsidRPr="000A71FC">
        <w:rPr>
          <w:rFonts w:ascii="Verdana" w:hAnsi="Verdana" w:cs="Arial"/>
          <w:sz w:val="20"/>
          <w:szCs w:val="20"/>
          <w:u w:val="none"/>
        </w:rPr>
        <w:t>Zasady waloryzacji</w:t>
      </w:r>
      <w:r w:rsidR="00AF4FE9" w:rsidRPr="000A71FC">
        <w:rPr>
          <w:rFonts w:ascii="Verdana" w:hAnsi="Verdana" w:cs="Arial"/>
          <w:sz w:val="20"/>
          <w:szCs w:val="20"/>
          <w:u w:val="none"/>
        </w:rPr>
        <w:t xml:space="preserve"> </w:t>
      </w:r>
      <w:r w:rsidRPr="000A71FC">
        <w:rPr>
          <w:rFonts w:ascii="Verdana" w:hAnsi="Verdana" w:cs="Arial"/>
          <w:sz w:val="20"/>
          <w:szCs w:val="20"/>
          <w:u w:val="none"/>
        </w:rPr>
        <w:t>wynagrodzenia</w:t>
      </w:r>
    </w:p>
    <w:p w14:paraId="433D0FF0" w14:textId="77777777" w:rsidR="000A71FC" w:rsidRPr="000A71FC" w:rsidRDefault="000A71FC" w:rsidP="000A71FC">
      <w:pPr>
        <w:pStyle w:val="WW-Tekstpodstawowy3"/>
        <w:suppressAutoHyphens w:val="0"/>
        <w:spacing w:line="360" w:lineRule="auto"/>
        <w:ind w:right="0"/>
        <w:jc w:val="left"/>
        <w:rPr>
          <w:rFonts w:ascii="Verdana" w:hAnsi="Verdana" w:cs="Arial"/>
          <w:iCs/>
          <w:sz w:val="20"/>
          <w:szCs w:val="20"/>
          <w:u w:val="none"/>
        </w:rPr>
      </w:pPr>
    </w:p>
    <w:p w14:paraId="18994AC6" w14:textId="77777777" w:rsidR="00C53368" w:rsidRPr="000A71FC" w:rsidRDefault="0014355E" w:rsidP="00340BC8">
      <w:pPr>
        <w:numPr>
          <w:ilvl w:val="6"/>
          <w:numId w:val="32"/>
        </w:numPr>
        <w:tabs>
          <w:tab w:val="clear" w:pos="5040"/>
        </w:tabs>
        <w:spacing w:line="360" w:lineRule="auto"/>
        <w:ind w:left="284" w:hanging="284"/>
        <w:rPr>
          <w:rFonts w:ascii="Verdana" w:hAnsi="Verdana" w:cs="Arial"/>
        </w:rPr>
      </w:pPr>
      <w:bookmarkStart w:id="0" w:name="_Hlk76547395"/>
      <w:r w:rsidRPr="000A71FC">
        <w:rPr>
          <w:rFonts w:ascii="Verdana" w:eastAsiaTheme="minorHAnsi" w:hAnsi="Verdana" w:cs="Arial"/>
          <w:color w:val="000000"/>
          <w:lang w:eastAsia="en-US"/>
        </w:rPr>
        <w:t>Stawka jednostkowa za wozokilometr</w:t>
      </w:r>
      <w:bookmarkEnd w:id="0"/>
      <w:r w:rsidRPr="000A71FC">
        <w:rPr>
          <w:rFonts w:ascii="Verdana" w:eastAsiaTheme="minorHAnsi" w:hAnsi="Verdana" w:cs="Arial"/>
          <w:color w:val="000000"/>
          <w:lang w:eastAsia="en-US"/>
        </w:rPr>
        <w:t>, za świadczone usługi przewozu pasażerów</w:t>
      </w:r>
      <w:r w:rsidRPr="000A71FC">
        <w:rPr>
          <w:rFonts w:ascii="Verdana" w:hAnsi="Verdana" w:cs="Arial"/>
        </w:rPr>
        <w:t xml:space="preserve"> określona w </w:t>
      </w:r>
      <w:r w:rsidR="00E075C6" w:rsidRPr="00B86822">
        <w:rPr>
          <w:rFonts w:ascii="Verdana" w:hAnsi="Verdana" w:cs="Arial"/>
          <w:b/>
        </w:rPr>
        <w:t>Załączniku n</w:t>
      </w:r>
      <w:r w:rsidR="00DB677E" w:rsidRPr="00B86822">
        <w:rPr>
          <w:rFonts w:ascii="Verdana" w:hAnsi="Verdana" w:cs="Arial"/>
          <w:b/>
        </w:rPr>
        <w:t>ume</w:t>
      </w:r>
      <w:r w:rsidR="00E075C6" w:rsidRPr="00B86822">
        <w:rPr>
          <w:rFonts w:ascii="Verdana" w:hAnsi="Verdana" w:cs="Arial"/>
          <w:b/>
        </w:rPr>
        <w:t>r 8</w:t>
      </w:r>
      <w:r w:rsidR="00E075C6" w:rsidRPr="000A71FC">
        <w:rPr>
          <w:rFonts w:ascii="Verdana" w:hAnsi="Verdana" w:cs="Arial"/>
          <w:bCs/>
        </w:rPr>
        <w:t xml:space="preserve"> do U</w:t>
      </w:r>
      <w:r w:rsidR="00AA0FA5" w:rsidRPr="000A71FC">
        <w:rPr>
          <w:rFonts w:ascii="Verdana" w:hAnsi="Verdana" w:cs="Arial"/>
          <w:bCs/>
        </w:rPr>
        <w:t>mowy</w:t>
      </w:r>
      <w:r w:rsidRPr="000A71FC">
        <w:rPr>
          <w:rFonts w:ascii="Verdana" w:hAnsi="Verdana" w:cs="Arial"/>
        </w:rPr>
        <w:t>, będzie waloryzowana</w:t>
      </w:r>
      <w:r w:rsidR="00424ACA" w:rsidRPr="000A71FC">
        <w:rPr>
          <w:rFonts w:ascii="Verdana" w:hAnsi="Verdana" w:cs="Arial"/>
        </w:rPr>
        <w:t xml:space="preserve"> co 6 miesięcy</w:t>
      </w:r>
      <w:r w:rsidRPr="000A71FC">
        <w:rPr>
          <w:rFonts w:ascii="Verdana" w:hAnsi="Verdana" w:cs="Arial"/>
        </w:rPr>
        <w:t xml:space="preserve">, </w:t>
      </w:r>
      <w:r w:rsidR="00AA0FA5" w:rsidRPr="000A71FC">
        <w:rPr>
          <w:rFonts w:ascii="Verdana" w:hAnsi="Verdana" w:cs="Arial"/>
        </w:rPr>
        <w:t xml:space="preserve">począwszy od </w:t>
      </w:r>
      <w:r w:rsidR="00A61894" w:rsidRPr="000A71FC">
        <w:rPr>
          <w:rFonts w:ascii="Verdana" w:hAnsi="Verdana" w:cs="Arial"/>
        </w:rPr>
        <w:t xml:space="preserve">upływu pierwszych 6 miesięcy od momentu otwarcia ofert </w:t>
      </w:r>
      <w:r w:rsidR="008E6CA8" w:rsidRPr="000A71FC">
        <w:rPr>
          <w:rFonts w:ascii="Verdana" w:hAnsi="Verdana" w:cs="Arial"/>
        </w:rPr>
        <w:t>wskaźnikiem obliczonym według następującego wzoru:</w:t>
      </w:r>
      <w:r w:rsidR="00A61894" w:rsidRPr="000A71FC">
        <w:rPr>
          <w:rFonts w:ascii="Verdana" w:hAnsi="Verdana" w:cs="Arial"/>
        </w:rPr>
        <w:t xml:space="preserve"> </w:t>
      </w:r>
    </w:p>
    <w:p w14:paraId="4BD64693" w14:textId="77777777" w:rsidR="0014355E" w:rsidRPr="000A71FC" w:rsidRDefault="008E4622" w:rsidP="002E60DE">
      <w:pPr>
        <w:spacing w:line="360" w:lineRule="auto"/>
        <w:rPr>
          <w:rFonts w:ascii="Verdana" w:hAnsi="Verdana" w:cs="Arial"/>
          <w:b/>
        </w:rPr>
      </w:pPr>
      <w:r w:rsidRPr="000A71FC">
        <w:rPr>
          <w:rFonts w:ascii="Verdana" w:hAnsi="Verdana" w:cs="Arial"/>
          <w:b/>
        </w:rPr>
        <w:t>W</w:t>
      </w:r>
      <w:r w:rsidR="005E560D" w:rsidRPr="000A71FC">
        <w:rPr>
          <w:rFonts w:ascii="Verdana" w:hAnsi="Verdana" w:cs="Arial"/>
          <w:b/>
        </w:rPr>
        <w:t xml:space="preserve"> = 0,</w:t>
      </w:r>
      <w:r w:rsidR="00970B8A" w:rsidRPr="000A71FC">
        <w:rPr>
          <w:rFonts w:ascii="Verdana" w:hAnsi="Verdana" w:cs="Arial"/>
          <w:b/>
        </w:rPr>
        <w:t>4</w:t>
      </w:r>
      <w:r w:rsidR="005E560D" w:rsidRPr="000A71FC">
        <w:rPr>
          <w:rFonts w:ascii="Verdana" w:hAnsi="Verdana" w:cs="Arial"/>
          <w:b/>
        </w:rPr>
        <w:t xml:space="preserve"> </w:t>
      </w:r>
      <w:proofErr w:type="spellStart"/>
      <w:r w:rsidR="005E560D" w:rsidRPr="000A71FC">
        <w:rPr>
          <w:rFonts w:ascii="Verdana" w:hAnsi="Verdana" w:cs="Arial"/>
          <w:b/>
        </w:rPr>
        <w:t>w</w:t>
      </w:r>
      <w:r w:rsidR="005E560D" w:rsidRPr="000A71FC">
        <w:rPr>
          <w:rFonts w:ascii="Verdana" w:hAnsi="Verdana" w:cs="Arial"/>
          <w:b/>
          <w:vertAlign w:val="subscript"/>
        </w:rPr>
        <w:t>w</w:t>
      </w:r>
      <w:proofErr w:type="spellEnd"/>
      <w:r w:rsidR="005E560D" w:rsidRPr="000A71FC">
        <w:rPr>
          <w:rFonts w:ascii="Verdana" w:hAnsi="Verdana" w:cs="Arial"/>
          <w:b/>
        </w:rPr>
        <w:t xml:space="preserve"> + 0</w:t>
      </w:r>
      <w:r w:rsidR="00B074C9" w:rsidRPr="000A71FC">
        <w:rPr>
          <w:rFonts w:ascii="Verdana" w:hAnsi="Verdana" w:cs="Arial"/>
          <w:b/>
        </w:rPr>
        <w:t>,</w:t>
      </w:r>
      <w:r w:rsidR="00F83BA7" w:rsidRPr="000A71FC">
        <w:rPr>
          <w:rFonts w:ascii="Verdana" w:hAnsi="Verdana" w:cs="Arial"/>
          <w:b/>
        </w:rPr>
        <w:t>3</w:t>
      </w:r>
      <w:r w:rsidR="005E560D" w:rsidRPr="000A71FC">
        <w:rPr>
          <w:rFonts w:ascii="Verdana" w:hAnsi="Verdana" w:cs="Arial"/>
          <w:b/>
        </w:rPr>
        <w:t xml:space="preserve"> </w:t>
      </w:r>
      <w:proofErr w:type="spellStart"/>
      <w:r w:rsidR="005E560D" w:rsidRPr="000A71FC">
        <w:rPr>
          <w:rFonts w:ascii="Verdana" w:hAnsi="Verdana" w:cs="Arial"/>
          <w:b/>
        </w:rPr>
        <w:t>w</w:t>
      </w:r>
      <w:r w:rsidR="00944B2D" w:rsidRPr="000A71FC">
        <w:rPr>
          <w:rFonts w:ascii="Verdana" w:hAnsi="Verdana" w:cs="Arial"/>
          <w:b/>
          <w:vertAlign w:val="subscript"/>
        </w:rPr>
        <w:t>n</w:t>
      </w:r>
      <w:proofErr w:type="spellEnd"/>
      <w:r w:rsidR="005E560D" w:rsidRPr="000A71FC">
        <w:rPr>
          <w:rFonts w:ascii="Verdana" w:hAnsi="Verdana" w:cs="Arial"/>
          <w:b/>
        </w:rPr>
        <w:t xml:space="preserve"> + 0,</w:t>
      </w:r>
      <w:r w:rsidR="00970B8A" w:rsidRPr="000A71FC">
        <w:rPr>
          <w:rFonts w:ascii="Verdana" w:hAnsi="Verdana" w:cs="Arial"/>
          <w:b/>
        </w:rPr>
        <w:t>3</w:t>
      </w:r>
      <w:r w:rsidR="005E560D" w:rsidRPr="000A71FC">
        <w:rPr>
          <w:rFonts w:ascii="Verdana" w:hAnsi="Verdana" w:cs="Arial"/>
          <w:b/>
        </w:rPr>
        <w:t xml:space="preserve"> </w:t>
      </w:r>
      <w:proofErr w:type="spellStart"/>
      <w:r w:rsidR="005E560D" w:rsidRPr="000A71FC">
        <w:rPr>
          <w:rFonts w:ascii="Verdana" w:hAnsi="Verdana" w:cs="Arial"/>
          <w:b/>
        </w:rPr>
        <w:t>w</w:t>
      </w:r>
      <w:r w:rsidR="005E560D" w:rsidRPr="000A71FC">
        <w:rPr>
          <w:rFonts w:ascii="Verdana" w:hAnsi="Verdana" w:cs="Arial"/>
          <w:b/>
          <w:vertAlign w:val="subscript"/>
        </w:rPr>
        <w:t>i</w:t>
      </w:r>
      <w:proofErr w:type="spellEnd"/>
    </w:p>
    <w:p w14:paraId="765E5B87" w14:textId="77777777" w:rsidR="0014355E" w:rsidRPr="000A71FC" w:rsidRDefault="005E560D" w:rsidP="002E60DE">
      <w:pPr>
        <w:tabs>
          <w:tab w:val="left" w:pos="284"/>
        </w:tabs>
        <w:spacing w:line="360" w:lineRule="auto"/>
        <w:ind w:left="-142"/>
        <w:rPr>
          <w:rFonts w:ascii="Verdana" w:hAnsi="Verdana" w:cs="Arial"/>
          <w:vertAlign w:val="subscript"/>
        </w:rPr>
      </w:pPr>
      <w:r w:rsidRPr="000A71FC">
        <w:rPr>
          <w:rFonts w:ascii="Verdana" w:hAnsi="Verdana" w:cs="Arial"/>
        </w:rPr>
        <w:tab/>
        <w:t>gdzie:</w:t>
      </w:r>
    </w:p>
    <w:p w14:paraId="1CEA39FD" w14:textId="77777777" w:rsidR="0014355E" w:rsidRPr="000A71FC" w:rsidRDefault="008E4622" w:rsidP="002E60DE">
      <w:pPr>
        <w:numPr>
          <w:ilvl w:val="0"/>
          <w:numId w:val="31"/>
        </w:numPr>
        <w:tabs>
          <w:tab w:val="clear" w:pos="786"/>
        </w:tabs>
        <w:spacing w:line="360" w:lineRule="auto"/>
        <w:ind w:left="567" w:hanging="283"/>
        <w:rPr>
          <w:rFonts w:ascii="Verdana" w:hAnsi="Verdana" w:cs="Arial"/>
        </w:rPr>
      </w:pPr>
      <w:r w:rsidRPr="000A71FC">
        <w:rPr>
          <w:rFonts w:ascii="Verdana" w:hAnsi="Verdana" w:cs="Arial"/>
        </w:rPr>
        <w:t>W</w:t>
      </w:r>
      <w:r w:rsidR="005E560D" w:rsidRPr="000A71FC">
        <w:rPr>
          <w:rFonts w:ascii="Verdana" w:hAnsi="Verdana" w:cs="Arial"/>
        </w:rPr>
        <w:t xml:space="preserve"> </w:t>
      </w:r>
      <w:bookmarkStart w:id="1" w:name="_Hlk76481432"/>
      <w:r w:rsidR="005E560D" w:rsidRPr="000A71FC">
        <w:rPr>
          <w:rFonts w:ascii="Verdana" w:hAnsi="Verdana" w:cs="Arial"/>
        </w:rPr>
        <w:t>- wskaźnik waloryzacji stawki za jeden wozokilometr</w:t>
      </w:r>
      <w:bookmarkEnd w:id="1"/>
      <w:r w:rsidR="00A87845" w:rsidRPr="000A71FC">
        <w:rPr>
          <w:rFonts w:ascii="Verdana" w:hAnsi="Verdana" w:cs="Arial"/>
        </w:rPr>
        <w:t>;</w:t>
      </w:r>
    </w:p>
    <w:p w14:paraId="60BF60C5" w14:textId="77777777" w:rsidR="008E6CA8" w:rsidRPr="000A71FC" w:rsidRDefault="0014355E" w:rsidP="008E6CA8">
      <w:pPr>
        <w:numPr>
          <w:ilvl w:val="0"/>
          <w:numId w:val="31"/>
        </w:numPr>
        <w:tabs>
          <w:tab w:val="clear" w:pos="786"/>
        </w:tabs>
        <w:spacing w:line="360" w:lineRule="auto"/>
        <w:ind w:left="567" w:hanging="283"/>
        <w:rPr>
          <w:rFonts w:ascii="Verdana" w:hAnsi="Verdana" w:cs="Arial"/>
        </w:rPr>
      </w:pPr>
      <w:proofErr w:type="spellStart"/>
      <w:r w:rsidRPr="000A71FC">
        <w:rPr>
          <w:rFonts w:ascii="Verdana" w:hAnsi="Verdana" w:cs="Arial"/>
        </w:rPr>
        <w:t>w</w:t>
      </w:r>
      <w:r w:rsidRPr="000A71FC">
        <w:rPr>
          <w:rFonts w:ascii="Verdana" w:hAnsi="Verdana" w:cs="Arial"/>
          <w:vertAlign w:val="subscript"/>
        </w:rPr>
        <w:t>w</w:t>
      </w:r>
      <w:proofErr w:type="spellEnd"/>
      <w:r w:rsidRPr="000A71FC">
        <w:rPr>
          <w:rFonts w:ascii="Verdana" w:hAnsi="Verdana" w:cs="Arial"/>
        </w:rPr>
        <w:t xml:space="preserve"> </w:t>
      </w:r>
      <w:r w:rsidR="005E4B8C" w:rsidRPr="000A71FC">
        <w:rPr>
          <w:rFonts w:ascii="Verdana" w:hAnsi="Verdana" w:cs="Arial"/>
        </w:rPr>
        <w:t>–</w:t>
      </w:r>
      <w:r w:rsidRPr="000A71FC">
        <w:rPr>
          <w:rFonts w:ascii="Verdana" w:hAnsi="Verdana" w:cs="Arial"/>
        </w:rPr>
        <w:t xml:space="preserve"> </w:t>
      </w:r>
      <w:r w:rsidR="005E4B8C" w:rsidRPr="000A71FC">
        <w:rPr>
          <w:rFonts w:ascii="Verdana" w:eastAsiaTheme="minorHAnsi" w:hAnsi="Verdana" w:cs="Arial"/>
          <w:color w:val="000000"/>
          <w:lang w:eastAsia="en-US"/>
        </w:rPr>
        <w:t xml:space="preserve">półroczny (za okres 6-miesięcy) </w:t>
      </w:r>
      <w:r w:rsidRPr="000A71FC">
        <w:rPr>
          <w:rFonts w:ascii="Verdana" w:eastAsiaTheme="minorHAnsi" w:hAnsi="Verdana" w:cs="Arial"/>
          <w:color w:val="000000"/>
          <w:lang w:eastAsia="en-US"/>
        </w:rPr>
        <w:t>wskaźnik zmiany przeciętnego miesięcznego wynagrodzenia brutto,</w:t>
      </w:r>
      <w:r w:rsidRPr="000A71FC">
        <w:rPr>
          <w:rFonts w:ascii="Verdana" w:hAnsi="Verdana" w:cs="Arial"/>
        </w:rPr>
        <w:t xml:space="preserve"> </w:t>
      </w:r>
      <w:r w:rsidRPr="000A71FC">
        <w:rPr>
          <w:rFonts w:ascii="Verdana" w:eastAsiaTheme="minorHAnsi" w:hAnsi="Verdana" w:cs="Arial"/>
          <w:color w:val="000000"/>
          <w:lang w:eastAsia="en-US"/>
        </w:rPr>
        <w:t>jako stosunek miesięcznego</w:t>
      </w:r>
      <w:r w:rsidRPr="000A71FC">
        <w:rPr>
          <w:rFonts w:ascii="Verdana" w:hAnsi="Verdana" w:cs="Arial"/>
        </w:rPr>
        <w:t xml:space="preserve"> </w:t>
      </w:r>
      <w:r w:rsidR="00A61894" w:rsidRPr="000A71FC">
        <w:rPr>
          <w:rFonts w:ascii="Verdana" w:hAnsi="Verdana" w:cs="Arial"/>
        </w:rPr>
        <w:t xml:space="preserve">(miesiąc kalendarzowy) 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wynagrodzenia brutto w sektorze przedsiębiorstw </w:t>
      </w:r>
      <w:r w:rsidR="008E6CA8" w:rsidRPr="000A71FC">
        <w:rPr>
          <w:rFonts w:ascii="Verdana" w:eastAsiaTheme="minorHAnsi" w:hAnsi="Verdana" w:cs="Arial"/>
          <w:lang w:eastAsia="en-US"/>
        </w:rPr>
        <w:t xml:space="preserve">za </w:t>
      </w:r>
      <w:r w:rsidR="00891A85" w:rsidRPr="000A71FC">
        <w:rPr>
          <w:rFonts w:ascii="Verdana" w:eastAsiaTheme="minorHAnsi" w:hAnsi="Verdana" w:cs="Arial"/>
          <w:color w:val="000000"/>
          <w:lang w:eastAsia="en-US"/>
        </w:rPr>
        <w:t>okres 6 miesięcy</w:t>
      </w:r>
      <w:r w:rsidR="0001346F" w:rsidRPr="000A71FC">
        <w:rPr>
          <w:rFonts w:ascii="Verdana" w:eastAsiaTheme="minorHAnsi" w:hAnsi="Verdana" w:cs="Arial"/>
          <w:color w:val="000000"/>
          <w:lang w:eastAsia="en-US"/>
        </w:rPr>
        <w:t xml:space="preserve"> poprzedzający waloryzację</w:t>
      </w:r>
      <w:r w:rsidR="00891A85"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Pr="000A71FC">
        <w:rPr>
          <w:rFonts w:ascii="Verdana" w:eastAsiaTheme="minorHAnsi" w:hAnsi="Verdana" w:cs="Arial"/>
          <w:color w:val="000000"/>
          <w:lang w:eastAsia="en-US"/>
        </w:rPr>
        <w:t>do przeciętnego miesięcznego</w:t>
      </w:r>
      <w:r w:rsidR="003C727C" w:rsidRPr="000A71FC">
        <w:rPr>
          <w:rFonts w:ascii="Verdana" w:eastAsiaTheme="minorHAnsi" w:hAnsi="Verdana" w:cs="Arial"/>
          <w:color w:val="000000"/>
          <w:lang w:eastAsia="en-US"/>
        </w:rPr>
        <w:t xml:space="preserve"> (miesiąc kalendarzowy)</w:t>
      </w:r>
      <w:r w:rsidRPr="000A71FC">
        <w:rPr>
          <w:rFonts w:ascii="Verdana" w:hAnsi="Verdana" w:cs="Arial"/>
        </w:rPr>
        <w:t xml:space="preserve"> </w:t>
      </w:r>
      <w:r w:rsidRPr="000A71FC">
        <w:rPr>
          <w:rFonts w:ascii="Verdana" w:eastAsiaTheme="minorHAnsi" w:hAnsi="Verdana" w:cs="Arial"/>
          <w:color w:val="000000"/>
          <w:lang w:eastAsia="en-US"/>
        </w:rPr>
        <w:t>wynagrodzenia brutto w sektorze przedsiębiorstw</w:t>
      </w:r>
      <w:bookmarkStart w:id="2" w:name="_Hlk76203497"/>
      <w:r w:rsidR="00083436" w:rsidRPr="000A71FC">
        <w:rPr>
          <w:rFonts w:ascii="Verdana" w:eastAsiaTheme="minorHAnsi" w:hAnsi="Verdana" w:cs="Arial"/>
          <w:lang w:eastAsia="en-US"/>
        </w:rPr>
        <w:t xml:space="preserve">, </w:t>
      </w:r>
      <w:r w:rsidR="00EA2CB7" w:rsidRPr="000A71FC">
        <w:rPr>
          <w:rFonts w:ascii="Verdana" w:eastAsiaTheme="minorHAnsi" w:hAnsi="Verdana" w:cs="Arial"/>
          <w:color w:val="000000"/>
          <w:lang w:eastAsia="en-US"/>
        </w:rPr>
        <w:t xml:space="preserve">za okres 6 miesięcy poprzedzający </w:t>
      </w:r>
      <w:r w:rsidR="00A61894" w:rsidRPr="000A71FC">
        <w:rPr>
          <w:rFonts w:ascii="Verdana" w:eastAsiaTheme="minorHAnsi" w:hAnsi="Verdana" w:cs="Arial"/>
          <w:color w:val="000000"/>
          <w:lang w:eastAsia="en-US"/>
        </w:rPr>
        <w:t xml:space="preserve">okres opisany powyżej (stosunek zmiany dwóch kolejnych </w:t>
      </w:r>
      <w:r w:rsidR="00995156" w:rsidRPr="000A71FC">
        <w:rPr>
          <w:rFonts w:ascii="Verdana" w:eastAsiaTheme="minorHAnsi" w:hAnsi="Verdana" w:cs="Arial"/>
          <w:color w:val="000000"/>
          <w:lang w:eastAsia="en-US"/>
        </w:rPr>
        <w:t>następujących</w:t>
      </w:r>
      <w:r w:rsidR="00A61894" w:rsidRPr="000A71FC">
        <w:rPr>
          <w:rFonts w:ascii="Verdana" w:eastAsiaTheme="minorHAnsi" w:hAnsi="Verdana" w:cs="Arial"/>
          <w:color w:val="000000"/>
          <w:lang w:eastAsia="en-US"/>
        </w:rPr>
        <w:t xml:space="preserve"> po sobie 6 </w:t>
      </w:r>
      <w:r w:rsidR="00995156" w:rsidRPr="000A71FC">
        <w:rPr>
          <w:rFonts w:ascii="Verdana" w:eastAsiaTheme="minorHAnsi" w:hAnsi="Verdana" w:cs="Arial"/>
          <w:color w:val="000000"/>
          <w:lang w:eastAsia="en-US"/>
        </w:rPr>
        <w:t>miesięcznych</w:t>
      </w:r>
      <w:r w:rsidR="00A61894" w:rsidRPr="000A71FC">
        <w:rPr>
          <w:rFonts w:ascii="Verdana" w:eastAsiaTheme="minorHAnsi" w:hAnsi="Verdana" w:cs="Arial"/>
          <w:color w:val="000000"/>
          <w:lang w:eastAsia="en-US"/>
        </w:rPr>
        <w:t xml:space="preserve"> okresów) publikowanych </w:t>
      </w:r>
      <w:r w:rsidRPr="000A71FC">
        <w:rPr>
          <w:rFonts w:ascii="Verdana" w:eastAsiaTheme="minorHAnsi" w:hAnsi="Verdana" w:cs="Arial"/>
          <w:color w:val="000000"/>
          <w:lang w:eastAsia="en-US"/>
        </w:rPr>
        <w:t>przez</w:t>
      </w:r>
      <w:r w:rsidRPr="000A71FC">
        <w:rPr>
          <w:rFonts w:ascii="Verdana" w:hAnsi="Verdana" w:cs="Arial"/>
        </w:rPr>
        <w:t xml:space="preserve"> </w:t>
      </w:r>
      <w:r w:rsidRPr="000A71FC">
        <w:rPr>
          <w:rFonts w:ascii="Verdana" w:eastAsiaTheme="minorHAnsi" w:hAnsi="Verdana" w:cs="Arial"/>
          <w:color w:val="000000"/>
          <w:lang w:eastAsia="en-US"/>
        </w:rPr>
        <w:t>Główny Urząd Statystyczny (GUS)</w:t>
      </w:r>
      <w:r w:rsidR="008E6CA8"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8E6CA8" w:rsidRPr="000A71FC">
        <w:rPr>
          <w:rFonts w:ascii="Verdana" w:hAnsi="Verdana" w:cs="Arial"/>
          <w:color w:val="000000"/>
        </w:rPr>
        <w:t>na stronie internetowej: https://stat.gov.pl/wskazniki-makroekonomiczne/;</w:t>
      </w:r>
    </w:p>
    <w:bookmarkEnd w:id="2"/>
    <w:p w14:paraId="28F058CF" w14:textId="77777777" w:rsidR="00944B2D" w:rsidRPr="000A71FC" w:rsidRDefault="00944B2D" w:rsidP="002E60DE">
      <w:pPr>
        <w:numPr>
          <w:ilvl w:val="0"/>
          <w:numId w:val="31"/>
        </w:numPr>
        <w:tabs>
          <w:tab w:val="clear" w:pos="786"/>
          <w:tab w:val="left" w:pos="567"/>
        </w:tabs>
        <w:spacing w:line="360" w:lineRule="auto"/>
        <w:ind w:left="567" w:hanging="283"/>
        <w:rPr>
          <w:rFonts w:ascii="Verdana" w:hAnsi="Verdana" w:cs="Arial"/>
        </w:rPr>
      </w:pPr>
      <w:proofErr w:type="spellStart"/>
      <w:r w:rsidRPr="000A71FC">
        <w:rPr>
          <w:rFonts w:ascii="Verdana" w:hAnsi="Verdana" w:cs="Arial"/>
        </w:rPr>
        <w:t>w</w:t>
      </w:r>
      <w:r w:rsidRPr="000A71FC">
        <w:rPr>
          <w:rFonts w:ascii="Verdana" w:hAnsi="Verdana" w:cs="Arial"/>
          <w:vertAlign w:val="subscript"/>
        </w:rPr>
        <w:t>n</w:t>
      </w:r>
      <w:proofErr w:type="spellEnd"/>
      <w:r w:rsidRPr="000A71FC">
        <w:rPr>
          <w:rFonts w:ascii="Verdana" w:hAnsi="Verdana" w:cs="Arial"/>
          <w:vertAlign w:val="subscript"/>
        </w:rPr>
        <w:t xml:space="preserve"> </w:t>
      </w:r>
      <w:r w:rsidRPr="000A71FC">
        <w:rPr>
          <w:rFonts w:ascii="Verdana" w:hAnsi="Verdana" w:cs="Arial"/>
        </w:rPr>
        <w:t xml:space="preserve">= 0,7 </w:t>
      </w:r>
      <w:proofErr w:type="spellStart"/>
      <w:r w:rsidRPr="000A71FC">
        <w:rPr>
          <w:rFonts w:ascii="Verdana" w:hAnsi="Verdana" w:cs="Arial"/>
        </w:rPr>
        <w:t>w</w:t>
      </w:r>
      <w:r w:rsidRPr="000A71FC">
        <w:rPr>
          <w:rFonts w:ascii="Verdana" w:hAnsi="Verdana" w:cs="Arial"/>
          <w:vertAlign w:val="subscript"/>
        </w:rPr>
        <w:t>p</w:t>
      </w:r>
      <w:proofErr w:type="spellEnd"/>
      <w:r w:rsidRPr="000A71FC">
        <w:rPr>
          <w:rFonts w:ascii="Verdana" w:hAnsi="Verdana" w:cs="Arial"/>
        </w:rPr>
        <w:t xml:space="preserve"> + 0</w:t>
      </w:r>
      <w:r w:rsidR="006F4C9F" w:rsidRPr="000A71FC">
        <w:rPr>
          <w:rFonts w:ascii="Verdana" w:hAnsi="Verdana" w:cs="Arial"/>
        </w:rPr>
        <w:t>,</w:t>
      </w:r>
      <w:r w:rsidR="0078525D" w:rsidRPr="000A71FC">
        <w:rPr>
          <w:rFonts w:ascii="Verdana" w:hAnsi="Verdana" w:cs="Arial"/>
        </w:rPr>
        <w:t>3</w:t>
      </w:r>
      <w:r w:rsidRPr="000A71FC">
        <w:rPr>
          <w:rFonts w:ascii="Verdana" w:hAnsi="Verdana" w:cs="Arial"/>
        </w:rPr>
        <w:t xml:space="preserve"> w</w:t>
      </w:r>
      <w:r w:rsidRPr="000A71FC">
        <w:rPr>
          <w:rFonts w:ascii="Verdana" w:hAnsi="Verdana" w:cs="Arial"/>
          <w:vertAlign w:val="subscript"/>
        </w:rPr>
        <w:t>e</w:t>
      </w:r>
      <w:r w:rsidR="006F4C9F" w:rsidRPr="000A71FC">
        <w:rPr>
          <w:rFonts w:ascii="Verdana" w:hAnsi="Verdana" w:cs="Arial"/>
          <w:vertAlign w:val="subscript"/>
        </w:rPr>
        <w:t xml:space="preserve"> </w:t>
      </w:r>
      <w:r w:rsidR="006F4C9F" w:rsidRPr="000A71FC">
        <w:rPr>
          <w:rFonts w:ascii="Verdana" w:hAnsi="Verdana" w:cs="Arial"/>
        </w:rPr>
        <w:t xml:space="preserve">(przy założeniu, że procent taboru zasilanego olejem napędowym wynosi 70%, energią elektryczną </w:t>
      </w:r>
      <w:r w:rsidR="0078525D" w:rsidRPr="000A71FC">
        <w:rPr>
          <w:rFonts w:ascii="Verdana" w:hAnsi="Verdana" w:cs="Arial"/>
        </w:rPr>
        <w:t>30</w:t>
      </w:r>
      <w:r w:rsidR="006F4C9F" w:rsidRPr="000A71FC">
        <w:rPr>
          <w:rFonts w:ascii="Verdana" w:hAnsi="Verdana" w:cs="Arial"/>
        </w:rPr>
        <w:t xml:space="preserve">%, wskaźniki te zostaną dostosowane do liczby </w:t>
      </w:r>
      <w:r w:rsidR="002319E2" w:rsidRPr="000A71FC">
        <w:rPr>
          <w:rFonts w:ascii="Verdana" w:hAnsi="Verdana" w:cs="Arial"/>
        </w:rPr>
        <w:t>autobusów</w:t>
      </w:r>
      <w:r w:rsidR="006F4C9F" w:rsidRPr="000A71FC">
        <w:rPr>
          <w:rFonts w:ascii="Verdana" w:hAnsi="Verdana" w:cs="Arial"/>
        </w:rPr>
        <w:t xml:space="preserve"> podstawowych danego napędu w ofercie </w:t>
      </w:r>
      <w:r w:rsidR="00D43EED">
        <w:rPr>
          <w:rFonts w:ascii="Verdana" w:hAnsi="Verdana" w:cs="Arial"/>
        </w:rPr>
        <w:t>Wykonawcy</w:t>
      </w:r>
      <w:r w:rsidR="006F4C9F" w:rsidRPr="000A71FC">
        <w:rPr>
          <w:rFonts w:ascii="Verdana" w:hAnsi="Verdana" w:cs="Arial"/>
        </w:rPr>
        <w:t>);</w:t>
      </w:r>
    </w:p>
    <w:p w14:paraId="278BBE9D" w14:textId="77777777" w:rsidR="00872EE3" w:rsidRPr="000A71FC" w:rsidRDefault="0014355E" w:rsidP="00A83ED6">
      <w:pPr>
        <w:numPr>
          <w:ilvl w:val="0"/>
          <w:numId w:val="31"/>
        </w:numPr>
        <w:tabs>
          <w:tab w:val="clear" w:pos="786"/>
        </w:tabs>
        <w:spacing w:line="360" w:lineRule="auto"/>
        <w:ind w:left="851" w:hanging="284"/>
        <w:rPr>
          <w:rFonts w:ascii="Verdana" w:eastAsiaTheme="minorHAnsi" w:hAnsi="Verdana" w:cs="Arial"/>
          <w:color w:val="000000"/>
          <w:lang w:eastAsia="en-US"/>
        </w:rPr>
      </w:pPr>
      <w:proofErr w:type="spellStart"/>
      <w:r w:rsidRPr="000A71FC">
        <w:rPr>
          <w:rFonts w:ascii="Verdana" w:hAnsi="Verdana" w:cs="Arial"/>
        </w:rPr>
        <w:t>w</w:t>
      </w:r>
      <w:r w:rsidRPr="000A71FC">
        <w:rPr>
          <w:rFonts w:ascii="Verdana" w:hAnsi="Verdana" w:cs="Arial"/>
          <w:vertAlign w:val="subscript"/>
        </w:rPr>
        <w:t>p</w:t>
      </w:r>
      <w:proofErr w:type="spellEnd"/>
      <w:r w:rsidRPr="000A71FC">
        <w:rPr>
          <w:rFonts w:ascii="Verdana" w:hAnsi="Verdana" w:cs="Arial"/>
        </w:rPr>
        <w:t xml:space="preserve"> </w:t>
      </w:r>
      <w:r w:rsidR="00990EA8" w:rsidRPr="000A71FC">
        <w:rPr>
          <w:rFonts w:ascii="Verdana" w:hAnsi="Verdana" w:cs="Arial"/>
        </w:rPr>
        <w:t>–</w:t>
      </w:r>
      <w:r w:rsidRPr="000A71FC">
        <w:rPr>
          <w:rFonts w:ascii="Verdana" w:hAnsi="Verdana" w:cs="Arial"/>
        </w:rPr>
        <w:t xml:space="preserve"> </w:t>
      </w:r>
      <w:r w:rsidR="00990EA8" w:rsidRPr="000A71FC">
        <w:rPr>
          <w:rFonts w:ascii="Verdana" w:hAnsi="Verdana" w:cs="Arial"/>
        </w:rPr>
        <w:t xml:space="preserve">półroczny (za okres 6 miesięcy) </w:t>
      </w:r>
      <w:r w:rsidRPr="000A71FC">
        <w:rPr>
          <w:rFonts w:ascii="Verdana" w:eastAsiaTheme="minorHAnsi" w:hAnsi="Verdana" w:cs="Arial"/>
          <w:color w:val="000000"/>
          <w:lang w:eastAsia="en-US"/>
        </w:rPr>
        <w:t>wskaźnik zmian</w:t>
      </w:r>
      <w:r w:rsidR="00990EA8" w:rsidRPr="000A71FC">
        <w:rPr>
          <w:rFonts w:ascii="Verdana" w:eastAsiaTheme="minorHAnsi" w:hAnsi="Verdana" w:cs="Arial"/>
          <w:color w:val="000000"/>
          <w:lang w:eastAsia="en-US"/>
        </w:rPr>
        <w:t>y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cen</w:t>
      </w:r>
      <w:r w:rsidR="00990EA8" w:rsidRPr="000A71FC">
        <w:rPr>
          <w:rFonts w:ascii="Verdana" w:eastAsiaTheme="minorHAnsi" w:hAnsi="Verdana" w:cs="Arial"/>
          <w:color w:val="000000"/>
          <w:lang w:eastAsia="en-US"/>
        </w:rPr>
        <w:t>y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paliw</w:t>
      </w:r>
      <w:r w:rsidR="00990EA8" w:rsidRPr="000A71FC">
        <w:rPr>
          <w:rFonts w:ascii="Verdana" w:eastAsiaTheme="minorHAnsi" w:hAnsi="Verdana" w:cs="Arial"/>
          <w:color w:val="000000"/>
          <w:lang w:eastAsia="en-US"/>
        </w:rPr>
        <w:t>a</w:t>
      </w:r>
      <w:r w:rsidR="00BB70FC"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3C727C" w:rsidRPr="000A71FC">
        <w:rPr>
          <w:rFonts w:ascii="Verdana" w:eastAsiaTheme="minorHAnsi" w:hAnsi="Verdana" w:cs="Arial"/>
          <w:color w:val="000000"/>
          <w:lang w:eastAsia="en-US"/>
        </w:rPr>
        <w:t>(</w:t>
      </w:r>
      <w:r w:rsidR="001340D9" w:rsidRPr="000A71FC">
        <w:rPr>
          <w:rFonts w:ascii="Verdana" w:eastAsiaTheme="minorHAnsi" w:hAnsi="Verdana" w:cs="Arial"/>
          <w:color w:val="000000"/>
          <w:lang w:eastAsia="en-US"/>
        </w:rPr>
        <w:t xml:space="preserve">w postaci raportu </w:t>
      </w:r>
      <w:r w:rsidR="007E09C3" w:rsidRPr="00BC47C5">
        <w:rPr>
          <w:rFonts w:ascii="Verdana" w:eastAsiaTheme="minorHAnsi" w:hAnsi="Verdana" w:cs="Arial"/>
          <w:color w:val="000000"/>
          <w:lang w:eastAsia="en-US"/>
        </w:rPr>
        <w:t>pozyskanego we własnym zakresie przez Wykonawcę</w:t>
      </w:r>
      <w:r w:rsidR="007E09C3">
        <w:rPr>
          <w:rFonts w:ascii="Verdana" w:eastAsiaTheme="minorHAnsi" w:hAnsi="Verdana" w:cs="Arial"/>
          <w:color w:val="000000"/>
          <w:lang w:eastAsia="en-US"/>
        </w:rPr>
        <w:t xml:space="preserve"> od </w:t>
      </w:r>
      <w:r w:rsidR="001340D9" w:rsidRPr="000A71FC">
        <w:rPr>
          <w:rFonts w:ascii="Verdana" w:eastAsiaTheme="minorHAnsi" w:hAnsi="Verdana" w:cs="Arial"/>
          <w:color w:val="000000"/>
          <w:lang w:eastAsia="en-US"/>
        </w:rPr>
        <w:t>Polskiej</w:t>
      </w:r>
      <w:r w:rsidR="00543BB4" w:rsidRPr="000A71FC">
        <w:rPr>
          <w:rFonts w:ascii="Verdana" w:eastAsiaTheme="minorHAnsi" w:hAnsi="Verdana" w:cs="Arial"/>
          <w:color w:val="000000"/>
          <w:lang w:eastAsia="en-US"/>
        </w:rPr>
        <w:t xml:space="preserve"> Izby Paliw Płynnych</w:t>
      </w:r>
      <w:r w:rsidR="00BB70FC" w:rsidRPr="000A71FC">
        <w:rPr>
          <w:rFonts w:ascii="Verdana" w:eastAsiaTheme="minorHAnsi" w:hAnsi="Verdana" w:cs="Arial"/>
          <w:color w:val="000000"/>
          <w:lang w:eastAsia="en-US"/>
        </w:rPr>
        <w:t xml:space="preserve"> lub innej uznanej k</w:t>
      </w:r>
      <w:r w:rsidR="00872EE3" w:rsidRPr="000A71FC">
        <w:rPr>
          <w:rFonts w:ascii="Verdana" w:eastAsiaTheme="minorHAnsi" w:hAnsi="Verdana" w:cs="Arial"/>
          <w:color w:val="000000"/>
          <w:lang w:eastAsia="en-US"/>
        </w:rPr>
        <w:t>r</w:t>
      </w:r>
      <w:r w:rsidR="00BB70FC" w:rsidRPr="000A71FC">
        <w:rPr>
          <w:rFonts w:ascii="Verdana" w:eastAsiaTheme="minorHAnsi" w:hAnsi="Verdana" w:cs="Arial"/>
          <w:color w:val="000000"/>
          <w:lang w:eastAsia="en-US"/>
        </w:rPr>
        <w:t>a</w:t>
      </w:r>
      <w:r w:rsidR="00872EE3" w:rsidRPr="000A71FC">
        <w:rPr>
          <w:rFonts w:ascii="Verdana" w:eastAsiaTheme="minorHAnsi" w:hAnsi="Verdana" w:cs="Arial"/>
          <w:color w:val="000000"/>
          <w:lang w:eastAsia="en-US"/>
        </w:rPr>
        <w:t>jowej instytucji</w:t>
      </w:r>
      <w:r w:rsidR="009B14C6">
        <w:rPr>
          <w:rFonts w:ascii="Verdana" w:eastAsiaTheme="minorHAnsi" w:hAnsi="Verdana" w:cs="Arial"/>
          <w:color w:val="000000"/>
          <w:lang w:eastAsia="en-US"/>
        </w:rPr>
        <w:t xml:space="preserve"> monitorującej rynek paliw</w:t>
      </w:r>
      <w:r w:rsidR="009B14C6" w:rsidRPr="009B14C6">
        <w:rPr>
          <w:rFonts w:ascii="Verdana" w:eastAsiaTheme="minorHAnsi" w:hAnsi="Verdana" w:cs="Arial"/>
          <w:color w:val="FF0000"/>
          <w:lang w:eastAsia="en-US"/>
        </w:rPr>
        <w:t>,</w:t>
      </w:r>
      <w:r w:rsidR="009B14C6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BB70FC" w:rsidRPr="000A71FC">
        <w:rPr>
          <w:rFonts w:ascii="Verdana" w:eastAsiaTheme="minorHAnsi" w:hAnsi="Verdana" w:cs="Arial"/>
          <w:color w:val="000000"/>
          <w:lang w:eastAsia="en-US"/>
        </w:rPr>
        <w:t>zaakceptowanej przez Zamawiającego)</w:t>
      </w:r>
      <w:r w:rsidR="00543BB4" w:rsidRPr="000A71FC">
        <w:rPr>
          <w:rFonts w:ascii="Verdana" w:eastAsiaTheme="minorHAnsi" w:hAnsi="Verdana" w:cs="Arial"/>
          <w:color w:val="000000"/>
          <w:lang w:eastAsia="en-US"/>
        </w:rPr>
        <w:t xml:space="preserve"> jako stosunek </w:t>
      </w:r>
      <w:r w:rsidR="006F2D54" w:rsidRPr="000A71FC">
        <w:rPr>
          <w:rFonts w:ascii="Verdana" w:eastAsiaTheme="minorHAnsi" w:hAnsi="Verdana" w:cs="Arial"/>
          <w:color w:val="000000"/>
          <w:lang w:eastAsia="en-US"/>
        </w:rPr>
        <w:t xml:space="preserve">średniej arytmetycznej dziennych cen hurtowych za 1000 litrów oleju napędowego </w:t>
      </w:r>
      <w:proofErr w:type="spellStart"/>
      <w:r w:rsidR="006F2D54" w:rsidRPr="007E61B5">
        <w:rPr>
          <w:rFonts w:ascii="Verdana" w:eastAsiaTheme="minorHAnsi" w:hAnsi="Verdana" w:cs="Arial"/>
          <w:color w:val="000000"/>
          <w:lang w:eastAsia="en-US"/>
        </w:rPr>
        <w:t>Ekodiesel</w:t>
      </w:r>
      <w:proofErr w:type="spellEnd"/>
      <w:r w:rsidR="006F2D54" w:rsidRPr="007E61B5">
        <w:rPr>
          <w:rFonts w:ascii="Verdana" w:eastAsiaTheme="minorHAnsi" w:hAnsi="Verdana" w:cs="Arial"/>
          <w:color w:val="000000"/>
          <w:lang w:eastAsia="en-US"/>
        </w:rPr>
        <w:t xml:space="preserve"> za </w:t>
      </w:r>
      <w:r w:rsidR="006F2D54" w:rsidRPr="000A71FC">
        <w:rPr>
          <w:rFonts w:ascii="Verdana" w:eastAsiaTheme="minorHAnsi" w:hAnsi="Verdana" w:cs="Arial"/>
          <w:color w:val="000000"/>
          <w:lang w:eastAsia="en-US"/>
        </w:rPr>
        <w:t xml:space="preserve">okres 6 miesięcy </w:t>
      </w:r>
      <w:r w:rsidR="00995156" w:rsidRPr="000A71FC">
        <w:rPr>
          <w:rFonts w:ascii="Verdana" w:eastAsiaTheme="minorHAnsi" w:hAnsi="Verdana" w:cs="Arial"/>
          <w:color w:val="000000"/>
          <w:lang w:eastAsia="en-US"/>
        </w:rPr>
        <w:t xml:space="preserve">(kalendarzowych) </w:t>
      </w:r>
      <w:r w:rsidR="0001346F" w:rsidRPr="000A71FC">
        <w:rPr>
          <w:rFonts w:ascii="Verdana" w:eastAsiaTheme="minorHAnsi" w:hAnsi="Verdana" w:cs="Arial"/>
          <w:color w:val="000000"/>
          <w:lang w:eastAsia="en-US"/>
        </w:rPr>
        <w:t xml:space="preserve">poprzedzający waloryzację </w:t>
      </w:r>
      <w:r w:rsidR="006F2D54" w:rsidRPr="000A71FC">
        <w:rPr>
          <w:rFonts w:ascii="Verdana" w:eastAsiaTheme="minorHAnsi" w:hAnsi="Verdana" w:cs="Arial"/>
          <w:color w:val="000000"/>
          <w:lang w:eastAsia="en-US"/>
        </w:rPr>
        <w:t xml:space="preserve">do średniej arytmetycznej dziennych cen hurtowych za 1000 litrów oleju napędowego </w:t>
      </w:r>
      <w:proofErr w:type="spellStart"/>
      <w:r w:rsidR="006F2D54" w:rsidRPr="007E61B5">
        <w:rPr>
          <w:rFonts w:ascii="Verdana" w:eastAsiaTheme="minorHAnsi" w:hAnsi="Verdana" w:cs="Arial"/>
          <w:color w:val="000000"/>
          <w:lang w:eastAsia="en-US"/>
        </w:rPr>
        <w:t>Ekodiesel</w:t>
      </w:r>
      <w:proofErr w:type="spellEnd"/>
      <w:r w:rsidR="006F2D54" w:rsidRPr="000A71FC">
        <w:rPr>
          <w:rFonts w:ascii="Verdana" w:eastAsiaTheme="minorHAnsi" w:hAnsi="Verdana" w:cs="Arial"/>
          <w:color w:val="000000"/>
          <w:lang w:eastAsia="en-US"/>
        </w:rPr>
        <w:t xml:space="preserve"> za okres 6 miesięcy </w:t>
      </w:r>
      <w:r w:rsidR="00995156" w:rsidRPr="000A71FC">
        <w:rPr>
          <w:rFonts w:ascii="Verdana" w:eastAsiaTheme="minorHAnsi" w:hAnsi="Verdana" w:cs="Arial"/>
          <w:color w:val="000000"/>
          <w:lang w:eastAsia="en-US"/>
        </w:rPr>
        <w:t xml:space="preserve">(kalendarzowych) </w:t>
      </w:r>
      <w:r w:rsidR="006F2D54" w:rsidRPr="000A71FC">
        <w:rPr>
          <w:rFonts w:ascii="Verdana" w:eastAsiaTheme="minorHAnsi" w:hAnsi="Verdana" w:cs="Arial"/>
          <w:color w:val="000000"/>
          <w:lang w:eastAsia="en-US"/>
        </w:rPr>
        <w:t xml:space="preserve">poprzedzający </w:t>
      </w:r>
      <w:r w:rsidR="00995156" w:rsidRPr="000A71FC">
        <w:rPr>
          <w:rFonts w:ascii="Verdana" w:eastAsiaTheme="minorHAnsi" w:hAnsi="Verdana" w:cs="Arial"/>
          <w:color w:val="000000"/>
          <w:lang w:eastAsia="en-US"/>
        </w:rPr>
        <w:t xml:space="preserve">okres opisany powyżej </w:t>
      </w:r>
      <w:r w:rsidR="003C727C" w:rsidRPr="000A71FC">
        <w:rPr>
          <w:rFonts w:ascii="Verdana" w:eastAsiaTheme="minorHAnsi" w:hAnsi="Verdana" w:cs="Arial"/>
          <w:color w:val="000000"/>
          <w:lang w:eastAsia="en-US"/>
        </w:rPr>
        <w:t>(</w:t>
      </w:r>
      <w:r w:rsidR="00995156" w:rsidRPr="000A71FC">
        <w:rPr>
          <w:rFonts w:ascii="Verdana" w:eastAsiaTheme="minorHAnsi" w:hAnsi="Verdana" w:cs="Arial"/>
          <w:lang w:eastAsia="en-US"/>
        </w:rPr>
        <w:t xml:space="preserve">stosunek </w:t>
      </w:r>
      <w:r w:rsidR="006F2D54" w:rsidRPr="000A71FC">
        <w:rPr>
          <w:rFonts w:ascii="Verdana" w:eastAsiaTheme="minorHAnsi" w:hAnsi="Verdana" w:cs="Arial"/>
          <w:color w:val="000000"/>
          <w:lang w:eastAsia="en-US"/>
        </w:rPr>
        <w:t>zmiany dwóch kolejnych następujących po sobie 6-miesięcznych okresów</w:t>
      </w:r>
      <w:r w:rsidR="00995156" w:rsidRPr="000A71FC">
        <w:rPr>
          <w:rFonts w:ascii="Verdana" w:eastAsiaTheme="minorHAnsi" w:hAnsi="Verdana" w:cs="Arial"/>
          <w:color w:val="000000"/>
          <w:lang w:eastAsia="en-US"/>
        </w:rPr>
        <w:t>)</w:t>
      </w:r>
      <w:r w:rsidR="00BC47C5">
        <w:rPr>
          <w:rFonts w:ascii="Verdana" w:eastAsiaTheme="minorHAnsi" w:hAnsi="Verdana" w:cs="Arial"/>
          <w:color w:val="000000"/>
          <w:lang w:eastAsia="en-US"/>
        </w:rPr>
        <w:t>;</w:t>
      </w:r>
    </w:p>
    <w:p w14:paraId="371C5677" w14:textId="77777777" w:rsidR="008F38F0" w:rsidRPr="00B84988" w:rsidRDefault="00944B2D" w:rsidP="003E448B">
      <w:pPr>
        <w:numPr>
          <w:ilvl w:val="0"/>
          <w:numId w:val="31"/>
        </w:numPr>
        <w:tabs>
          <w:tab w:val="clear" w:pos="786"/>
        </w:tabs>
        <w:spacing w:line="360" w:lineRule="auto"/>
        <w:ind w:left="851" w:hanging="284"/>
        <w:rPr>
          <w:rFonts w:ascii="Verdana" w:eastAsiaTheme="minorHAnsi" w:hAnsi="Verdana" w:cs="Arial"/>
          <w:lang w:eastAsia="en-US"/>
        </w:rPr>
      </w:pPr>
      <w:r w:rsidRPr="000A71FC">
        <w:rPr>
          <w:rFonts w:ascii="Verdana" w:hAnsi="Verdana" w:cs="Arial"/>
        </w:rPr>
        <w:t>w</w:t>
      </w:r>
      <w:r w:rsidRPr="000A71FC">
        <w:rPr>
          <w:rFonts w:ascii="Verdana" w:hAnsi="Verdana" w:cs="Arial"/>
          <w:vertAlign w:val="subscript"/>
        </w:rPr>
        <w:t>e</w:t>
      </w:r>
      <w:r w:rsidRPr="000A71FC">
        <w:rPr>
          <w:rFonts w:ascii="Verdana" w:hAnsi="Verdana" w:cs="Arial"/>
        </w:rPr>
        <w:t xml:space="preserve"> – półroczny (za okres 6 miesięcy) 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wskaźnik </w:t>
      </w:r>
      <w:r w:rsidR="007D5312" w:rsidRPr="000A71FC">
        <w:rPr>
          <w:rFonts w:ascii="Verdana" w:eastAsiaTheme="minorHAnsi" w:hAnsi="Verdana" w:cs="Arial"/>
          <w:color w:val="000000"/>
          <w:lang w:eastAsia="en-US"/>
        </w:rPr>
        <w:t>będący średnią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4E2645" w:rsidRPr="000A71FC">
        <w:rPr>
          <w:rFonts w:ascii="Verdana" w:eastAsiaTheme="minorHAnsi" w:hAnsi="Verdana" w:cs="Arial"/>
          <w:color w:val="000000"/>
          <w:lang w:eastAsia="en-US"/>
        </w:rPr>
        <w:t>arytmetyczną miesięcznego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995156" w:rsidRPr="000A71FC">
        <w:rPr>
          <w:rFonts w:ascii="Verdana" w:eastAsiaTheme="minorHAnsi" w:hAnsi="Verdana" w:cs="Arial"/>
          <w:color w:val="000000"/>
          <w:lang w:eastAsia="en-US"/>
        </w:rPr>
        <w:t xml:space="preserve">(miesiąc kalendarzowy) 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wskaźnika </w:t>
      </w:r>
      <w:r w:rsidR="004E2645" w:rsidRPr="000A71FC">
        <w:rPr>
          <w:rFonts w:ascii="Verdana" w:eastAsiaTheme="minorHAnsi" w:hAnsi="Verdana" w:cs="Arial"/>
          <w:color w:val="000000"/>
          <w:lang w:eastAsia="en-US"/>
        </w:rPr>
        <w:t xml:space="preserve">zmiany 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ceny obliczony na podstawie danych statystycznych publikowanych przez Towarową Giełdę Energii </w:t>
      </w:r>
      <w:r w:rsidR="004E2645" w:rsidRPr="000A71FC">
        <w:rPr>
          <w:rFonts w:ascii="Verdana" w:hAnsi="Verdana" w:cs="Arial"/>
          <w:i/>
          <w:color w:val="000000"/>
        </w:rPr>
        <w:t>(</w:t>
      </w:r>
      <w:proofErr w:type="spellStart"/>
      <w:r w:rsidR="004E2645" w:rsidRPr="000A71FC">
        <w:rPr>
          <w:rFonts w:ascii="Verdana" w:hAnsi="Verdana" w:cs="Arial"/>
        </w:rPr>
        <w:t>TGeBASE_Wavg</w:t>
      </w:r>
      <w:proofErr w:type="spellEnd"/>
      <w:r w:rsidR="004E2645" w:rsidRPr="000A71FC">
        <w:rPr>
          <w:rFonts w:ascii="Verdana" w:hAnsi="Verdana" w:cs="Arial"/>
        </w:rPr>
        <w:t xml:space="preserve">) na stronie internetowej: </w:t>
      </w:r>
      <w:hyperlink r:id="rId8" w:history="1">
        <w:r w:rsidR="004E2645" w:rsidRPr="000A71FC">
          <w:rPr>
            <w:rStyle w:val="Hipercze"/>
            <w:rFonts w:ascii="Verdana" w:hAnsi="Verdana" w:cs="Arial"/>
            <w:color w:val="auto"/>
          </w:rPr>
          <w:t>https://tge.pl/dane-statystyczne</w:t>
        </w:r>
      </w:hyperlink>
      <w:r w:rsidR="004E2645" w:rsidRPr="00B84988">
        <w:rPr>
          <w:rFonts w:ascii="Verdana" w:hAnsi="Verdana" w:cs="Arial"/>
        </w:rPr>
        <w:t>,</w:t>
      </w:r>
      <w:r w:rsidR="004E2645" w:rsidRPr="000A71FC">
        <w:rPr>
          <w:rFonts w:ascii="Verdana" w:hAnsi="Verdana" w:cs="Arial"/>
        </w:rPr>
        <w:t xml:space="preserve"> </w:t>
      </w:r>
      <w:r w:rsidRPr="000A71FC">
        <w:rPr>
          <w:rFonts w:ascii="Verdana" w:eastAsiaTheme="minorHAnsi" w:hAnsi="Verdana" w:cs="Arial"/>
          <w:lang w:eastAsia="en-US"/>
        </w:rPr>
        <w:t>z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a okres 6 miesięcy poprzedzający waloryzację w stosunku </w:t>
      </w:r>
      <w:r w:rsidR="009B14C6" w:rsidRPr="009B14C6">
        <w:rPr>
          <w:rFonts w:ascii="Verdana" w:eastAsiaTheme="minorHAnsi" w:hAnsi="Verdana" w:cs="Arial"/>
          <w:color w:val="7030A0"/>
          <w:lang w:eastAsia="en-US"/>
        </w:rPr>
        <w:t>do</w:t>
      </w:r>
      <w:r w:rsidR="009B14C6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4E2645" w:rsidRPr="000A71FC">
        <w:rPr>
          <w:rFonts w:ascii="Verdana" w:eastAsiaTheme="minorHAnsi" w:hAnsi="Verdana" w:cs="Arial"/>
          <w:lang w:eastAsia="en-US"/>
        </w:rPr>
        <w:t>średniej arytmetycznej wskaźnika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, o </w:t>
      </w:r>
      <w:r w:rsidR="004E2645" w:rsidRPr="000A71FC">
        <w:rPr>
          <w:rFonts w:ascii="Verdana" w:eastAsiaTheme="minorHAnsi" w:hAnsi="Verdana" w:cs="Arial"/>
          <w:color w:val="000000"/>
          <w:lang w:eastAsia="en-US"/>
        </w:rPr>
        <w:t xml:space="preserve">którym </w:t>
      </w:r>
      <w:r w:rsidRPr="000A71FC">
        <w:rPr>
          <w:rFonts w:ascii="Verdana" w:eastAsiaTheme="minorHAnsi" w:hAnsi="Verdana" w:cs="Arial"/>
          <w:color w:val="000000"/>
          <w:lang w:eastAsia="en-US"/>
        </w:rPr>
        <w:t>mowa powyżej za okres 6 miesięc</w:t>
      </w:r>
      <w:r w:rsidR="00E075C6" w:rsidRPr="000A71FC">
        <w:rPr>
          <w:rFonts w:ascii="Verdana" w:eastAsiaTheme="minorHAnsi" w:hAnsi="Verdana" w:cs="Arial"/>
          <w:color w:val="000000"/>
          <w:lang w:eastAsia="en-US"/>
        </w:rPr>
        <w:t xml:space="preserve">y </w:t>
      </w:r>
      <w:r w:rsidR="00995156" w:rsidRPr="000A71FC">
        <w:rPr>
          <w:rFonts w:ascii="Verdana" w:eastAsiaTheme="minorHAnsi" w:hAnsi="Verdana" w:cs="Arial"/>
          <w:color w:val="000000"/>
          <w:lang w:eastAsia="en-US"/>
        </w:rPr>
        <w:t xml:space="preserve">(kalendarzowych) poprzedzający okres opisany powyżej </w:t>
      </w:r>
      <w:r w:rsidR="008F38F0" w:rsidRPr="000A71FC">
        <w:rPr>
          <w:rFonts w:ascii="Verdana" w:eastAsiaTheme="minorHAnsi" w:hAnsi="Verdana" w:cs="Arial"/>
          <w:color w:val="000000"/>
          <w:lang w:eastAsia="en-US"/>
        </w:rPr>
        <w:t>(stosunek zmiany dwóch kolejnych następujących po sobie 6 miesięcznych okresów</w:t>
      </w:r>
      <w:r w:rsidR="008F38F0" w:rsidRPr="00B84988">
        <w:rPr>
          <w:rFonts w:ascii="Verdana" w:eastAsiaTheme="minorHAnsi" w:hAnsi="Verdana" w:cs="Arial"/>
          <w:lang w:eastAsia="en-US"/>
        </w:rPr>
        <w:t>)</w:t>
      </w:r>
      <w:r w:rsidR="00BC47C5" w:rsidRPr="00B84988">
        <w:rPr>
          <w:rFonts w:ascii="Verdana" w:eastAsiaTheme="minorHAnsi" w:hAnsi="Verdana" w:cs="Arial"/>
          <w:lang w:eastAsia="en-US"/>
        </w:rPr>
        <w:t>;</w:t>
      </w:r>
    </w:p>
    <w:p w14:paraId="552DED5E" w14:textId="77777777" w:rsidR="00C53368" w:rsidRPr="00614232" w:rsidRDefault="00E32FD8" w:rsidP="00E32FD8">
      <w:pPr>
        <w:tabs>
          <w:tab w:val="left" w:pos="567"/>
        </w:tabs>
        <w:spacing w:line="360" w:lineRule="auto"/>
        <w:ind w:left="567" w:hanging="283"/>
        <w:rPr>
          <w:rFonts w:ascii="Verdana" w:eastAsiaTheme="minorHAnsi" w:hAnsi="Verdana" w:cs="Arial"/>
          <w:color w:val="00B050"/>
          <w:lang w:eastAsia="en-US"/>
        </w:rPr>
      </w:pPr>
      <w:r w:rsidRPr="000A71FC">
        <w:rPr>
          <w:rFonts w:ascii="Verdana" w:hAnsi="Verdana" w:cs="Arial"/>
        </w:rPr>
        <w:lastRenderedPageBreak/>
        <w:t xml:space="preserve">- </w:t>
      </w:r>
      <w:proofErr w:type="spellStart"/>
      <w:r w:rsidR="005E560D" w:rsidRPr="000A71FC">
        <w:rPr>
          <w:rFonts w:ascii="Verdana" w:hAnsi="Verdana" w:cs="Arial"/>
        </w:rPr>
        <w:t>w</w:t>
      </w:r>
      <w:r w:rsidR="005E560D" w:rsidRPr="000A71FC">
        <w:rPr>
          <w:rFonts w:ascii="Verdana" w:hAnsi="Verdana" w:cs="Arial"/>
          <w:vertAlign w:val="subscript"/>
        </w:rPr>
        <w:t>i</w:t>
      </w:r>
      <w:proofErr w:type="spellEnd"/>
      <w:r w:rsidR="005E560D" w:rsidRPr="000A71FC">
        <w:rPr>
          <w:rFonts w:ascii="Verdana" w:hAnsi="Verdana" w:cs="Arial"/>
          <w:b/>
          <w:vertAlign w:val="subscript"/>
        </w:rPr>
        <w:t xml:space="preserve"> </w:t>
      </w:r>
      <w:r w:rsidR="005E560D" w:rsidRPr="000A71FC">
        <w:rPr>
          <w:rFonts w:ascii="Verdana" w:hAnsi="Verdana" w:cs="Arial"/>
        </w:rPr>
        <w:t xml:space="preserve">- </w:t>
      </w:r>
      <w:bookmarkStart w:id="3" w:name="_Hlk76541297"/>
      <w:r w:rsidR="00872EE3" w:rsidRPr="000A71FC">
        <w:rPr>
          <w:rFonts w:ascii="Verdana" w:eastAsiaTheme="minorHAnsi" w:hAnsi="Verdana" w:cs="Arial"/>
          <w:color w:val="000000"/>
          <w:lang w:eastAsia="en-US"/>
        </w:rPr>
        <w:t>półroczny (</w:t>
      </w:r>
      <w:r w:rsidR="00067A3F" w:rsidRPr="000A71FC">
        <w:rPr>
          <w:rFonts w:ascii="Verdana" w:eastAsiaTheme="minorHAnsi" w:hAnsi="Verdana" w:cs="Arial"/>
          <w:color w:val="000000"/>
          <w:lang w:eastAsia="en-US"/>
        </w:rPr>
        <w:t xml:space="preserve">skumulowany wskaźnik obliczony na podstawie kolejnych </w:t>
      </w:r>
      <w:r w:rsidR="00872EE3" w:rsidRPr="000A71FC">
        <w:rPr>
          <w:rFonts w:ascii="Verdana" w:eastAsiaTheme="minorHAnsi" w:hAnsi="Verdana" w:cs="Arial"/>
          <w:color w:val="000000"/>
          <w:lang w:eastAsia="en-US"/>
        </w:rPr>
        <w:t>6-miesięc</w:t>
      </w:r>
      <w:r w:rsidR="00067A3F" w:rsidRPr="000A71FC">
        <w:rPr>
          <w:rFonts w:ascii="Verdana" w:eastAsiaTheme="minorHAnsi" w:hAnsi="Verdana" w:cs="Arial"/>
          <w:color w:val="000000"/>
          <w:lang w:eastAsia="en-US"/>
        </w:rPr>
        <w:t>znych</w:t>
      </w:r>
      <w:r w:rsid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067A3F" w:rsidRPr="000A71FC">
        <w:rPr>
          <w:rFonts w:ascii="Verdana" w:eastAsiaTheme="minorHAnsi" w:hAnsi="Verdana" w:cs="Arial"/>
          <w:lang w:eastAsia="en-US"/>
        </w:rPr>
        <w:t>wskaźników</w:t>
      </w:r>
      <w:r w:rsidR="00872EE3" w:rsidRPr="000A71FC">
        <w:rPr>
          <w:rFonts w:ascii="Verdana" w:eastAsiaTheme="minorHAnsi" w:hAnsi="Verdana" w:cs="Arial"/>
          <w:color w:val="000000"/>
          <w:lang w:eastAsia="en-US"/>
        </w:rPr>
        <w:t>) wskaźnik zmiany cen towarów i usług konsumpcyjnych ogółem</w:t>
      </w:r>
      <w:r w:rsidR="00BB70FC"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3C5150" w:rsidRPr="000A71FC">
        <w:rPr>
          <w:rFonts w:ascii="Verdana" w:eastAsiaTheme="minorHAnsi" w:hAnsi="Verdana" w:cs="Arial"/>
          <w:color w:val="000000"/>
          <w:lang w:eastAsia="en-US"/>
        </w:rPr>
        <w:t>publikowany przez</w:t>
      </w:r>
      <w:r w:rsidR="003C5150" w:rsidRPr="000A71FC">
        <w:rPr>
          <w:rFonts w:ascii="Verdana" w:hAnsi="Verdana" w:cs="Arial"/>
        </w:rPr>
        <w:t xml:space="preserve"> </w:t>
      </w:r>
      <w:r w:rsidR="003C5150" w:rsidRPr="000A71FC">
        <w:rPr>
          <w:rFonts w:ascii="Verdana" w:eastAsiaTheme="minorHAnsi" w:hAnsi="Verdana" w:cs="Arial"/>
          <w:color w:val="000000"/>
          <w:lang w:eastAsia="en-US"/>
        </w:rPr>
        <w:t xml:space="preserve">Główny Urząd Statystyczny (GUS) </w:t>
      </w:r>
      <w:r w:rsidR="003C5150" w:rsidRPr="000A71FC">
        <w:rPr>
          <w:rFonts w:ascii="Verdana" w:hAnsi="Verdana" w:cs="Arial"/>
          <w:color w:val="000000"/>
        </w:rPr>
        <w:t>na stronie</w:t>
      </w:r>
      <w:r w:rsidR="006C5310">
        <w:rPr>
          <w:rFonts w:ascii="Verdana" w:hAnsi="Verdana" w:cs="Arial"/>
          <w:color w:val="000000"/>
        </w:rPr>
        <w:t xml:space="preserve"> </w:t>
      </w:r>
      <w:r w:rsidR="00BC47C5" w:rsidRPr="006C5310">
        <w:rPr>
          <w:rFonts w:ascii="Verdana" w:hAnsi="Verdana" w:cs="Arial"/>
        </w:rPr>
        <w:t>i</w:t>
      </w:r>
      <w:r w:rsidR="00BC47C5" w:rsidRPr="00BC47C5">
        <w:rPr>
          <w:rFonts w:ascii="Verdana" w:hAnsi="Verdana" w:cs="Arial"/>
          <w:color w:val="000000"/>
        </w:rPr>
        <w:t>nternetowej</w:t>
      </w:r>
      <w:r w:rsidR="003C5150" w:rsidRPr="000A71FC">
        <w:rPr>
          <w:rFonts w:ascii="Verdana" w:hAnsi="Verdana" w:cs="Arial"/>
          <w:color w:val="000000"/>
        </w:rPr>
        <w:t xml:space="preserve">: </w:t>
      </w:r>
      <w:hyperlink r:id="rId9" w:history="1">
        <w:r w:rsidR="003C5150" w:rsidRPr="000A71FC">
          <w:rPr>
            <w:rStyle w:val="Hipercze"/>
            <w:rFonts w:ascii="Verdana" w:hAnsi="Verdana" w:cs="Arial"/>
          </w:rPr>
          <w:t>https://stat.gov.pl/wskazniki-makroekonomiczne</w:t>
        </w:r>
      </w:hyperlink>
      <w:r w:rsidR="003C5150" w:rsidRPr="00614232">
        <w:rPr>
          <w:rStyle w:val="Hipercze"/>
          <w:rFonts w:ascii="Verdana" w:hAnsi="Verdana" w:cs="Arial"/>
          <w:u w:val="none"/>
        </w:rPr>
        <w:t xml:space="preserve"> </w:t>
      </w:r>
      <w:r w:rsidR="00614232" w:rsidRPr="00614232">
        <w:rPr>
          <w:rStyle w:val="Hipercze"/>
          <w:rFonts w:ascii="Verdana" w:hAnsi="Verdana" w:cs="Arial"/>
          <w:u w:val="none"/>
        </w:rPr>
        <w:t xml:space="preserve"> </w:t>
      </w:r>
      <w:r w:rsidR="00BB70FC" w:rsidRPr="000A71FC">
        <w:rPr>
          <w:rFonts w:ascii="Verdana" w:eastAsiaTheme="minorHAnsi" w:hAnsi="Verdana" w:cs="Arial"/>
          <w:color w:val="000000"/>
          <w:lang w:eastAsia="en-US"/>
        </w:rPr>
        <w:t xml:space="preserve">za okres 6 miesięcy </w:t>
      </w:r>
      <w:r w:rsidR="008F38F0" w:rsidRPr="000A71FC">
        <w:rPr>
          <w:rFonts w:ascii="Verdana" w:eastAsiaTheme="minorHAnsi" w:hAnsi="Verdana" w:cs="Arial"/>
          <w:color w:val="000000"/>
          <w:lang w:eastAsia="en-US"/>
        </w:rPr>
        <w:t xml:space="preserve">(kalendarzowych) </w:t>
      </w:r>
      <w:r w:rsidR="0001346F" w:rsidRPr="000A71FC">
        <w:rPr>
          <w:rFonts w:ascii="Verdana" w:eastAsiaTheme="minorHAnsi" w:hAnsi="Verdana" w:cs="Arial"/>
          <w:color w:val="000000"/>
          <w:lang w:eastAsia="en-US"/>
        </w:rPr>
        <w:t>poprzedzający</w:t>
      </w:r>
      <w:r w:rsidR="009B14C6" w:rsidRPr="009B14C6">
        <w:rPr>
          <w:rFonts w:ascii="Verdana" w:eastAsiaTheme="minorHAnsi" w:hAnsi="Verdana" w:cs="Arial"/>
          <w:color w:val="7030A0"/>
          <w:lang w:eastAsia="en-US"/>
        </w:rPr>
        <w:t>ch</w:t>
      </w:r>
      <w:r w:rsidR="0001346F" w:rsidRPr="009B14C6">
        <w:rPr>
          <w:rFonts w:ascii="Verdana" w:eastAsiaTheme="minorHAnsi" w:hAnsi="Verdana" w:cs="Arial"/>
          <w:color w:val="7030A0"/>
          <w:lang w:eastAsia="en-US"/>
        </w:rPr>
        <w:t xml:space="preserve"> </w:t>
      </w:r>
      <w:r w:rsidR="008F38F0" w:rsidRPr="000A71FC">
        <w:rPr>
          <w:rFonts w:ascii="Verdana" w:eastAsiaTheme="minorHAnsi" w:hAnsi="Verdana" w:cs="Arial"/>
          <w:color w:val="000000"/>
          <w:lang w:eastAsia="en-US"/>
        </w:rPr>
        <w:t>okres opisany</w:t>
      </w:r>
      <w:bookmarkEnd w:id="3"/>
      <w:r w:rsidR="00BC47C5">
        <w:rPr>
          <w:rFonts w:ascii="Verdana" w:eastAsiaTheme="minorHAnsi" w:hAnsi="Verdana" w:cs="Arial"/>
          <w:color w:val="00B050"/>
          <w:lang w:eastAsia="en-US"/>
        </w:rPr>
        <w:t>.</w:t>
      </w:r>
    </w:p>
    <w:p w14:paraId="5DF81CB1" w14:textId="77777777" w:rsidR="00C53368" w:rsidRPr="000A71FC" w:rsidRDefault="005F3A2B" w:rsidP="002E60DE">
      <w:pPr>
        <w:tabs>
          <w:tab w:val="left" w:pos="0"/>
        </w:tabs>
        <w:spacing w:line="360" w:lineRule="auto"/>
        <w:rPr>
          <w:rFonts w:ascii="Verdana" w:hAnsi="Verdana" w:cs="Arial"/>
        </w:rPr>
      </w:pPr>
      <w:r w:rsidRPr="000A71FC">
        <w:rPr>
          <w:rFonts w:ascii="Verdana" w:hAnsi="Verdana" w:cs="Arial"/>
        </w:rPr>
        <w:t xml:space="preserve">Wszystkie wymienione powyżej wskaźniki zostaną wyliczone przez Zamawiającego w oparciu o dane dostarczone przez </w:t>
      </w:r>
      <w:r w:rsidR="00D43EED">
        <w:rPr>
          <w:rFonts w:ascii="Verdana" w:hAnsi="Verdana" w:cs="Arial"/>
        </w:rPr>
        <w:t>Wykonawcę</w:t>
      </w:r>
      <w:r w:rsidRPr="000A71FC">
        <w:rPr>
          <w:rFonts w:ascii="Verdana" w:hAnsi="Verdana" w:cs="Arial"/>
        </w:rPr>
        <w:t>.</w:t>
      </w:r>
      <w:r w:rsidR="002B3E96" w:rsidRPr="000A71FC">
        <w:rPr>
          <w:rFonts w:ascii="Verdana" w:hAnsi="Verdana" w:cs="Arial"/>
        </w:rPr>
        <w:t xml:space="preserve"> </w:t>
      </w:r>
    </w:p>
    <w:p w14:paraId="1271A193" w14:textId="77777777" w:rsidR="00352C70" w:rsidRPr="000A71FC" w:rsidRDefault="0014355E" w:rsidP="002E60DE">
      <w:pPr>
        <w:numPr>
          <w:ilvl w:val="0"/>
          <w:numId w:val="34"/>
        </w:numPr>
        <w:tabs>
          <w:tab w:val="clear" w:pos="5040"/>
          <w:tab w:val="num" w:pos="4678"/>
        </w:tabs>
        <w:spacing w:line="360" w:lineRule="auto"/>
        <w:ind w:left="709" w:hanging="567"/>
        <w:rPr>
          <w:rFonts w:ascii="Verdana" w:eastAsiaTheme="minorHAnsi" w:hAnsi="Verdana" w:cs="Arial"/>
          <w:color w:val="000000"/>
          <w:lang w:eastAsia="en-US"/>
        </w:rPr>
      </w:pPr>
      <w:r w:rsidRPr="000A71FC">
        <w:rPr>
          <w:rFonts w:ascii="Verdana" w:eastAsiaTheme="minorHAnsi" w:hAnsi="Verdana" w:cs="Arial"/>
          <w:color w:val="000000"/>
          <w:lang w:eastAsia="en-US"/>
        </w:rPr>
        <w:t xml:space="preserve">Nowa stawka </w:t>
      </w:r>
      <w:r w:rsidR="00B328C4" w:rsidRPr="000A71FC">
        <w:rPr>
          <w:rFonts w:ascii="Verdana" w:eastAsiaTheme="minorHAnsi" w:hAnsi="Verdana" w:cs="Arial"/>
          <w:color w:val="000000"/>
          <w:lang w:eastAsia="en-US"/>
        </w:rPr>
        <w:t>(</w:t>
      </w:r>
      <w:r w:rsidRPr="000A71FC">
        <w:rPr>
          <w:rFonts w:ascii="Verdana" w:eastAsiaTheme="minorHAnsi" w:hAnsi="Verdana" w:cs="Arial"/>
          <w:color w:val="000000"/>
          <w:lang w:eastAsia="en-US"/>
        </w:rPr>
        <w:t>zwaloryzowana</w:t>
      </w:r>
      <w:r w:rsidR="00B328C4" w:rsidRPr="000A71FC">
        <w:rPr>
          <w:rFonts w:ascii="Verdana" w:eastAsiaTheme="minorHAnsi" w:hAnsi="Verdana" w:cs="Arial"/>
          <w:color w:val="000000"/>
          <w:lang w:eastAsia="en-US"/>
        </w:rPr>
        <w:t>)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obliczana będzie zgodnie z następującą zasadą: stawka nowa (po waloryzacji) = stawka poprzednia (w ostatnim okresie przed waloryzacją) </w:t>
      </w:r>
      <w:r w:rsidR="005B016A" w:rsidRPr="000A71FC">
        <w:rPr>
          <w:rFonts w:ascii="Verdana" w:eastAsiaTheme="minorHAnsi" w:hAnsi="Verdana" w:cs="Arial"/>
          <w:color w:val="000000"/>
          <w:lang w:eastAsia="en-US"/>
        </w:rPr>
        <w:t>+</w:t>
      </w:r>
      <w:r w:rsidR="00F84E50"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5B016A" w:rsidRPr="000A71FC">
        <w:rPr>
          <w:rFonts w:ascii="Verdana" w:eastAsiaTheme="minorHAnsi" w:hAnsi="Verdana" w:cs="Arial"/>
          <w:color w:val="000000"/>
          <w:lang w:eastAsia="en-US"/>
        </w:rPr>
        <w:t xml:space="preserve">0,85 </w:t>
      </w:r>
      <w:r w:rsidRPr="000A71FC">
        <w:rPr>
          <w:rFonts w:ascii="Verdana" w:eastAsiaTheme="minorHAnsi" w:hAnsi="Verdana" w:cs="Arial"/>
          <w:color w:val="000000"/>
          <w:lang w:eastAsia="en-US"/>
        </w:rPr>
        <w:t>×</w:t>
      </w:r>
      <w:r w:rsidR="005B016A" w:rsidRPr="000A71FC">
        <w:rPr>
          <w:rFonts w:ascii="Verdana" w:eastAsiaTheme="minorHAnsi" w:hAnsi="Verdana" w:cs="Arial"/>
          <w:color w:val="000000"/>
          <w:lang w:eastAsia="en-US"/>
        </w:rPr>
        <w:t xml:space="preserve"> stawka poprzednia (w ostatnim okresie przed waloryzacją) x</w:t>
      </w:r>
      <w:r w:rsidR="00F84E50" w:rsidRPr="000A71FC">
        <w:rPr>
          <w:rFonts w:ascii="Verdana" w:eastAsiaTheme="minorHAnsi" w:hAnsi="Verdana" w:cs="Arial"/>
          <w:color w:val="000000"/>
          <w:lang w:eastAsia="en-US"/>
        </w:rPr>
        <w:t xml:space="preserve"> wskaźnik waloryzacji </w:t>
      </w:r>
      <w:r w:rsidR="008E4622" w:rsidRPr="000A71FC">
        <w:rPr>
          <w:rFonts w:ascii="Verdana" w:eastAsiaTheme="minorHAnsi" w:hAnsi="Verdana" w:cs="Arial"/>
          <w:color w:val="000000"/>
          <w:lang w:eastAsia="en-US"/>
        </w:rPr>
        <w:t>W</w:t>
      </w:r>
      <w:r w:rsidR="0009265F" w:rsidRPr="000A71FC">
        <w:rPr>
          <w:rFonts w:ascii="Verdana" w:eastAsiaTheme="minorHAnsi" w:hAnsi="Verdana" w:cs="Arial"/>
          <w:color w:val="000000"/>
          <w:lang w:eastAsia="en-US"/>
        </w:rPr>
        <w:t>.</w:t>
      </w:r>
    </w:p>
    <w:p w14:paraId="2C502DC4" w14:textId="77777777" w:rsidR="00352C70" w:rsidRPr="000A71FC" w:rsidRDefault="0014355E" w:rsidP="002E60DE">
      <w:pPr>
        <w:numPr>
          <w:ilvl w:val="0"/>
          <w:numId w:val="34"/>
        </w:numPr>
        <w:tabs>
          <w:tab w:val="clear" w:pos="5040"/>
          <w:tab w:val="num" w:pos="4678"/>
        </w:tabs>
        <w:spacing w:line="360" w:lineRule="auto"/>
        <w:ind w:left="709" w:hanging="567"/>
        <w:rPr>
          <w:rFonts w:ascii="Verdana" w:eastAsiaTheme="minorHAnsi" w:hAnsi="Verdana" w:cs="Arial"/>
          <w:color w:val="000000"/>
          <w:lang w:eastAsia="en-US"/>
        </w:rPr>
      </w:pPr>
      <w:r w:rsidRPr="000A71FC">
        <w:rPr>
          <w:rFonts w:ascii="Verdana" w:eastAsiaTheme="minorHAnsi" w:hAnsi="Verdana" w:cs="Arial"/>
          <w:color w:val="000000"/>
          <w:lang w:eastAsia="en-US"/>
        </w:rPr>
        <w:t xml:space="preserve">Cena jednego wozokilometra będzie waloryzowana ze skutkiem na </w:t>
      </w:r>
      <w:r w:rsidR="006F3659" w:rsidRPr="000A71FC">
        <w:rPr>
          <w:rFonts w:ascii="Verdana" w:eastAsiaTheme="minorHAnsi" w:hAnsi="Verdana" w:cs="Arial"/>
          <w:color w:val="000000"/>
          <w:lang w:eastAsia="en-US"/>
        </w:rPr>
        <w:t xml:space="preserve">pierwszy okres rozliczeniowy </w:t>
      </w:r>
      <w:r w:rsidR="00FF3A48" w:rsidRPr="000A71FC">
        <w:rPr>
          <w:rFonts w:ascii="Verdana" w:eastAsiaTheme="minorHAnsi" w:hAnsi="Verdana" w:cs="Arial"/>
          <w:color w:val="000000"/>
          <w:lang w:eastAsia="en-US"/>
        </w:rPr>
        <w:t>następujący 30 dni</w:t>
      </w:r>
      <w:r w:rsidR="00113209" w:rsidRPr="000A71FC">
        <w:rPr>
          <w:rFonts w:ascii="Verdana" w:eastAsiaTheme="minorHAnsi" w:hAnsi="Verdana" w:cs="Arial"/>
          <w:color w:val="000000"/>
          <w:lang w:eastAsia="en-US"/>
        </w:rPr>
        <w:t xml:space="preserve"> kalendarzowych</w:t>
      </w:r>
      <w:r w:rsidR="00FF3A48" w:rsidRPr="000A71FC">
        <w:rPr>
          <w:rFonts w:ascii="Verdana" w:eastAsiaTheme="minorHAnsi" w:hAnsi="Verdana" w:cs="Arial"/>
          <w:color w:val="000000"/>
          <w:lang w:eastAsia="en-US"/>
        </w:rPr>
        <w:t xml:space="preserve"> po dostarczeniu prz</w:t>
      </w:r>
      <w:r w:rsidR="00717BD4" w:rsidRPr="000A71FC">
        <w:rPr>
          <w:rFonts w:ascii="Verdana" w:eastAsiaTheme="minorHAnsi" w:hAnsi="Verdana" w:cs="Arial"/>
          <w:color w:val="000000"/>
          <w:lang w:eastAsia="en-US"/>
        </w:rPr>
        <w:t xml:space="preserve">ez </w:t>
      </w:r>
      <w:r w:rsidR="00D43EED">
        <w:rPr>
          <w:rFonts w:ascii="Verdana" w:eastAsiaTheme="minorHAnsi" w:hAnsi="Verdana" w:cs="Arial"/>
          <w:color w:val="000000"/>
          <w:lang w:eastAsia="en-US"/>
        </w:rPr>
        <w:t>Wykonawcę</w:t>
      </w:r>
      <w:r w:rsidR="00717BD4" w:rsidRPr="000A71FC">
        <w:rPr>
          <w:rFonts w:ascii="Verdana" w:eastAsiaTheme="minorHAnsi" w:hAnsi="Verdana" w:cs="Arial"/>
          <w:color w:val="000000"/>
          <w:lang w:eastAsia="en-US"/>
        </w:rPr>
        <w:t xml:space="preserve"> danych ujętych w </w:t>
      </w:r>
      <w:r w:rsidR="00717BD4" w:rsidRPr="00B86822">
        <w:rPr>
          <w:rFonts w:ascii="Verdana" w:eastAsiaTheme="minorHAnsi" w:hAnsi="Verdana" w:cs="Arial"/>
          <w:b/>
          <w:bCs/>
          <w:color w:val="000000"/>
          <w:lang w:eastAsia="en-US"/>
        </w:rPr>
        <w:t>pk</w:t>
      </w:r>
      <w:r w:rsidR="00FF3A48" w:rsidRPr="00B86822">
        <w:rPr>
          <w:rFonts w:ascii="Verdana" w:eastAsiaTheme="minorHAnsi" w:hAnsi="Verdana" w:cs="Arial"/>
          <w:b/>
          <w:bCs/>
          <w:color w:val="000000"/>
          <w:lang w:eastAsia="en-US"/>
        </w:rPr>
        <w:t>t. 1</w:t>
      </w:r>
      <w:r w:rsidR="00FF3A48" w:rsidRPr="000A71FC">
        <w:rPr>
          <w:rFonts w:ascii="Verdana" w:eastAsiaTheme="minorHAnsi" w:hAnsi="Verdana" w:cs="Arial"/>
          <w:color w:val="000000"/>
          <w:lang w:eastAsia="en-US"/>
        </w:rPr>
        <w:t>.</w:t>
      </w:r>
      <w:bookmarkStart w:id="4" w:name="_Hlk76189292"/>
    </w:p>
    <w:p w14:paraId="1AF875DF" w14:textId="77777777" w:rsidR="00352C70" w:rsidRPr="000A71FC" w:rsidRDefault="005E560D" w:rsidP="002E60DE">
      <w:pPr>
        <w:numPr>
          <w:ilvl w:val="0"/>
          <w:numId w:val="34"/>
        </w:numPr>
        <w:tabs>
          <w:tab w:val="clear" w:pos="5040"/>
          <w:tab w:val="num" w:pos="4678"/>
        </w:tabs>
        <w:spacing w:line="360" w:lineRule="auto"/>
        <w:ind w:left="709" w:hanging="567"/>
        <w:rPr>
          <w:rFonts w:ascii="Verdana" w:eastAsiaTheme="minorHAnsi" w:hAnsi="Verdana" w:cs="Arial"/>
          <w:color w:val="000000"/>
          <w:lang w:eastAsia="en-US"/>
        </w:rPr>
      </w:pPr>
      <w:r w:rsidRPr="000A71FC">
        <w:rPr>
          <w:rFonts w:ascii="Verdana" w:eastAsiaTheme="minorHAnsi" w:hAnsi="Verdana" w:cs="Arial"/>
          <w:color w:val="000000"/>
          <w:lang w:eastAsia="en-US"/>
        </w:rPr>
        <w:t>W przypadku braku publikacji wskaźników</w:t>
      </w:r>
      <w:r w:rsidR="0035146A" w:rsidRPr="000A71FC">
        <w:rPr>
          <w:rFonts w:ascii="Verdana" w:eastAsiaTheme="minorHAnsi" w:hAnsi="Verdana" w:cs="Arial"/>
          <w:color w:val="000000"/>
          <w:lang w:eastAsia="en-US"/>
        </w:rPr>
        <w:t>,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DB3AE7" w:rsidRPr="000A71FC">
        <w:rPr>
          <w:rFonts w:ascii="Verdana" w:eastAsiaTheme="minorHAnsi" w:hAnsi="Verdana" w:cs="Arial"/>
          <w:color w:val="000000"/>
          <w:lang w:eastAsia="en-US"/>
        </w:rPr>
        <w:t>o których mowa</w:t>
      </w:r>
      <w:r w:rsidR="0035146A" w:rsidRPr="000A71FC">
        <w:rPr>
          <w:rFonts w:ascii="Verdana" w:eastAsiaTheme="minorHAnsi" w:hAnsi="Verdana" w:cs="Arial"/>
          <w:color w:val="000000"/>
          <w:lang w:eastAsia="en-US"/>
        </w:rPr>
        <w:t xml:space="preserve"> w niniejszym załączniku</w:t>
      </w:r>
      <w:r w:rsidR="00DB3AE7" w:rsidRPr="000A71FC">
        <w:rPr>
          <w:rFonts w:ascii="Verdana" w:eastAsiaTheme="minorHAnsi" w:hAnsi="Verdana" w:cs="Arial"/>
          <w:color w:val="000000"/>
          <w:lang w:eastAsia="en-US"/>
        </w:rPr>
        <w:t xml:space="preserve"> za wymagany okres </w:t>
      </w:r>
      <w:r w:rsidRPr="000A71FC">
        <w:rPr>
          <w:rFonts w:ascii="Verdana" w:eastAsiaTheme="minorHAnsi" w:hAnsi="Verdana" w:cs="Arial"/>
          <w:color w:val="000000"/>
          <w:lang w:eastAsia="en-US"/>
        </w:rPr>
        <w:t>do momentu wystawienia faktur VAT</w:t>
      </w:r>
      <w:r w:rsidR="004E49D1"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przez </w:t>
      </w:r>
      <w:r w:rsidR="00D43EED">
        <w:rPr>
          <w:rFonts w:ascii="Verdana" w:eastAsiaTheme="minorHAnsi" w:hAnsi="Verdana" w:cs="Arial"/>
          <w:color w:val="000000"/>
          <w:lang w:eastAsia="en-US"/>
        </w:rPr>
        <w:t>Wykonawcę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za Usługi świadczone w danym </w:t>
      </w:r>
      <w:r w:rsidR="00DB3AE7" w:rsidRPr="000A71FC">
        <w:rPr>
          <w:rFonts w:ascii="Verdana" w:eastAsiaTheme="minorHAnsi" w:hAnsi="Verdana" w:cs="Arial"/>
          <w:color w:val="000000"/>
          <w:lang w:eastAsia="en-US"/>
        </w:rPr>
        <w:t>okresie rozliczeniowym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, wynagrodzenie za ten okres zostanie obliczone na podstawie stawki obowiązującej </w:t>
      </w:r>
      <w:r w:rsidR="0035146A" w:rsidRPr="000A71FC">
        <w:rPr>
          <w:rFonts w:ascii="Verdana" w:eastAsiaTheme="minorHAnsi" w:hAnsi="Verdana" w:cs="Arial"/>
          <w:color w:val="000000"/>
          <w:lang w:eastAsia="en-US"/>
        </w:rPr>
        <w:t xml:space="preserve">w </w:t>
      </w:r>
      <w:r w:rsidR="00A471E7" w:rsidRPr="000A71FC">
        <w:rPr>
          <w:rFonts w:ascii="Verdana" w:eastAsiaTheme="minorHAnsi" w:hAnsi="Verdana" w:cs="Arial"/>
          <w:color w:val="000000"/>
          <w:lang w:eastAsia="en-US"/>
        </w:rPr>
        <w:t>poprzednim okresie rozliczeniowym.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Rozliczenie powstałej różnicy nastąpi na podstawie kolejnej faktury VAT, wystawionej przez </w:t>
      </w:r>
      <w:r w:rsidR="00D43EED">
        <w:rPr>
          <w:rFonts w:ascii="Verdana" w:eastAsiaTheme="minorHAnsi" w:hAnsi="Verdana" w:cs="Arial"/>
          <w:color w:val="000000"/>
          <w:lang w:eastAsia="en-US"/>
        </w:rPr>
        <w:t>Wykonawcę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po dniu publikacji </w:t>
      </w:r>
      <w:r w:rsidR="00A471E7" w:rsidRPr="000A71FC">
        <w:rPr>
          <w:rFonts w:ascii="Verdana" w:eastAsiaTheme="minorHAnsi" w:hAnsi="Verdana" w:cs="Arial"/>
          <w:color w:val="000000"/>
          <w:lang w:eastAsia="en-US"/>
        </w:rPr>
        <w:t xml:space="preserve">tych </w:t>
      </w:r>
      <w:r w:rsidRPr="000A71FC">
        <w:rPr>
          <w:rFonts w:ascii="Verdana" w:eastAsiaTheme="minorHAnsi" w:hAnsi="Verdana" w:cs="Arial"/>
          <w:color w:val="000000"/>
          <w:lang w:eastAsia="en-US"/>
        </w:rPr>
        <w:t>wskaźników obejmującej pozycję pod tytułem Zaległa waloryzacja, obliczaną zgodnie z następującą zasadą: zaległa waloryzacja = suma wozokilometrów (z faktur wystawionych w danym roku kalendarzowym przed dniem publikacji wskaźników) x [stawka nowa (p</w:t>
      </w:r>
      <w:bookmarkEnd w:id="4"/>
      <w:r w:rsidRPr="000A71FC">
        <w:rPr>
          <w:rFonts w:ascii="Verdana" w:eastAsiaTheme="minorHAnsi" w:hAnsi="Verdana" w:cs="Arial"/>
          <w:color w:val="000000"/>
          <w:lang w:eastAsia="en-US"/>
        </w:rPr>
        <w:t>o waloryzacji) – stawka poprzednia (w ostatnim okresie przed waloryzacją)].</w:t>
      </w:r>
    </w:p>
    <w:p w14:paraId="48CEB24B" w14:textId="1C5250D3" w:rsidR="00352C70" w:rsidRPr="000A71FC" w:rsidRDefault="00B468D9" w:rsidP="002E60DE">
      <w:pPr>
        <w:numPr>
          <w:ilvl w:val="0"/>
          <w:numId w:val="34"/>
        </w:numPr>
        <w:tabs>
          <w:tab w:val="clear" w:pos="5040"/>
          <w:tab w:val="num" w:pos="4678"/>
        </w:tabs>
        <w:spacing w:line="360" w:lineRule="auto"/>
        <w:ind w:left="709" w:hanging="567"/>
        <w:rPr>
          <w:rFonts w:ascii="Verdana" w:eastAsiaTheme="minorHAnsi" w:hAnsi="Verdana" w:cs="Arial"/>
          <w:color w:val="FF0000"/>
          <w:lang w:eastAsia="en-US"/>
        </w:rPr>
      </w:pPr>
      <w:r w:rsidRPr="000A71FC">
        <w:rPr>
          <w:rFonts w:ascii="Verdana" w:eastAsiaTheme="minorHAnsi" w:hAnsi="Verdana" w:cs="Arial"/>
          <w:color w:val="000000"/>
          <w:lang w:eastAsia="en-US"/>
        </w:rPr>
        <w:t xml:space="preserve">W przypadku </w:t>
      </w:r>
      <w:r w:rsidR="00B86822">
        <w:rPr>
          <w:rFonts w:ascii="Verdana" w:eastAsiaTheme="minorHAnsi" w:hAnsi="Verdana" w:cs="Arial"/>
          <w:color w:val="000000"/>
          <w:lang w:eastAsia="en-US"/>
        </w:rPr>
        <w:t>gdy Wykonawca nie dostarczy Zamawiającemu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60745F" w:rsidRPr="000A71FC">
        <w:rPr>
          <w:rFonts w:ascii="Verdana" w:eastAsiaTheme="minorHAnsi" w:hAnsi="Verdana" w:cs="Arial"/>
          <w:color w:val="000000"/>
          <w:lang w:eastAsia="en-US"/>
        </w:rPr>
        <w:t xml:space="preserve">wymaganych 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danych w ciągu 30 dni </w:t>
      </w:r>
      <w:r w:rsidR="00113209" w:rsidRPr="000A71FC">
        <w:rPr>
          <w:rFonts w:ascii="Verdana" w:eastAsiaTheme="minorHAnsi" w:hAnsi="Verdana" w:cs="Arial"/>
          <w:color w:val="000000"/>
          <w:lang w:eastAsia="en-US"/>
        </w:rPr>
        <w:t xml:space="preserve">kalendarzowych </w:t>
      </w:r>
      <w:r w:rsidRPr="000A71FC">
        <w:rPr>
          <w:rFonts w:ascii="Verdana" w:eastAsiaTheme="minorHAnsi" w:hAnsi="Verdana" w:cs="Arial"/>
          <w:color w:val="000000"/>
          <w:lang w:eastAsia="en-US"/>
        </w:rPr>
        <w:t>od publikacj</w:t>
      </w:r>
      <w:r w:rsidR="00717BD4" w:rsidRPr="000A71FC">
        <w:rPr>
          <w:rFonts w:ascii="Verdana" w:eastAsiaTheme="minorHAnsi" w:hAnsi="Verdana" w:cs="Arial"/>
          <w:color w:val="000000"/>
          <w:lang w:eastAsia="en-US"/>
        </w:rPr>
        <w:t xml:space="preserve">i wskaźników o których mowa w </w:t>
      </w:r>
      <w:r w:rsidR="00717BD4" w:rsidRPr="00B86822">
        <w:rPr>
          <w:rFonts w:ascii="Verdana" w:eastAsiaTheme="minorHAnsi" w:hAnsi="Verdana" w:cs="Arial"/>
          <w:b/>
          <w:bCs/>
          <w:color w:val="000000"/>
          <w:lang w:eastAsia="en-US"/>
        </w:rPr>
        <w:t>pk</w:t>
      </w:r>
      <w:r w:rsidRPr="00B86822">
        <w:rPr>
          <w:rFonts w:ascii="Verdana" w:eastAsiaTheme="minorHAnsi" w:hAnsi="Verdana" w:cs="Arial"/>
          <w:b/>
          <w:bCs/>
          <w:color w:val="000000"/>
          <w:lang w:eastAsia="en-US"/>
        </w:rPr>
        <w:t>t. 1</w:t>
      </w:r>
      <w:r w:rsidR="00DA67A2" w:rsidRPr="000A71FC">
        <w:rPr>
          <w:rFonts w:ascii="Verdana" w:eastAsiaTheme="minorHAnsi" w:hAnsi="Verdana" w:cs="Arial"/>
          <w:color w:val="000000"/>
          <w:lang w:eastAsia="en-US"/>
        </w:rPr>
        <w:t xml:space="preserve"> Zamawiający </w:t>
      </w:r>
      <w:r w:rsidR="00B86822">
        <w:rPr>
          <w:rFonts w:ascii="Verdana" w:eastAsiaTheme="minorHAnsi" w:hAnsi="Verdana" w:cs="Arial"/>
          <w:color w:val="000000"/>
          <w:lang w:eastAsia="en-US"/>
        </w:rPr>
        <w:t xml:space="preserve">może wezwać Wykonawcę do ich dostarczenia w dodatkowym terminie 14 dni.  Brak ich dostarczenia w wyznaczonym terminie Zamawiający potraktuje jako celowy i </w:t>
      </w:r>
      <w:r w:rsidR="002E7607" w:rsidRPr="000A71FC">
        <w:rPr>
          <w:rFonts w:ascii="Verdana" w:eastAsiaTheme="minorHAnsi" w:hAnsi="Verdana" w:cs="Arial"/>
          <w:color w:val="000000"/>
          <w:lang w:eastAsia="en-US"/>
        </w:rPr>
        <w:t xml:space="preserve">pomniejszy wynagrodzenie do czasu ich </w:t>
      </w:r>
      <w:r w:rsidR="002E7607" w:rsidRPr="009B14C6">
        <w:rPr>
          <w:rFonts w:ascii="Verdana" w:eastAsiaTheme="minorHAnsi" w:hAnsi="Verdana" w:cs="Arial"/>
          <w:color w:val="000000"/>
          <w:lang w:eastAsia="en-US"/>
        </w:rPr>
        <w:t>otrzymania</w:t>
      </w:r>
      <w:r w:rsidR="002E7607" w:rsidRPr="000A71FC">
        <w:rPr>
          <w:rFonts w:ascii="Verdana" w:eastAsiaTheme="minorHAnsi" w:hAnsi="Verdana" w:cs="Arial"/>
          <w:color w:val="000000"/>
          <w:lang w:eastAsia="en-US"/>
        </w:rPr>
        <w:t xml:space="preserve"> zgodnie z zapisami </w:t>
      </w:r>
      <w:r w:rsidR="002E7607" w:rsidRPr="00B86822">
        <w:rPr>
          <w:rFonts w:ascii="Verdana" w:eastAsiaTheme="minorHAnsi" w:hAnsi="Verdana" w:cs="Arial"/>
          <w:b/>
          <w:bCs/>
          <w:color w:val="000000"/>
          <w:lang w:eastAsia="en-US"/>
        </w:rPr>
        <w:t>Załącznika n</w:t>
      </w:r>
      <w:r w:rsidR="00DB677E" w:rsidRPr="00B86822">
        <w:rPr>
          <w:rFonts w:ascii="Verdana" w:eastAsiaTheme="minorHAnsi" w:hAnsi="Verdana" w:cs="Arial"/>
          <w:b/>
          <w:bCs/>
          <w:color w:val="000000"/>
          <w:lang w:eastAsia="en-US"/>
        </w:rPr>
        <w:t>ume</w:t>
      </w:r>
      <w:r w:rsidR="002E7607" w:rsidRPr="00B86822">
        <w:rPr>
          <w:rFonts w:ascii="Verdana" w:eastAsiaTheme="minorHAnsi" w:hAnsi="Verdana" w:cs="Arial"/>
          <w:b/>
          <w:bCs/>
          <w:color w:val="000000"/>
          <w:lang w:eastAsia="en-US"/>
        </w:rPr>
        <w:t>r 8</w:t>
      </w:r>
      <w:r w:rsidR="00B86822" w:rsidRPr="00B86822">
        <w:rPr>
          <w:rFonts w:ascii="Verdana" w:eastAsiaTheme="minorHAnsi" w:hAnsi="Verdana" w:cs="Arial"/>
          <w:b/>
          <w:bCs/>
          <w:color w:val="000000"/>
          <w:lang w:eastAsia="en-US"/>
        </w:rPr>
        <w:t xml:space="preserve"> pkt 4</w:t>
      </w:r>
      <w:r w:rsidR="00C53D27" w:rsidRPr="006C5310">
        <w:rPr>
          <w:rFonts w:ascii="Verdana" w:eastAsiaTheme="minorHAnsi" w:hAnsi="Verdana" w:cs="Arial"/>
          <w:bCs/>
          <w:iCs/>
          <w:lang w:eastAsia="en-US"/>
        </w:rPr>
        <w:t>.</w:t>
      </w:r>
      <w:r w:rsidR="0009657D" w:rsidRPr="000A71FC">
        <w:rPr>
          <w:rFonts w:ascii="Verdana" w:eastAsiaTheme="minorHAnsi" w:hAnsi="Verdana" w:cs="Arial"/>
          <w:color w:val="FF0000"/>
          <w:highlight w:val="yellow"/>
          <w:lang w:eastAsia="en-US"/>
        </w:rPr>
        <w:t xml:space="preserve"> </w:t>
      </w:r>
    </w:p>
    <w:p w14:paraId="3C9ACF9F" w14:textId="77777777" w:rsidR="00352C70" w:rsidRPr="006C5310" w:rsidRDefault="005E560D" w:rsidP="002E60DE">
      <w:pPr>
        <w:numPr>
          <w:ilvl w:val="0"/>
          <w:numId w:val="34"/>
        </w:numPr>
        <w:tabs>
          <w:tab w:val="clear" w:pos="5040"/>
          <w:tab w:val="num" w:pos="4678"/>
        </w:tabs>
        <w:spacing w:line="360" w:lineRule="auto"/>
        <w:ind w:left="709" w:hanging="567"/>
        <w:rPr>
          <w:rFonts w:ascii="Verdana" w:eastAsiaTheme="minorHAnsi" w:hAnsi="Verdana" w:cs="Arial"/>
          <w:i/>
          <w:lang w:eastAsia="en-US"/>
        </w:rPr>
      </w:pPr>
      <w:r w:rsidRPr="006C5310">
        <w:rPr>
          <w:rFonts w:ascii="Verdana" w:eastAsiaTheme="minorHAnsi" w:hAnsi="Verdana" w:cs="Arial"/>
          <w:lang w:eastAsia="en-US"/>
        </w:rPr>
        <w:t xml:space="preserve">W zależności od ustalonego w danym roku wskaźnika waloryzacji </w:t>
      </w:r>
      <w:r w:rsidR="008E4622" w:rsidRPr="006C5310">
        <w:rPr>
          <w:rFonts w:ascii="Verdana" w:eastAsiaTheme="minorHAnsi" w:hAnsi="Verdana" w:cs="Arial"/>
          <w:lang w:eastAsia="en-US"/>
        </w:rPr>
        <w:t>W</w:t>
      </w:r>
      <w:r w:rsidRPr="006C5310">
        <w:rPr>
          <w:rFonts w:ascii="Verdana" w:eastAsiaTheme="minorHAnsi" w:hAnsi="Verdana" w:cs="Arial"/>
          <w:lang w:eastAsia="en-US"/>
        </w:rPr>
        <w:t xml:space="preserve">, </w:t>
      </w:r>
      <w:bookmarkStart w:id="5" w:name="_Hlk76479394"/>
      <w:r w:rsidR="00717BD4" w:rsidRPr="006C5310">
        <w:rPr>
          <w:rFonts w:ascii="Verdana" w:eastAsiaTheme="minorHAnsi" w:hAnsi="Verdana" w:cs="Arial"/>
          <w:lang w:eastAsia="en-US"/>
        </w:rPr>
        <w:t xml:space="preserve">określonego </w:t>
      </w:r>
      <w:r w:rsidR="00717BD4" w:rsidRPr="00B86822">
        <w:rPr>
          <w:rFonts w:ascii="Verdana" w:eastAsiaTheme="minorHAnsi" w:hAnsi="Verdana" w:cs="Arial"/>
          <w:b/>
          <w:bCs/>
          <w:lang w:eastAsia="en-US"/>
        </w:rPr>
        <w:t>pk</w:t>
      </w:r>
      <w:r w:rsidRPr="00B86822">
        <w:rPr>
          <w:rFonts w:ascii="Verdana" w:eastAsiaTheme="minorHAnsi" w:hAnsi="Verdana" w:cs="Arial"/>
          <w:b/>
          <w:bCs/>
          <w:lang w:eastAsia="en-US"/>
        </w:rPr>
        <w:t>t. 1</w:t>
      </w:r>
      <w:r w:rsidRPr="006C5310">
        <w:rPr>
          <w:rFonts w:ascii="Verdana" w:eastAsiaTheme="minorHAnsi" w:hAnsi="Verdana" w:cs="Arial"/>
          <w:lang w:eastAsia="en-US"/>
        </w:rPr>
        <w:t>,</w:t>
      </w:r>
      <w:bookmarkEnd w:id="5"/>
      <w:r w:rsidRPr="006C5310">
        <w:rPr>
          <w:rFonts w:ascii="Verdana" w:eastAsiaTheme="minorHAnsi" w:hAnsi="Verdana" w:cs="Arial"/>
          <w:lang w:eastAsia="en-US"/>
        </w:rPr>
        <w:t xml:space="preserve"> waloryzacja stawki może powodować zarówno wzrost, jak i zmniejszenie stawki jednostkowej. </w:t>
      </w:r>
      <w:r w:rsidRPr="006C5310">
        <w:rPr>
          <w:rFonts w:ascii="Verdana" w:eastAsiaTheme="minorHAnsi" w:hAnsi="Verdana" w:cs="Arial"/>
          <w:iCs/>
          <w:lang w:eastAsia="en-US"/>
        </w:rPr>
        <w:t>Waloryzowana stawka obliczana będzie</w:t>
      </w:r>
      <w:r w:rsidR="00352C70" w:rsidRPr="006C5310">
        <w:rPr>
          <w:rFonts w:ascii="Verdana" w:eastAsiaTheme="minorHAnsi" w:hAnsi="Verdana" w:cs="Arial"/>
          <w:iCs/>
          <w:lang w:eastAsia="en-US"/>
        </w:rPr>
        <w:t xml:space="preserve"> </w:t>
      </w:r>
      <w:r w:rsidRPr="006C5310">
        <w:rPr>
          <w:rFonts w:ascii="Verdana" w:eastAsiaTheme="minorHAnsi" w:hAnsi="Verdana" w:cs="Arial"/>
          <w:iCs/>
          <w:lang w:eastAsia="en-US"/>
        </w:rPr>
        <w:t>z dokładnością do dwóch</w:t>
      </w:r>
      <w:r w:rsidR="00000BE2" w:rsidRPr="006C5310">
        <w:rPr>
          <w:rFonts w:ascii="Verdana" w:eastAsiaTheme="minorHAnsi" w:hAnsi="Verdana" w:cs="Arial"/>
          <w:iCs/>
          <w:lang w:eastAsia="en-US"/>
        </w:rPr>
        <w:t xml:space="preserve"> </w:t>
      </w:r>
      <w:r w:rsidRPr="006C5310">
        <w:rPr>
          <w:rFonts w:ascii="Verdana" w:eastAsiaTheme="minorHAnsi" w:hAnsi="Verdana" w:cs="Arial"/>
          <w:iCs/>
          <w:lang w:eastAsia="en-US"/>
        </w:rPr>
        <w:t>miejsc</w:t>
      </w:r>
      <w:r w:rsidR="00000BE2" w:rsidRPr="006C5310">
        <w:rPr>
          <w:rFonts w:ascii="Verdana" w:eastAsiaTheme="minorHAnsi" w:hAnsi="Verdana" w:cs="Arial"/>
          <w:iCs/>
          <w:lang w:eastAsia="en-US"/>
        </w:rPr>
        <w:t xml:space="preserve"> </w:t>
      </w:r>
      <w:r w:rsidRPr="006C5310">
        <w:rPr>
          <w:rFonts w:ascii="Verdana" w:eastAsiaTheme="minorHAnsi" w:hAnsi="Verdana" w:cs="Arial"/>
          <w:iCs/>
          <w:lang w:eastAsia="en-US"/>
        </w:rPr>
        <w:t>po</w:t>
      </w:r>
      <w:r w:rsidR="00000BE2" w:rsidRPr="006C5310">
        <w:rPr>
          <w:rFonts w:ascii="Verdana" w:eastAsiaTheme="minorHAnsi" w:hAnsi="Verdana" w:cs="Arial"/>
          <w:iCs/>
          <w:lang w:eastAsia="en-US"/>
        </w:rPr>
        <w:t xml:space="preserve"> </w:t>
      </w:r>
      <w:r w:rsidRPr="006C5310">
        <w:rPr>
          <w:rFonts w:ascii="Verdana" w:eastAsiaTheme="minorHAnsi" w:hAnsi="Verdana" w:cs="Arial"/>
          <w:iCs/>
          <w:lang w:eastAsia="en-US"/>
        </w:rPr>
        <w:t>przecinku.</w:t>
      </w:r>
    </w:p>
    <w:p w14:paraId="1A1BE194" w14:textId="77777777" w:rsidR="000651E7" w:rsidRPr="006C5310" w:rsidRDefault="005E560D" w:rsidP="002E60DE">
      <w:pPr>
        <w:numPr>
          <w:ilvl w:val="0"/>
          <w:numId w:val="34"/>
        </w:numPr>
        <w:tabs>
          <w:tab w:val="clear" w:pos="5040"/>
          <w:tab w:val="num" w:pos="4678"/>
        </w:tabs>
        <w:spacing w:line="360" w:lineRule="auto"/>
        <w:ind w:left="709" w:hanging="567"/>
        <w:rPr>
          <w:rFonts w:ascii="Verdana" w:eastAsiaTheme="minorHAnsi" w:hAnsi="Verdana" w:cs="Arial"/>
          <w:lang w:eastAsia="en-US"/>
        </w:rPr>
      </w:pPr>
      <w:r w:rsidRPr="006C5310">
        <w:rPr>
          <w:rFonts w:ascii="Verdana" w:eastAsiaTheme="minorHAnsi" w:hAnsi="Verdana" w:cs="Arial"/>
          <w:lang w:eastAsia="en-US"/>
        </w:rPr>
        <w:t>Maksymalny wskaźnik waloryzacji stawki za jeden wozokilometr</w:t>
      </w:r>
      <w:r w:rsidR="00B2053B" w:rsidRPr="006C5310">
        <w:rPr>
          <w:rFonts w:ascii="Verdana" w:eastAsiaTheme="minorHAnsi" w:hAnsi="Verdana" w:cs="Arial"/>
          <w:lang w:eastAsia="en-US"/>
        </w:rPr>
        <w:t xml:space="preserve"> w danym roku</w:t>
      </w:r>
      <w:r w:rsidR="000363C3" w:rsidRPr="006C5310">
        <w:rPr>
          <w:rFonts w:ascii="Verdana" w:eastAsiaTheme="minorHAnsi" w:hAnsi="Verdana" w:cs="Arial"/>
          <w:lang w:eastAsia="en-US"/>
        </w:rPr>
        <w:t xml:space="preserve"> (licząc 2 okresy waloryzacyjne łącznie w jednym roku)</w:t>
      </w:r>
      <w:r w:rsidR="00B2053B" w:rsidRPr="006C5310">
        <w:rPr>
          <w:rFonts w:ascii="Verdana" w:eastAsiaTheme="minorHAnsi" w:hAnsi="Verdana" w:cs="Arial"/>
          <w:lang w:eastAsia="en-US"/>
        </w:rPr>
        <w:t xml:space="preserve"> </w:t>
      </w:r>
      <w:r w:rsidR="00405D69" w:rsidRPr="006C5310">
        <w:rPr>
          <w:rFonts w:ascii="Verdana" w:eastAsiaTheme="minorHAnsi" w:hAnsi="Verdana" w:cs="Arial"/>
          <w:lang w:eastAsia="en-US"/>
        </w:rPr>
        <w:t xml:space="preserve">zawiera się w przedziale </w:t>
      </w:r>
      <w:r w:rsidR="00614232" w:rsidRPr="006C5310">
        <w:rPr>
          <w:rFonts w:ascii="Verdana" w:eastAsiaTheme="minorHAnsi" w:hAnsi="Verdana" w:cs="Arial"/>
          <w:lang w:eastAsia="en-US"/>
        </w:rPr>
        <w:t>&lt;+12,5</w:t>
      </w:r>
      <w:r w:rsidR="0091714D" w:rsidRPr="006C5310">
        <w:rPr>
          <w:rFonts w:ascii="Verdana" w:eastAsiaTheme="minorHAnsi" w:hAnsi="Verdana" w:cs="Arial"/>
          <w:lang w:eastAsia="en-US"/>
        </w:rPr>
        <w:t>0</w:t>
      </w:r>
      <w:r w:rsidR="00614232" w:rsidRPr="006C5310">
        <w:rPr>
          <w:rFonts w:ascii="Verdana" w:eastAsiaTheme="minorHAnsi" w:hAnsi="Verdana" w:cs="Arial"/>
          <w:lang w:eastAsia="en-US"/>
        </w:rPr>
        <w:t xml:space="preserve">%;-12,50%&gt; </w:t>
      </w:r>
      <w:r w:rsidRPr="006C5310">
        <w:rPr>
          <w:rFonts w:ascii="Verdana" w:eastAsiaTheme="minorHAnsi" w:hAnsi="Verdana" w:cs="Arial"/>
          <w:lang w:eastAsia="en-US"/>
        </w:rPr>
        <w:t xml:space="preserve"> W przypadku, gdy wartość wskaźnika waloryzacji stawki za jeden wozokilometr, obliczona według wzoru określonego w </w:t>
      </w:r>
      <w:r w:rsidR="00405D69" w:rsidRPr="00B86822">
        <w:rPr>
          <w:rFonts w:ascii="Verdana" w:eastAsiaTheme="minorHAnsi" w:hAnsi="Verdana" w:cs="Arial"/>
          <w:b/>
          <w:bCs/>
          <w:lang w:eastAsia="en-US"/>
        </w:rPr>
        <w:t>pk</w:t>
      </w:r>
      <w:r w:rsidRPr="00B86822">
        <w:rPr>
          <w:rFonts w:ascii="Verdana" w:eastAsiaTheme="minorHAnsi" w:hAnsi="Verdana" w:cs="Arial"/>
          <w:b/>
          <w:bCs/>
          <w:lang w:eastAsia="en-US"/>
        </w:rPr>
        <w:t>t. 1</w:t>
      </w:r>
      <w:r w:rsidRPr="006C5310">
        <w:rPr>
          <w:rFonts w:ascii="Verdana" w:eastAsiaTheme="minorHAnsi" w:hAnsi="Verdana" w:cs="Arial"/>
          <w:lang w:eastAsia="en-US"/>
        </w:rPr>
        <w:t xml:space="preserve">, przekracza </w:t>
      </w:r>
      <w:r w:rsidR="00405D69" w:rsidRPr="006C5310">
        <w:rPr>
          <w:rFonts w:ascii="Verdana" w:eastAsiaTheme="minorHAnsi" w:hAnsi="Verdana" w:cs="Arial"/>
          <w:lang w:eastAsia="en-US"/>
        </w:rPr>
        <w:t>1</w:t>
      </w:r>
      <w:r w:rsidR="00B22DF6" w:rsidRPr="006C5310">
        <w:rPr>
          <w:rFonts w:ascii="Verdana" w:eastAsiaTheme="minorHAnsi" w:hAnsi="Verdana" w:cs="Arial"/>
          <w:lang w:eastAsia="en-US"/>
        </w:rPr>
        <w:t>2,5</w:t>
      </w:r>
      <w:r w:rsidR="00614232" w:rsidRPr="006C5310">
        <w:rPr>
          <w:rFonts w:ascii="Verdana" w:eastAsiaTheme="minorHAnsi" w:hAnsi="Verdana" w:cs="Arial"/>
          <w:lang w:eastAsia="en-US"/>
        </w:rPr>
        <w:t>0</w:t>
      </w:r>
      <w:r w:rsidR="00405D69" w:rsidRPr="006C5310">
        <w:rPr>
          <w:rFonts w:ascii="Verdana" w:eastAsiaTheme="minorHAnsi" w:hAnsi="Verdana" w:cs="Arial"/>
          <w:lang w:eastAsia="en-US"/>
        </w:rPr>
        <w:t>%</w:t>
      </w:r>
      <w:r w:rsidRPr="006C5310">
        <w:rPr>
          <w:rFonts w:ascii="Verdana" w:eastAsiaTheme="minorHAnsi" w:hAnsi="Verdana" w:cs="Arial"/>
          <w:lang w:eastAsia="en-US"/>
        </w:rPr>
        <w:t>, w danym roku przyjmuje się wartoś</w:t>
      </w:r>
      <w:r w:rsidR="00B2053B" w:rsidRPr="006C5310">
        <w:rPr>
          <w:rFonts w:ascii="Verdana" w:eastAsiaTheme="minorHAnsi" w:hAnsi="Verdana" w:cs="Arial"/>
          <w:lang w:eastAsia="en-US"/>
        </w:rPr>
        <w:t xml:space="preserve">ć wskaźnika waloryzacji równą </w:t>
      </w:r>
      <w:r w:rsidRPr="006C5310">
        <w:rPr>
          <w:rFonts w:ascii="Verdana" w:eastAsiaTheme="minorHAnsi" w:hAnsi="Verdana" w:cs="Arial"/>
          <w:lang w:eastAsia="en-US"/>
        </w:rPr>
        <w:t>1</w:t>
      </w:r>
      <w:r w:rsidR="00B22DF6" w:rsidRPr="006C5310">
        <w:rPr>
          <w:rFonts w:ascii="Verdana" w:eastAsiaTheme="minorHAnsi" w:hAnsi="Verdana" w:cs="Arial"/>
          <w:lang w:eastAsia="en-US"/>
        </w:rPr>
        <w:t>2,5</w:t>
      </w:r>
      <w:r w:rsidR="00614232" w:rsidRPr="006C5310">
        <w:rPr>
          <w:rFonts w:ascii="Verdana" w:eastAsiaTheme="minorHAnsi" w:hAnsi="Verdana" w:cs="Arial"/>
          <w:lang w:eastAsia="en-US"/>
        </w:rPr>
        <w:t>0</w:t>
      </w:r>
      <w:r w:rsidR="00B2053B" w:rsidRPr="006C5310">
        <w:rPr>
          <w:rFonts w:ascii="Verdana" w:eastAsiaTheme="minorHAnsi" w:hAnsi="Verdana" w:cs="Arial"/>
          <w:lang w:eastAsia="en-US"/>
        </w:rPr>
        <w:t>%</w:t>
      </w:r>
      <w:r w:rsidRPr="006C5310">
        <w:rPr>
          <w:rFonts w:ascii="Verdana" w:eastAsiaTheme="minorHAnsi" w:hAnsi="Verdana" w:cs="Arial"/>
          <w:lang w:eastAsia="en-US"/>
        </w:rPr>
        <w:t>. W przypadku, gdy wartość wskaźnika waloryzacji stawki za 1 wozokilometr obliczona wg</w:t>
      </w:r>
      <w:r w:rsidRPr="006C5310">
        <w:rPr>
          <w:rFonts w:ascii="Verdana" w:eastAsiaTheme="minorHAnsi" w:hAnsi="Verdana" w:cs="Arial"/>
          <w:strike/>
          <w:lang w:eastAsia="en-US"/>
        </w:rPr>
        <w:t>.</w:t>
      </w:r>
      <w:r w:rsidRPr="006C5310">
        <w:rPr>
          <w:rFonts w:ascii="Verdana" w:eastAsiaTheme="minorHAnsi" w:hAnsi="Verdana" w:cs="Arial"/>
          <w:lang w:eastAsia="en-US"/>
        </w:rPr>
        <w:t xml:space="preserve"> </w:t>
      </w:r>
      <w:r w:rsidR="00691620" w:rsidRPr="006C5310">
        <w:rPr>
          <w:rFonts w:ascii="Verdana" w:eastAsiaTheme="minorHAnsi" w:hAnsi="Verdana" w:cs="Arial"/>
          <w:lang w:eastAsia="en-US"/>
        </w:rPr>
        <w:t>w</w:t>
      </w:r>
      <w:r w:rsidRPr="006C5310">
        <w:rPr>
          <w:rFonts w:ascii="Verdana" w:eastAsiaTheme="minorHAnsi" w:hAnsi="Verdana" w:cs="Arial"/>
          <w:lang w:eastAsia="en-US"/>
        </w:rPr>
        <w:t xml:space="preserve">zoru </w:t>
      </w:r>
      <w:r w:rsidRPr="006C5310">
        <w:rPr>
          <w:rFonts w:ascii="Verdana" w:eastAsiaTheme="minorHAnsi" w:hAnsi="Verdana" w:cs="Arial"/>
          <w:lang w:eastAsia="en-US"/>
        </w:rPr>
        <w:lastRenderedPageBreak/>
        <w:t xml:space="preserve">określonego w </w:t>
      </w:r>
      <w:r w:rsidR="00405D69" w:rsidRPr="00B86822">
        <w:rPr>
          <w:rFonts w:ascii="Verdana" w:eastAsiaTheme="minorHAnsi" w:hAnsi="Verdana" w:cs="Arial"/>
          <w:b/>
          <w:bCs/>
          <w:lang w:eastAsia="en-US"/>
        </w:rPr>
        <w:t>pk</w:t>
      </w:r>
      <w:r w:rsidRPr="00B86822">
        <w:rPr>
          <w:rFonts w:ascii="Verdana" w:eastAsiaTheme="minorHAnsi" w:hAnsi="Verdana" w:cs="Arial"/>
          <w:b/>
          <w:bCs/>
          <w:lang w:eastAsia="en-US"/>
        </w:rPr>
        <w:t>t. 1</w:t>
      </w:r>
      <w:r w:rsidRPr="006C5310">
        <w:rPr>
          <w:rFonts w:ascii="Verdana" w:eastAsiaTheme="minorHAnsi" w:hAnsi="Verdana" w:cs="Arial"/>
          <w:lang w:eastAsia="en-US"/>
        </w:rPr>
        <w:t xml:space="preserve"> jest mniejsza niż </w:t>
      </w:r>
      <w:r w:rsidR="00405D69" w:rsidRPr="006C5310">
        <w:rPr>
          <w:rFonts w:ascii="Verdana" w:eastAsiaTheme="minorHAnsi" w:hAnsi="Verdana" w:cs="Arial"/>
          <w:lang w:eastAsia="en-US"/>
        </w:rPr>
        <w:t>-</w:t>
      </w:r>
      <w:r w:rsidR="00AA0FA5" w:rsidRPr="006C5310">
        <w:rPr>
          <w:rFonts w:ascii="Verdana" w:eastAsiaTheme="minorHAnsi" w:hAnsi="Verdana" w:cs="Arial"/>
          <w:lang w:eastAsia="en-US"/>
        </w:rPr>
        <w:t>1</w:t>
      </w:r>
      <w:r w:rsidR="00B22DF6" w:rsidRPr="006C5310">
        <w:rPr>
          <w:rFonts w:ascii="Verdana" w:eastAsiaTheme="minorHAnsi" w:hAnsi="Verdana" w:cs="Arial"/>
          <w:lang w:eastAsia="en-US"/>
        </w:rPr>
        <w:t>2,5</w:t>
      </w:r>
      <w:r w:rsidR="009B14C6" w:rsidRPr="006C5310">
        <w:rPr>
          <w:rFonts w:ascii="Verdana" w:eastAsiaTheme="minorHAnsi" w:hAnsi="Verdana" w:cs="Arial"/>
          <w:lang w:eastAsia="en-US"/>
        </w:rPr>
        <w:t>0</w:t>
      </w:r>
      <w:r w:rsidR="00B2053B" w:rsidRPr="006C5310">
        <w:rPr>
          <w:rFonts w:ascii="Verdana" w:eastAsiaTheme="minorHAnsi" w:hAnsi="Verdana" w:cs="Arial"/>
          <w:lang w:eastAsia="en-US"/>
        </w:rPr>
        <w:t>%</w:t>
      </w:r>
      <w:r w:rsidRPr="006C5310">
        <w:rPr>
          <w:rFonts w:ascii="Verdana" w:eastAsiaTheme="minorHAnsi" w:hAnsi="Verdana" w:cs="Arial"/>
          <w:lang w:eastAsia="en-US"/>
        </w:rPr>
        <w:t xml:space="preserve">, w danym roku przyjmuje się wartość wskaźnika waloryzacji równą </w:t>
      </w:r>
      <w:r w:rsidR="00405D69" w:rsidRPr="006C5310">
        <w:rPr>
          <w:rFonts w:ascii="Verdana" w:eastAsiaTheme="minorHAnsi" w:hAnsi="Verdana" w:cs="Arial"/>
          <w:lang w:eastAsia="en-US"/>
        </w:rPr>
        <w:t>-</w:t>
      </w:r>
      <w:r w:rsidR="000A71FC" w:rsidRPr="006C5310">
        <w:rPr>
          <w:rFonts w:ascii="Verdana" w:eastAsiaTheme="minorHAnsi" w:hAnsi="Verdana" w:cs="Arial"/>
          <w:lang w:eastAsia="en-US"/>
        </w:rPr>
        <w:t xml:space="preserve"> </w:t>
      </w:r>
      <w:r w:rsidR="00000BE2" w:rsidRPr="006C5310">
        <w:rPr>
          <w:rFonts w:ascii="Verdana" w:eastAsiaTheme="minorHAnsi" w:hAnsi="Verdana" w:cs="Arial"/>
          <w:lang w:eastAsia="en-US"/>
        </w:rPr>
        <w:t>1</w:t>
      </w:r>
      <w:r w:rsidR="00B22DF6" w:rsidRPr="006C5310">
        <w:rPr>
          <w:rFonts w:ascii="Verdana" w:eastAsiaTheme="minorHAnsi" w:hAnsi="Verdana" w:cs="Arial"/>
          <w:lang w:eastAsia="en-US"/>
        </w:rPr>
        <w:t>2,5</w:t>
      </w:r>
      <w:r w:rsidR="00614232" w:rsidRPr="006C5310">
        <w:rPr>
          <w:rFonts w:ascii="Verdana" w:eastAsiaTheme="minorHAnsi" w:hAnsi="Verdana" w:cs="Arial"/>
          <w:lang w:eastAsia="en-US"/>
        </w:rPr>
        <w:t>0</w:t>
      </w:r>
      <w:r w:rsidR="00B2053B" w:rsidRPr="006C5310">
        <w:rPr>
          <w:rFonts w:ascii="Verdana" w:eastAsiaTheme="minorHAnsi" w:hAnsi="Verdana" w:cs="Arial"/>
          <w:lang w:eastAsia="en-US"/>
        </w:rPr>
        <w:t>%</w:t>
      </w:r>
      <w:r w:rsidRPr="006C5310">
        <w:rPr>
          <w:rFonts w:ascii="Verdana" w:eastAsiaTheme="minorHAnsi" w:hAnsi="Verdana" w:cs="Arial"/>
          <w:lang w:eastAsia="en-US"/>
        </w:rPr>
        <w:t>.</w:t>
      </w:r>
    </w:p>
    <w:sectPr w:rsidR="000651E7" w:rsidRPr="006C5310" w:rsidSect="00E22410">
      <w:footerReference w:type="default" r:id="rId10"/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9615B" w14:textId="77777777" w:rsidR="0092163D" w:rsidRDefault="0092163D" w:rsidP="000D0990">
      <w:r>
        <w:separator/>
      </w:r>
    </w:p>
  </w:endnote>
  <w:endnote w:type="continuationSeparator" w:id="0">
    <w:p w14:paraId="5F54E830" w14:textId="77777777" w:rsidR="0092163D" w:rsidRDefault="0092163D" w:rsidP="000D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157622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0DEAA5D6" w14:textId="77777777" w:rsidR="000F2B2B" w:rsidRPr="00627B04" w:rsidRDefault="002A1BD7">
        <w:pPr>
          <w:pStyle w:val="Stopka"/>
          <w:jc w:val="right"/>
          <w:rPr>
            <w:rFonts w:ascii="Verdana" w:hAnsi="Verdana"/>
          </w:rPr>
        </w:pPr>
        <w:r w:rsidRPr="00627B04">
          <w:rPr>
            <w:rFonts w:ascii="Verdana" w:hAnsi="Verdana"/>
          </w:rPr>
          <w:fldChar w:fldCharType="begin"/>
        </w:r>
        <w:r w:rsidR="000F2B2B" w:rsidRPr="00627B04">
          <w:rPr>
            <w:rFonts w:ascii="Verdana" w:hAnsi="Verdana"/>
          </w:rPr>
          <w:instrText>PAGE   \* MERGEFORMAT</w:instrText>
        </w:r>
        <w:r w:rsidRPr="00627B04">
          <w:rPr>
            <w:rFonts w:ascii="Verdana" w:hAnsi="Verdana"/>
          </w:rPr>
          <w:fldChar w:fldCharType="separate"/>
        </w:r>
        <w:r w:rsidR="00B84988">
          <w:rPr>
            <w:rFonts w:ascii="Verdana" w:hAnsi="Verdana"/>
            <w:noProof/>
          </w:rPr>
          <w:t>2</w:t>
        </w:r>
        <w:r w:rsidRPr="00627B04">
          <w:rPr>
            <w:rFonts w:ascii="Verdana" w:hAnsi="Verdana"/>
          </w:rPr>
          <w:fldChar w:fldCharType="end"/>
        </w:r>
      </w:p>
    </w:sdtContent>
  </w:sdt>
  <w:p w14:paraId="7DE8BD7C" w14:textId="77777777" w:rsidR="008B4326" w:rsidRDefault="008B4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A3F0" w14:textId="77777777" w:rsidR="0092163D" w:rsidRDefault="0092163D" w:rsidP="000D0990">
      <w:r>
        <w:separator/>
      </w:r>
    </w:p>
  </w:footnote>
  <w:footnote w:type="continuationSeparator" w:id="0">
    <w:p w14:paraId="21FF013F" w14:textId="77777777" w:rsidR="0092163D" w:rsidRDefault="0092163D" w:rsidP="000D0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1" w15:restartNumberingAfterBreak="0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22244F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04E2"/>
    <w:multiLevelType w:val="multilevel"/>
    <w:tmpl w:val="7BE8DB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613909"/>
    <w:multiLevelType w:val="multilevel"/>
    <w:tmpl w:val="471A2196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3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F63AEE"/>
    <w:multiLevelType w:val="hybridMultilevel"/>
    <w:tmpl w:val="117C0452"/>
    <w:lvl w:ilvl="0" w:tplc="F9025D7E">
      <w:start w:val="1"/>
      <w:numFmt w:val="lowerLetter"/>
      <w:lvlText w:val="%1."/>
      <w:lvlJc w:val="left"/>
      <w:pPr>
        <w:tabs>
          <w:tab w:val="num" w:pos="1134"/>
        </w:tabs>
        <w:ind w:left="1134" w:hanging="454"/>
      </w:pPr>
    </w:lvl>
    <w:lvl w:ilvl="1" w:tplc="82B2471E">
      <w:start w:val="1"/>
      <w:numFmt w:val="none"/>
      <w:lvlText w:val="7."/>
      <w:lvlJc w:val="left"/>
      <w:pPr>
        <w:tabs>
          <w:tab w:val="num" w:pos="1440"/>
        </w:tabs>
        <w:ind w:left="1440" w:hanging="360"/>
      </w:pPr>
    </w:lvl>
    <w:lvl w:ilvl="2" w:tplc="06683A54">
      <w:start w:val="1"/>
      <w:numFmt w:val="lowerLetter"/>
      <w:lvlText w:val="%3."/>
      <w:lvlJc w:val="left"/>
      <w:pPr>
        <w:tabs>
          <w:tab w:val="num" w:pos="964"/>
        </w:tabs>
        <w:ind w:left="964" w:hanging="51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5AD4E61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4CCE8B0">
      <w:start w:val="7"/>
      <w:numFmt w:val="decimal"/>
      <w:lvlText w:val="%5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D472AE"/>
    <w:multiLevelType w:val="hybridMultilevel"/>
    <w:tmpl w:val="F48424EE"/>
    <w:lvl w:ilvl="0" w:tplc="62FA94DA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26"/>
        </w:tabs>
        <w:ind w:left="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</w:abstractNum>
  <w:abstractNum w:abstractNumId="9" w15:restartNumberingAfterBreak="0">
    <w:nsid w:val="2DC778C1"/>
    <w:multiLevelType w:val="multilevel"/>
    <w:tmpl w:val="69D2F7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0" w15:restartNumberingAfterBreak="0">
    <w:nsid w:val="335161D2"/>
    <w:multiLevelType w:val="multilevel"/>
    <w:tmpl w:val="A66895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1" w15:restartNumberingAfterBreak="0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3" w15:restartNumberingAfterBreak="0">
    <w:nsid w:val="40705649"/>
    <w:multiLevelType w:val="multilevel"/>
    <w:tmpl w:val="B30AF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F2E38"/>
    <w:multiLevelType w:val="multilevel"/>
    <w:tmpl w:val="F87692B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8" w15:restartNumberingAfterBreak="0">
    <w:nsid w:val="499B086F"/>
    <w:multiLevelType w:val="hybridMultilevel"/>
    <w:tmpl w:val="C36C950A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26"/>
        </w:tabs>
        <w:ind w:left="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</w:abstractNum>
  <w:abstractNum w:abstractNumId="19" w15:restartNumberingAfterBreak="0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0" w15:restartNumberingAfterBreak="0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1" w15:restartNumberingAfterBreak="0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23" w15:restartNumberingAfterBreak="0">
    <w:nsid w:val="5671708F"/>
    <w:multiLevelType w:val="hybridMultilevel"/>
    <w:tmpl w:val="D4DA5D3C"/>
    <w:lvl w:ilvl="0" w:tplc="4E14BFA6">
      <w:start w:val="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D1005E"/>
    <w:multiLevelType w:val="multilevel"/>
    <w:tmpl w:val="B5F05E0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5E715EFA"/>
    <w:multiLevelType w:val="multilevel"/>
    <w:tmpl w:val="6A8AC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ordinal"/>
      <w:lvlText w:val="9.%2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4E1532F"/>
    <w:multiLevelType w:val="multilevel"/>
    <w:tmpl w:val="6B226A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50303BD"/>
    <w:multiLevelType w:val="hybridMultilevel"/>
    <w:tmpl w:val="8C38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34CC6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92F4BC3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29"/>
  </w:num>
  <w:num w:numId="5">
    <w:abstractNumId w:val="33"/>
  </w:num>
  <w:num w:numId="6">
    <w:abstractNumId w:val="22"/>
  </w:num>
  <w:num w:numId="7">
    <w:abstractNumId w:val="17"/>
  </w:num>
  <w:num w:numId="8">
    <w:abstractNumId w:val="11"/>
  </w:num>
  <w:num w:numId="9">
    <w:abstractNumId w:val="14"/>
  </w:num>
  <w:num w:numId="10">
    <w:abstractNumId w:val="21"/>
  </w:num>
  <w:num w:numId="11">
    <w:abstractNumId w:val="27"/>
  </w:num>
  <w:num w:numId="12">
    <w:abstractNumId w:val="20"/>
  </w:num>
  <w:num w:numId="13">
    <w:abstractNumId w:val="15"/>
  </w:num>
  <w:num w:numId="14">
    <w:abstractNumId w:val="5"/>
  </w:num>
  <w:num w:numId="15">
    <w:abstractNumId w:val="1"/>
  </w:num>
  <w:num w:numId="16">
    <w:abstractNumId w:val="31"/>
  </w:num>
  <w:num w:numId="17">
    <w:abstractNumId w:val="12"/>
  </w:num>
  <w:num w:numId="18">
    <w:abstractNumId w:val="19"/>
  </w:num>
  <w:num w:numId="19">
    <w:abstractNumId w:val="24"/>
  </w:num>
  <w:num w:numId="20">
    <w:abstractNumId w:val="13"/>
  </w:num>
  <w:num w:numId="21">
    <w:abstractNumId w:val="26"/>
  </w:num>
  <w:num w:numId="22">
    <w:abstractNumId w:val="10"/>
  </w:num>
  <w:num w:numId="23">
    <w:abstractNumId w:val="28"/>
  </w:num>
  <w:num w:numId="24">
    <w:abstractNumId w:val="25"/>
  </w:num>
  <w:num w:numId="25">
    <w:abstractNumId w:val="30"/>
  </w:num>
  <w:num w:numId="26">
    <w:abstractNumId w:val="4"/>
  </w:num>
  <w:num w:numId="27">
    <w:abstractNumId w:val="2"/>
  </w:num>
  <w:num w:numId="28">
    <w:abstractNumId w:val="32"/>
  </w:num>
  <w:num w:numId="29">
    <w:abstractNumId w:val="6"/>
  </w:num>
  <w:num w:numId="30">
    <w:abstractNumId w:val="9"/>
  </w:num>
  <w:num w:numId="31">
    <w:abstractNumId w:val="8"/>
  </w:num>
  <w:num w:numId="32">
    <w:abstractNumId w:val="7"/>
  </w:num>
  <w:num w:numId="33">
    <w:abstractNumId w:val="1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7A0"/>
    <w:rsid w:val="00000854"/>
    <w:rsid w:val="00000BE2"/>
    <w:rsid w:val="00011881"/>
    <w:rsid w:val="0001346F"/>
    <w:rsid w:val="00013861"/>
    <w:rsid w:val="00023AE7"/>
    <w:rsid w:val="0002528B"/>
    <w:rsid w:val="00025FAC"/>
    <w:rsid w:val="00026C33"/>
    <w:rsid w:val="000363C3"/>
    <w:rsid w:val="00037FEB"/>
    <w:rsid w:val="000412D2"/>
    <w:rsid w:val="00051A67"/>
    <w:rsid w:val="00057BD9"/>
    <w:rsid w:val="000651E7"/>
    <w:rsid w:val="00067A3F"/>
    <w:rsid w:val="0007669A"/>
    <w:rsid w:val="00081945"/>
    <w:rsid w:val="00083436"/>
    <w:rsid w:val="0009265F"/>
    <w:rsid w:val="0009382E"/>
    <w:rsid w:val="00093DC3"/>
    <w:rsid w:val="0009657D"/>
    <w:rsid w:val="000A1E77"/>
    <w:rsid w:val="000A326E"/>
    <w:rsid w:val="000A71FC"/>
    <w:rsid w:val="000A79D3"/>
    <w:rsid w:val="000B0E34"/>
    <w:rsid w:val="000D0990"/>
    <w:rsid w:val="000F2B2B"/>
    <w:rsid w:val="000F3599"/>
    <w:rsid w:val="00113209"/>
    <w:rsid w:val="00115374"/>
    <w:rsid w:val="00120BBB"/>
    <w:rsid w:val="00131FA4"/>
    <w:rsid w:val="001340D9"/>
    <w:rsid w:val="0014355E"/>
    <w:rsid w:val="00163BFF"/>
    <w:rsid w:val="00174341"/>
    <w:rsid w:val="00180605"/>
    <w:rsid w:val="00181B02"/>
    <w:rsid w:val="00187EDB"/>
    <w:rsid w:val="00190275"/>
    <w:rsid w:val="00192625"/>
    <w:rsid w:val="001B6DE9"/>
    <w:rsid w:val="001B77B6"/>
    <w:rsid w:val="001C0530"/>
    <w:rsid w:val="001C1D0C"/>
    <w:rsid w:val="001C54EB"/>
    <w:rsid w:val="001C6C1A"/>
    <w:rsid w:val="001D3395"/>
    <w:rsid w:val="001E2A20"/>
    <w:rsid w:val="001E4CFC"/>
    <w:rsid w:val="002176FA"/>
    <w:rsid w:val="00222B4B"/>
    <w:rsid w:val="002319E2"/>
    <w:rsid w:val="00253AF9"/>
    <w:rsid w:val="0025578D"/>
    <w:rsid w:val="002744D3"/>
    <w:rsid w:val="0028222C"/>
    <w:rsid w:val="00282BAB"/>
    <w:rsid w:val="002852BD"/>
    <w:rsid w:val="00292343"/>
    <w:rsid w:val="00295129"/>
    <w:rsid w:val="002A1BD7"/>
    <w:rsid w:val="002A52D0"/>
    <w:rsid w:val="002B3E96"/>
    <w:rsid w:val="002D4E0F"/>
    <w:rsid w:val="002E21C2"/>
    <w:rsid w:val="002E3BC0"/>
    <w:rsid w:val="002E60DE"/>
    <w:rsid w:val="002E7607"/>
    <w:rsid w:val="002F6FC4"/>
    <w:rsid w:val="00304CF5"/>
    <w:rsid w:val="00305C5A"/>
    <w:rsid w:val="003153B4"/>
    <w:rsid w:val="00321E14"/>
    <w:rsid w:val="0032333D"/>
    <w:rsid w:val="0032720C"/>
    <w:rsid w:val="0033043E"/>
    <w:rsid w:val="0035146A"/>
    <w:rsid w:val="00352C70"/>
    <w:rsid w:val="00365260"/>
    <w:rsid w:val="0037325D"/>
    <w:rsid w:val="00376FF7"/>
    <w:rsid w:val="00390B21"/>
    <w:rsid w:val="003932A1"/>
    <w:rsid w:val="003C5150"/>
    <w:rsid w:val="003C727C"/>
    <w:rsid w:val="003D29C1"/>
    <w:rsid w:val="003D3890"/>
    <w:rsid w:val="003E448B"/>
    <w:rsid w:val="003F7764"/>
    <w:rsid w:val="00405D69"/>
    <w:rsid w:val="00424ACA"/>
    <w:rsid w:val="004313EA"/>
    <w:rsid w:val="004426BE"/>
    <w:rsid w:val="00445F4B"/>
    <w:rsid w:val="00447A8A"/>
    <w:rsid w:val="00452FA2"/>
    <w:rsid w:val="004559AE"/>
    <w:rsid w:val="004616E0"/>
    <w:rsid w:val="004655A1"/>
    <w:rsid w:val="004726DD"/>
    <w:rsid w:val="004726E1"/>
    <w:rsid w:val="00485F33"/>
    <w:rsid w:val="00494785"/>
    <w:rsid w:val="004A3F67"/>
    <w:rsid w:val="004A4E84"/>
    <w:rsid w:val="004C2655"/>
    <w:rsid w:val="004C7FDD"/>
    <w:rsid w:val="004D2C81"/>
    <w:rsid w:val="004E2645"/>
    <w:rsid w:val="004E49D1"/>
    <w:rsid w:val="004E754C"/>
    <w:rsid w:val="00502D64"/>
    <w:rsid w:val="00504842"/>
    <w:rsid w:val="005334A3"/>
    <w:rsid w:val="00543BB4"/>
    <w:rsid w:val="00545BD6"/>
    <w:rsid w:val="005513CB"/>
    <w:rsid w:val="0056412C"/>
    <w:rsid w:val="00586B49"/>
    <w:rsid w:val="005906FF"/>
    <w:rsid w:val="0059270C"/>
    <w:rsid w:val="005928FE"/>
    <w:rsid w:val="0059530B"/>
    <w:rsid w:val="005A062F"/>
    <w:rsid w:val="005A0821"/>
    <w:rsid w:val="005A1B9B"/>
    <w:rsid w:val="005B016A"/>
    <w:rsid w:val="005C4F5A"/>
    <w:rsid w:val="005D47E6"/>
    <w:rsid w:val="005E4B8C"/>
    <w:rsid w:val="005E560D"/>
    <w:rsid w:val="005F3A2B"/>
    <w:rsid w:val="00602247"/>
    <w:rsid w:val="0060745F"/>
    <w:rsid w:val="00614232"/>
    <w:rsid w:val="00627B04"/>
    <w:rsid w:val="00644D59"/>
    <w:rsid w:val="006608D7"/>
    <w:rsid w:val="006653D6"/>
    <w:rsid w:val="00667A23"/>
    <w:rsid w:val="00676746"/>
    <w:rsid w:val="00691620"/>
    <w:rsid w:val="006B4808"/>
    <w:rsid w:val="006B6FCA"/>
    <w:rsid w:val="006B7DD3"/>
    <w:rsid w:val="006C1940"/>
    <w:rsid w:val="006C5310"/>
    <w:rsid w:val="006D0969"/>
    <w:rsid w:val="006E15B6"/>
    <w:rsid w:val="006E7A70"/>
    <w:rsid w:val="006F2D54"/>
    <w:rsid w:val="006F3659"/>
    <w:rsid w:val="006F4C9F"/>
    <w:rsid w:val="00712E59"/>
    <w:rsid w:val="00715723"/>
    <w:rsid w:val="00717BD4"/>
    <w:rsid w:val="0074090B"/>
    <w:rsid w:val="00745364"/>
    <w:rsid w:val="00754349"/>
    <w:rsid w:val="00755693"/>
    <w:rsid w:val="00756927"/>
    <w:rsid w:val="007607A0"/>
    <w:rsid w:val="007663D1"/>
    <w:rsid w:val="007703FF"/>
    <w:rsid w:val="00772FC4"/>
    <w:rsid w:val="0077356F"/>
    <w:rsid w:val="00775426"/>
    <w:rsid w:val="00781B87"/>
    <w:rsid w:val="00784D3E"/>
    <w:rsid w:val="0078525D"/>
    <w:rsid w:val="00787AD3"/>
    <w:rsid w:val="00793AF6"/>
    <w:rsid w:val="007B1AB3"/>
    <w:rsid w:val="007B6D6B"/>
    <w:rsid w:val="007C09BD"/>
    <w:rsid w:val="007C1CF5"/>
    <w:rsid w:val="007C3B24"/>
    <w:rsid w:val="007D5312"/>
    <w:rsid w:val="007E09C3"/>
    <w:rsid w:val="007E19E2"/>
    <w:rsid w:val="007E1AE2"/>
    <w:rsid w:val="007E61B5"/>
    <w:rsid w:val="007F14FA"/>
    <w:rsid w:val="007F498D"/>
    <w:rsid w:val="00810180"/>
    <w:rsid w:val="00812552"/>
    <w:rsid w:val="00856F6C"/>
    <w:rsid w:val="00866EEC"/>
    <w:rsid w:val="00872EE3"/>
    <w:rsid w:val="00891A85"/>
    <w:rsid w:val="00893639"/>
    <w:rsid w:val="008A4E5D"/>
    <w:rsid w:val="008A7A2E"/>
    <w:rsid w:val="008B1A0E"/>
    <w:rsid w:val="008B2544"/>
    <w:rsid w:val="008B4326"/>
    <w:rsid w:val="008B4BCD"/>
    <w:rsid w:val="008D2CBF"/>
    <w:rsid w:val="008D598F"/>
    <w:rsid w:val="008E3EA9"/>
    <w:rsid w:val="008E4622"/>
    <w:rsid w:val="008E6CA8"/>
    <w:rsid w:val="008F38F0"/>
    <w:rsid w:val="008F4493"/>
    <w:rsid w:val="008F50C4"/>
    <w:rsid w:val="0090404E"/>
    <w:rsid w:val="009144F4"/>
    <w:rsid w:val="0091714D"/>
    <w:rsid w:val="00920E75"/>
    <w:rsid w:val="0092163D"/>
    <w:rsid w:val="00926772"/>
    <w:rsid w:val="00930E56"/>
    <w:rsid w:val="009340F0"/>
    <w:rsid w:val="00935EB1"/>
    <w:rsid w:val="0093669A"/>
    <w:rsid w:val="00940555"/>
    <w:rsid w:val="00944B2D"/>
    <w:rsid w:val="00946E71"/>
    <w:rsid w:val="0097027A"/>
    <w:rsid w:val="00970B8A"/>
    <w:rsid w:val="009732B2"/>
    <w:rsid w:val="009850A3"/>
    <w:rsid w:val="00990EA8"/>
    <w:rsid w:val="00995156"/>
    <w:rsid w:val="00997236"/>
    <w:rsid w:val="009A334E"/>
    <w:rsid w:val="009B14C6"/>
    <w:rsid w:val="009B73B1"/>
    <w:rsid w:val="009C5184"/>
    <w:rsid w:val="009D6880"/>
    <w:rsid w:val="009E4A37"/>
    <w:rsid w:val="00A07C9A"/>
    <w:rsid w:val="00A1362E"/>
    <w:rsid w:val="00A15681"/>
    <w:rsid w:val="00A225ED"/>
    <w:rsid w:val="00A418F4"/>
    <w:rsid w:val="00A4343E"/>
    <w:rsid w:val="00A471E7"/>
    <w:rsid w:val="00A61894"/>
    <w:rsid w:val="00A63027"/>
    <w:rsid w:val="00A65EC5"/>
    <w:rsid w:val="00A70AD4"/>
    <w:rsid w:val="00A819FC"/>
    <w:rsid w:val="00A82AA0"/>
    <w:rsid w:val="00A83ED6"/>
    <w:rsid w:val="00A87845"/>
    <w:rsid w:val="00AA0FA5"/>
    <w:rsid w:val="00AA24A9"/>
    <w:rsid w:val="00AB6DDC"/>
    <w:rsid w:val="00AC3FAF"/>
    <w:rsid w:val="00AD3382"/>
    <w:rsid w:val="00AD3438"/>
    <w:rsid w:val="00AD5E48"/>
    <w:rsid w:val="00AF4FE9"/>
    <w:rsid w:val="00AF664C"/>
    <w:rsid w:val="00B00618"/>
    <w:rsid w:val="00B074C9"/>
    <w:rsid w:val="00B1014F"/>
    <w:rsid w:val="00B13F0D"/>
    <w:rsid w:val="00B2053B"/>
    <w:rsid w:val="00B22DF6"/>
    <w:rsid w:val="00B24EA6"/>
    <w:rsid w:val="00B328C4"/>
    <w:rsid w:val="00B33BF9"/>
    <w:rsid w:val="00B345F6"/>
    <w:rsid w:val="00B45D50"/>
    <w:rsid w:val="00B468D9"/>
    <w:rsid w:val="00B67328"/>
    <w:rsid w:val="00B6754F"/>
    <w:rsid w:val="00B6761D"/>
    <w:rsid w:val="00B71F04"/>
    <w:rsid w:val="00B779DE"/>
    <w:rsid w:val="00B818A7"/>
    <w:rsid w:val="00B8400B"/>
    <w:rsid w:val="00B84988"/>
    <w:rsid w:val="00B86822"/>
    <w:rsid w:val="00B90940"/>
    <w:rsid w:val="00B91C52"/>
    <w:rsid w:val="00BB213A"/>
    <w:rsid w:val="00BB70FC"/>
    <w:rsid w:val="00BC0EC2"/>
    <w:rsid w:val="00BC47C5"/>
    <w:rsid w:val="00BD21D0"/>
    <w:rsid w:val="00BE4FBF"/>
    <w:rsid w:val="00BF7029"/>
    <w:rsid w:val="00C0326B"/>
    <w:rsid w:val="00C240E1"/>
    <w:rsid w:val="00C32887"/>
    <w:rsid w:val="00C332C9"/>
    <w:rsid w:val="00C33C71"/>
    <w:rsid w:val="00C53368"/>
    <w:rsid w:val="00C53D27"/>
    <w:rsid w:val="00C616CE"/>
    <w:rsid w:val="00C64332"/>
    <w:rsid w:val="00C64E63"/>
    <w:rsid w:val="00C67738"/>
    <w:rsid w:val="00C724C7"/>
    <w:rsid w:val="00C80483"/>
    <w:rsid w:val="00CC0FE0"/>
    <w:rsid w:val="00CC47E8"/>
    <w:rsid w:val="00CC7E29"/>
    <w:rsid w:val="00CD6793"/>
    <w:rsid w:val="00CE7102"/>
    <w:rsid w:val="00CF0C79"/>
    <w:rsid w:val="00CF7B9B"/>
    <w:rsid w:val="00D0654E"/>
    <w:rsid w:val="00D13AE2"/>
    <w:rsid w:val="00D16961"/>
    <w:rsid w:val="00D27C98"/>
    <w:rsid w:val="00D27D31"/>
    <w:rsid w:val="00D43EED"/>
    <w:rsid w:val="00D47E2A"/>
    <w:rsid w:val="00D70428"/>
    <w:rsid w:val="00D7779C"/>
    <w:rsid w:val="00DA1FF4"/>
    <w:rsid w:val="00DA67A2"/>
    <w:rsid w:val="00DB3AE7"/>
    <w:rsid w:val="00DB677E"/>
    <w:rsid w:val="00DC35C9"/>
    <w:rsid w:val="00DE60A8"/>
    <w:rsid w:val="00DE783E"/>
    <w:rsid w:val="00DE7F72"/>
    <w:rsid w:val="00DF1767"/>
    <w:rsid w:val="00E075C6"/>
    <w:rsid w:val="00E13F9D"/>
    <w:rsid w:val="00E22410"/>
    <w:rsid w:val="00E32FD8"/>
    <w:rsid w:val="00E703B9"/>
    <w:rsid w:val="00E7291F"/>
    <w:rsid w:val="00E81A7C"/>
    <w:rsid w:val="00E86D59"/>
    <w:rsid w:val="00E91F55"/>
    <w:rsid w:val="00EA2CB7"/>
    <w:rsid w:val="00EB30C5"/>
    <w:rsid w:val="00EB359A"/>
    <w:rsid w:val="00EC098C"/>
    <w:rsid w:val="00EC68D6"/>
    <w:rsid w:val="00ED4455"/>
    <w:rsid w:val="00ED5173"/>
    <w:rsid w:val="00ED5B1C"/>
    <w:rsid w:val="00ED7839"/>
    <w:rsid w:val="00F15190"/>
    <w:rsid w:val="00F26801"/>
    <w:rsid w:val="00F44850"/>
    <w:rsid w:val="00F50096"/>
    <w:rsid w:val="00F50BA1"/>
    <w:rsid w:val="00F50BA6"/>
    <w:rsid w:val="00F61696"/>
    <w:rsid w:val="00F62011"/>
    <w:rsid w:val="00F626EA"/>
    <w:rsid w:val="00F73E43"/>
    <w:rsid w:val="00F83BA7"/>
    <w:rsid w:val="00F84E50"/>
    <w:rsid w:val="00F961F2"/>
    <w:rsid w:val="00FA7759"/>
    <w:rsid w:val="00FB379C"/>
    <w:rsid w:val="00FB3E7D"/>
    <w:rsid w:val="00FD2085"/>
    <w:rsid w:val="00FF3A48"/>
    <w:rsid w:val="00FF3F66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9F1A"/>
  <w15:docId w15:val="{63F599BA-ECD4-4175-A2D6-759F929D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character" w:customStyle="1" w:styleId="TekstkomentarzaZnak3">
    <w:name w:val="Tekst komentarza Znak3"/>
    <w:basedOn w:val="Domylnaczcionkaakapitu"/>
    <w:uiPriority w:val="99"/>
    <w:rsid w:val="00093DC3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9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990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B43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4326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43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326"/>
    <w:rPr>
      <w:rFonts w:ascii="Times New Roman" w:eastAsiaTheme="minorEastAsia" w:hAnsi="Times New Roman"/>
      <w:sz w:val="20"/>
      <w:szCs w:val="20"/>
      <w:lang w:eastAsia="pl-PL"/>
    </w:rPr>
  </w:style>
  <w:style w:type="character" w:styleId="Hipercze">
    <w:name w:val="Hyperlink"/>
    <w:unhideWhenUsed/>
    <w:rsid w:val="004E2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e.pl/dane-statystycz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at.gov.pl/wskazniki-makroekonomi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B1081-9092-40A1-9C17-52AC0D07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Andrzej Tabaka</cp:lastModifiedBy>
  <cp:revision>4</cp:revision>
  <cp:lastPrinted>2025-01-23T13:12:00Z</cp:lastPrinted>
  <dcterms:created xsi:type="dcterms:W3CDTF">2025-01-20T14:45:00Z</dcterms:created>
  <dcterms:modified xsi:type="dcterms:W3CDTF">2025-01-23T13:31:00Z</dcterms:modified>
</cp:coreProperties>
</file>