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C7" w:rsidRDefault="00A02886" w:rsidP="003907A8">
      <w:pPr>
        <w:pStyle w:val="Nagwek1"/>
        <w:spacing w:line="288" w:lineRule="auto"/>
      </w:pPr>
      <w:r>
        <w:t>Zapewnianie</w:t>
      </w:r>
      <w:r w:rsidR="00AB3437" w:rsidRPr="00AB3437">
        <w:t xml:space="preserve"> dostępności dla poszczególnych obszarów</w:t>
      </w:r>
      <w:r w:rsidR="00F56CA8">
        <w:t xml:space="preserve"> wymagań określonych art. 6 ustawy o zapewnianiu dostępności osobom ze szczególnymi potrzebami </w:t>
      </w:r>
      <w:r w:rsidR="00982AA4">
        <w:t xml:space="preserve">- wymagania </w:t>
      </w:r>
      <w:hyperlink r:id="rId7" w:history="1">
        <w:r w:rsidR="00C46150" w:rsidRPr="008C3607">
          <w:rPr>
            <w:rStyle w:val="Hipercze"/>
          </w:rPr>
          <w:t>https://isap.sejm.gov.pl/isap.nsf/DocDetails.xsp?id=WDU20190001696</w:t>
        </w:r>
      </w:hyperlink>
    </w:p>
    <w:p w:rsidR="00A939C7" w:rsidRDefault="00A939C7" w:rsidP="003907A8">
      <w:pPr>
        <w:spacing w:line="288" w:lineRule="auto"/>
      </w:pPr>
      <w:r>
        <w:t xml:space="preserve">Ustawą o zapewnianiu dostępności osobom ze szczególnymi potrzebami </w:t>
      </w:r>
      <w:r w:rsidR="00982AA4">
        <w:t xml:space="preserve">określono minimalne wymagania służące zapewnianiu dostępności osobom ze szczególnymi potrzebami w 3 obszarach. </w:t>
      </w:r>
      <w:r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9212C4" w:rsidRDefault="007839BC" w:rsidP="00006C77">
      <w:pPr>
        <w:pStyle w:val="Nagwek2"/>
      </w:pPr>
      <w:r w:rsidRPr="009212C4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</w:t>
      </w:r>
      <w:proofErr w:type="spellStart"/>
      <w:r w:rsidRPr="009212C4">
        <w:t>niepełnosprawnościami</w:t>
      </w:r>
      <w:proofErr w:type="spellEnd"/>
      <w:r w:rsidRPr="009212C4">
        <w:t>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</w:t>
      </w:r>
      <w:proofErr w:type="spellStart"/>
      <w:r w:rsidRPr="009212C4">
        <w:t>niepełnosprawnościami</w:t>
      </w:r>
      <w:proofErr w:type="spellEnd"/>
      <w:r w:rsidRPr="009212C4">
        <w:t xml:space="preserve">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 xml:space="preserve">ograniczać się do zapewnienia dostępności dla osób poruszających się na wózkach (m.in. brak progów, pokonywanie różnic wysokości, szerokość i usytuowanie drzwi, elementów wyposażenia). Istotne jest również wzięcie pod uwagę co najmniej osób </w:t>
      </w:r>
      <w:proofErr w:type="spellStart"/>
      <w:r w:rsidR="00D235C7" w:rsidRPr="00067DEA">
        <w:t>słabowidzących</w:t>
      </w:r>
      <w:proofErr w:type="spellEnd"/>
      <w:r w:rsidR="00D235C7" w:rsidRPr="00067DEA">
        <w:t xml:space="preserve">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</w:t>
      </w:r>
      <w:proofErr w:type="spellStart"/>
      <w:r w:rsidR="00D235C7" w:rsidRPr="00067DEA">
        <w:t>sięw</w:t>
      </w:r>
      <w:proofErr w:type="spellEnd"/>
      <w:r w:rsidR="00D235C7" w:rsidRPr="00067DEA">
        <w:t xml:space="preserve">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 xml:space="preserve">zapewnienie wstępu do budynku osobie korzystającej z psa asystującego, o którym mowa w art. 2 </w:t>
      </w:r>
      <w:proofErr w:type="spellStart"/>
      <w:r w:rsidRPr="00067DEA">
        <w:rPr>
          <w:rStyle w:val="Nagwek3Znak"/>
        </w:rPr>
        <w:t>pkt</w:t>
      </w:r>
      <w:proofErr w:type="spellEnd"/>
      <w:r w:rsidRPr="00067DEA">
        <w:rPr>
          <w:rStyle w:val="Nagwek3Znak"/>
        </w:rPr>
        <w:t xml:space="preserve">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>Minimalne warunki zapewnienia dostępności cyfrowej stron internetowych i aplikacji mobilnych, w tym dokumentów, multimediów na nich publikowanych określa załącznik do ustawy z dnia 4 kwietnia 2019 r. o dostępności cyfrowej stron internetowych i aplikacji mobi</w:t>
      </w:r>
      <w:r w:rsidR="00577949">
        <w:t xml:space="preserve">lnych podmiotów publicznych </w:t>
      </w:r>
      <w:hyperlink r:id="rId10" w:history="1">
        <w:r w:rsidR="00577949" w:rsidRPr="008C3607">
          <w:rPr>
            <w:rStyle w:val="Hipercze"/>
          </w:rPr>
          <w:t>https://isap.sejm.gov.pl/isap.nsf/DocDetails.xsp?id=WDU20190000848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proofErr w:type="spellStart"/>
      <w:r w:rsidR="00506983" w:rsidRPr="00067DEA">
        <w:t>informacyjno</w:t>
      </w:r>
      <w:r w:rsidR="000F62D9" w:rsidRPr="00067DEA">
        <w:t>–</w:t>
      </w:r>
      <w:r w:rsidR="007839BC">
        <w:t>komunikacyjna</w:t>
      </w:r>
      <w:proofErr w:type="spellEnd"/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</w:t>
      </w:r>
      <w:proofErr w:type="spellStart"/>
      <w:r w:rsidRPr="00067DEA">
        <w:rPr>
          <w:rStyle w:val="Nagwek3Znak"/>
        </w:rPr>
        <w:t>on-line</w:t>
      </w:r>
      <w:proofErr w:type="spellEnd"/>
      <w:r w:rsidRPr="00067DEA">
        <w:rPr>
          <w:rStyle w:val="Nagwek3Znak"/>
        </w:rPr>
        <w:t xml:space="preserve">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</w:t>
      </w:r>
      <w:proofErr w:type="spellStart"/>
      <w:r w:rsidRPr="00067DEA">
        <w:t>pkt</w:t>
      </w:r>
      <w:proofErr w:type="spellEnd"/>
      <w:r w:rsidRPr="00067DEA">
        <w:t xml:space="preserve">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 xml:space="preserve">instalację urządzeń lub innych środków technicznych do obsługi osób </w:t>
      </w:r>
      <w:proofErr w:type="spellStart"/>
      <w:r w:rsidRPr="00067DEA">
        <w:rPr>
          <w:rStyle w:val="Nagwek3Znak"/>
        </w:rPr>
        <w:t>słabosłyszących</w:t>
      </w:r>
      <w:proofErr w:type="spellEnd"/>
      <w:r w:rsidRPr="00067DEA">
        <w:rPr>
          <w:rStyle w:val="Nagwek3Znak"/>
        </w:rPr>
        <w:t>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</w:t>
      </w:r>
      <w:proofErr w:type="spellStart"/>
      <w:r w:rsidRPr="00067DEA">
        <w:t>słabosłyszących</w:t>
      </w:r>
      <w:proofErr w:type="spellEnd"/>
      <w:r w:rsidRPr="00067DEA">
        <w:t xml:space="preserve">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</w:t>
      </w:r>
      <w:proofErr w:type="spellStart"/>
      <w:r w:rsidRPr="00067DEA">
        <w:t>słabosłyszące</w:t>
      </w:r>
      <w:proofErr w:type="spellEnd"/>
      <w:r w:rsidRPr="00067DEA">
        <w:t xml:space="preserve">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3907A8">
      <w:pPr>
        <w:pStyle w:val="Nagwek3"/>
        <w:numPr>
          <w:ilvl w:val="0"/>
          <w:numId w:val="6"/>
        </w:numPr>
        <w:spacing w:line="288" w:lineRule="auto"/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 xml:space="preserve">dostęp z udziałem tłumacza języka migowego (osobiście lub </w:t>
      </w:r>
      <w:proofErr w:type="spellStart"/>
      <w:r w:rsidRPr="005F3936">
        <w:rPr>
          <w:lang w:eastAsia="pl-PL"/>
        </w:rPr>
        <w:t>online</w:t>
      </w:r>
      <w:proofErr w:type="spellEnd"/>
      <w:r w:rsidRPr="005F3936">
        <w:rPr>
          <w:lang w:eastAsia="pl-PL"/>
        </w:rPr>
        <w:t>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Usługa tłumacza migowego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online</w:t>
      </w:r>
      <w:proofErr w:type="spellEnd"/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Braille’a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pdf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Kultury i Wydarzeń </w:t>
      </w:r>
      <w:hyperlink r:id="rId12" w:history="1">
        <w:r w:rsidR="002B0A9D" w:rsidRPr="00684814">
          <w:rPr>
            <w:rStyle w:val="Hipercze"/>
          </w:rPr>
          <w:t>https://baw.um.wroc.pl/UrzadMiastaWroclawia/document/61745/Zarz%C4%85dzenie-5201_21</w:t>
        </w:r>
      </w:hyperlink>
    </w:p>
    <w:p w:rsidR="00DC644F" w:rsidRPr="00067DEA" w:rsidRDefault="00DC644F" w:rsidP="009212C4">
      <w:pPr>
        <w:pStyle w:val="Akapitzlist"/>
        <w:numPr>
          <w:ilvl w:val="0"/>
          <w:numId w:val="9"/>
        </w:numPr>
      </w:pPr>
      <w:r w:rsidRPr="00067DEA">
        <w:t xml:space="preserve">zarządzenie Prezydenta Wrocławia w sprawie stosowania Wrocławskich standardów dostępności przestrzeni miejskich </w:t>
      </w:r>
      <w:r w:rsidR="002B0A9D" w:rsidRPr="008212AA">
        <w:rPr>
          <w:rStyle w:val="Hipercze"/>
        </w:rPr>
        <w:t>https://baw.um.wroc.pl/UrzadMiastaWroclawia/document/37575/Zarz%C4%85dzenie-249_19</w:t>
      </w:r>
      <w:bookmarkStart w:id="0" w:name="_GoBack"/>
      <w:bookmarkEnd w:id="0"/>
    </w:p>
    <w:p w:rsidR="00DC644F" w:rsidRPr="00067DEA" w:rsidRDefault="00DC644F" w:rsidP="00DC644F">
      <w:pPr>
        <w:ind w:left="360"/>
      </w:pPr>
    </w:p>
    <w:sectPr w:rsidR="00DC644F" w:rsidRPr="00067DEA" w:rsidSect="003907A8">
      <w:footerReference w:type="defaul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2F" w:rsidRDefault="00E00E2F" w:rsidP="00994F44">
      <w:pPr>
        <w:spacing w:after="0" w:line="240" w:lineRule="auto"/>
      </w:pPr>
      <w:r>
        <w:separator/>
      </w:r>
    </w:p>
  </w:endnote>
  <w:end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570576"/>
      <w:docPartObj>
        <w:docPartGallery w:val="Page Numbers (Bottom of Page)"/>
        <w:docPartUnique/>
      </w:docPartObj>
    </w:sdtPr>
    <w:sdtContent>
      <w:p w:rsidR="00994F44" w:rsidRDefault="00471366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067895">
          <w:rPr>
            <w:noProof/>
          </w:rPr>
          <w:t>1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2F" w:rsidRDefault="00E00E2F" w:rsidP="00994F44">
      <w:pPr>
        <w:spacing w:after="0" w:line="240" w:lineRule="auto"/>
      </w:pPr>
      <w:r>
        <w:separator/>
      </w:r>
    </w:p>
  </w:footnote>
  <w:footnote w:type="continuationSeparator" w:id="0">
    <w:p w:rsidR="00E00E2F" w:rsidRDefault="00E00E2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B32CA"/>
    <w:multiLevelType w:val="hybridMultilevel"/>
    <w:tmpl w:val="6A92DBD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5C7"/>
    <w:rsid w:val="00006C77"/>
    <w:rsid w:val="000138CA"/>
    <w:rsid w:val="00067895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366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21E7"/>
    <w:rsid w:val="00A2632B"/>
    <w:rsid w:val="00A4789A"/>
    <w:rsid w:val="00A675CC"/>
    <w:rsid w:val="00A939C7"/>
    <w:rsid w:val="00AB3437"/>
    <w:rsid w:val="00B0322B"/>
    <w:rsid w:val="00B451E1"/>
    <w:rsid w:val="00B64FCD"/>
    <w:rsid w:val="00BC7F33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umagdo01</cp:lastModifiedBy>
  <cp:revision>2</cp:revision>
  <dcterms:created xsi:type="dcterms:W3CDTF">2021-09-13T07:03:00Z</dcterms:created>
  <dcterms:modified xsi:type="dcterms:W3CDTF">2021-09-13T07:03:00Z</dcterms:modified>
</cp:coreProperties>
</file>