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F2" w:rsidRPr="00905E00" w:rsidRDefault="00905E00" w:rsidP="00905E00">
      <w:pPr>
        <w:pStyle w:val="Bezodstpw"/>
        <w:rPr>
          <w:rFonts w:ascii="Verdana" w:hAnsi="Verdana"/>
          <w:b/>
          <w:sz w:val="20"/>
          <w:szCs w:val="20"/>
        </w:rPr>
      </w:pPr>
      <w:r w:rsidRPr="00905E00">
        <w:rPr>
          <w:rFonts w:ascii="Verdana" w:hAnsi="Verdana"/>
          <w:b/>
          <w:sz w:val="20"/>
          <w:szCs w:val="20"/>
        </w:rPr>
        <w:t>Pan</w:t>
      </w:r>
    </w:p>
    <w:p w:rsidR="00905E00" w:rsidRPr="00905E00" w:rsidRDefault="00905E00" w:rsidP="00905E00">
      <w:pPr>
        <w:pStyle w:val="Bezodstpw"/>
        <w:rPr>
          <w:rFonts w:ascii="Verdana" w:hAnsi="Verdana"/>
          <w:b/>
          <w:sz w:val="20"/>
          <w:szCs w:val="20"/>
        </w:rPr>
      </w:pPr>
      <w:r w:rsidRPr="00905E00">
        <w:rPr>
          <w:rFonts w:ascii="Verdana" w:hAnsi="Verdana"/>
          <w:b/>
          <w:sz w:val="20"/>
          <w:szCs w:val="20"/>
        </w:rPr>
        <w:t xml:space="preserve">Arkadiusz Chwaścik </w:t>
      </w:r>
    </w:p>
    <w:p w:rsidR="00905E00" w:rsidRPr="00905E00" w:rsidRDefault="00905E00" w:rsidP="00905E00">
      <w:pPr>
        <w:pStyle w:val="Bezodstpw"/>
        <w:rPr>
          <w:rFonts w:ascii="Verdana" w:hAnsi="Verdana"/>
          <w:b/>
          <w:sz w:val="20"/>
          <w:szCs w:val="20"/>
        </w:rPr>
      </w:pPr>
      <w:r w:rsidRPr="00905E00">
        <w:rPr>
          <w:rFonts w:ascii="Verdana" w:hAnsi="Verdana"/>
          <w:b/>
          <w:sz w:val="20"/>
          <w:szCs w:val="20"/>
        </w:rPr>
        <w:t>Fundacja Skutecznie do Przodu</w:t>
      </w:r>
    </w:p>
    <w:p w:rsidR="00905E00" w:rsidRDefault="00905E00" w:rsidP="00905E00">
      <w:pPr>
        <w:pStyle w:val="Bezodstpw"/>
        <w:rPr>
          <w:rFonts w:ascii="Verdana" w:hAnsi="Verdana"/>
          <w:sz w:val="20"/>
          <w:szCs w:val="20"/>
        </w:rPr>
      </w:pPr>
    </w:p>
    <w:p w:rsidR="00905E00" w:rsidRPr="00905E00" w:rsidRDefault="00905E00" w:rsidP="00905E00">
      <w:pPr>
        <w:pStyle w:val="Bezodstpw"/>
        <w:rPr>
          <w:rFonts w:ascii="Verdana" w:hAnsi="Verdana"/>
          <w:sz w:val="20"/>
          <w:szCs w:val="20"/>
        </w:rPr>
      </w:pPr>
      <w:r w:rsidRPr="00905E00">
        <w:rPr>
          <w:rFonts w:ascii="Verdana" w:hAnsi="Verdana"/>
          <w:sz w:val="20"/>
          <w:szCs w:val="20"/>
        </w:rPr>
        <w:t>Aleja Kasztanowa 20</w:t>
      </w:r>
    </w:p>
    <w:p w:rsidR="00905E00" w:rsidRPr="00905E00" w:rsidRDefault="00905E00" w:rsidP="00905E00">
      <w:pPr>
        <w:pStyle w:val="Bezodstpw"/>
        <w:rPr>
          <w:rFonts w:ascii="Verdana" w:hAnsi="Verdana"/>
          <w:sz w:val="20"/>
          <w:szCs w:val="20"/>
        </w:rPr>
      </w:pPr>
      <w:r w:rsidRPr="00905E00">
        <w:rPr>
          <w:rFonts w:ascii="Verdana" w:hAnsi="Verdana"/>
          <w:sz w:val="20"/>
          <w:szCs w:val="20"/>
        </w:rPr>
        <w:t>53-125 Wrocław</w:t>
      </w:r>
    </w:p>
    <w:p w:rsidR="00A816F2" w:rsidRDefault="00FE0589">
      <w:pPr>
        <w:pStyle w:val="07Datapisma"/>
      </w:pPr>
      <w:r>
        <w:t xml:space="preserve">Wrocław, </w:t>
      </w:r>
      <w:r w:rsidR="00916B2A">
        <w:fldChar w:fldCharType="begin">
          <w:ffData>
            <w:name w:val="DataPisma"/>
            <w:enabled/>
            <w:calcOnExit w:val="0"/>
            <w:textInput>
              <w:default w:val="DataPisma"/>
            </w:textInput>
          </w:ffData>
        </w:fldChar>
      </w:r>
      <w:bookmarkStart w:id="0" w:name="DataPisma"/>
      <w:r w:rsidR="00916B2A">
        <w:instrText xml:space="preserve"> FORMTEXT </w:instrText>
      </w:r>
      <w:r w:rsidR="00916B2A">
        <w:fldChar w:fldCharType="separate"/>
      </w:r>
      <w:r w:rsidR="00905E00">
        <w:t>29 października</w:t>
      </w:r>
      <w:r w:rsidR="00D05583">
        <w:t xml:space="preserve"> 2024</w:t>
      </w:r>
      <w:r w:rsidR="00916B2A">
        <w:fldChar w:fldCharType="end"/>
      </w:r>
      <w:bookmarkEnd w:id="0"/>
      <w:r w:rsidR="00905E00">
        <w:t>r.</w:t>
      </w:r>
    </w:p>
    <w:p w:rsidR="00D23966" w:rsidRDefault="00C53C41" w:rsidP="00905E00">
      <w:pPr>
        <w:pStyle w:val="08Sygnaturapisma"/>
      </w:pPr>
      <w:r>
        <w:fldChar w:fldCharType="begin">
          <w:ffData>
            <w:name w:val="Sygnatura"/>
            <w:enabled/>
            <w:calcOnExit w:val="0"/>
            <w:textInput>
              <w:default w:val="SygnaturaPisma"/>
            </w:textInput>
          </w:ffData>
        </w:fldChar>
      </w:r>
      <w:bookmarkStart w:id="1" w:name="Sygnatura"/>
      <w:r>
        <w:instrText xml:space="preserve"> FORMTEXT </w:instrText>
      </w:r>
      <w:r>
        <w:fldChar w:fldCharType="separate"/>
      </w:r>
      <w:r w:rsidR="00D05583">
        <w:t>BNW</w:t>
      </w:r>
      <w:r w:rsidR="00905E00">
        <w:t>.</w:t>
      </w:r>
      <w:r w:rsidR="00D05583">
        <w:t>152</w:t>
      </w:r>
      <w:r w:rsidR="00905E00">
        <w:t>.</w:t>
      </w:r>
      <w:r w:rsidR="00D05583">
        <w:t>2</w:t>
      </w:r>
      <w:r w:rsidR="00905E00">
        <w:t>.20</w:t>
      </w:r>
      <w:r w:rsidR="00D05583">
        <w:t>24</w:t>
      </w:r>
      <w:r>
        <w:fldChar w:fldCharType="end"/>
      </w:r>
      <w:bookmarkEnd w:id="1"/>
    </w:p>
    <w:p w:rsidR="00905E00" w:rsidRPr="00905E00" w:rsidRDefault="00905E00" w:rsidP="00905E00">
      <w:pPr>
        <w:jc w:val="both"/>
        <w:rPr>
          <w:rFonts w:ascii="Verdana" w:hAnsi="Verdana"/>
          <w:bCs/>
          <w:color w:val="000000"/>
          <w:sz w:val="16"/>
          <w:szCs w:val="16"/>
        </w:rPr>
      </w:pPr>
      <w:r w:rsidRPr="00905E00">
        <w:rPr>
          <w:rStyle w:val="readonlytext"/>
          <w:rFonts w:ascii="Verdana" w:hAnsi="Verdana"/>
          <w:bCs/>
          <w:color w:val="000000"/>
          <w:sz w:val="16"/>
          <w:szCs w:val="16"/>
        </w:rPr>
        <w:t>00122427/2024/W</w:t>
      </w:r>
    </w:p>
    <w:p w:rsidR="00905E00" w:rsidRPr="00905E00" w:rsidRDefault="00905E00" w:rsidP="00905E00">
      <w:pPr>
        <w:pStyle w:val="10Szanowny"/>
      </w:pPr>
    </w:p>
    <w:p w:rsidR="00D23966" w:rsidRPr="003669D0" w:rsidRDefault="003669D0" w:rsidP="00D23966">
      <w:pPr>
        <w:pStyle w:val="11Trescpisma"/>
        <w:rPr>
          <w:sz w:val="16"/>
          <w:szCs w:val="16"/>
        </w:rPr>
      </w:pPr>
      <w:r w:rsidRPr="003669D0">
        <w:rPr>
          <w:sz w:val="16"/>
          <w:szCs w:val="16"/>
        </w:rPr>
        <w:t xml:space="preserve">Dotyczy: petycji z dnia 30 lipca 2024r. w sprawie udziału przedstawicieli klubów miejskich Rady Miasta Wrocławia a w szczególności opozycji jako obserwatorów w konkursach na prezesów i wiceprezesów spółek miejskich </w:t>
      </w:r>
    </w:p>
    <w:p w:rsidR="003669D0" w:rsidRPr="003669D0" w:rsidRDefault="003669D0" w:rsidP="00D23966">
      <w:pPr>
        <w:pStyle w:val="11Trescpisma"/>
        <w:rPr>
          <w:sz w:val="16"/>
          <w:szCs w:val="16"/>
        </w:rPr>
      </w:pPr>
    </w:p>
    <w:p w:rsidR="00984F47" w:rsidRDefault="00984F47" w:rsidP="00984F47">
      <w:pPr>
        <w:pStyle w:val="10Szanowny"/>
      </w:pPr>
      <w:r>
        <w:t>Szanowny Panie</w:t>
      </w:r>
      <w:r w:rsidR="00905E00">
        <w:t>,</w:t>
      </w:r>
    </w:p>
    <w:p w:rsidR="00D81E5D" w:rsidRDefault="003669D0" w:rsidP="00C2127D">
      <w:pPr>
        <w:pStyle w:val="11Trescpisma"/>
      </w:pPr>
      <w:r>
        <w:t xml:space="preserve">w odpowiedzi na Pana petycję z dnia 30 lipca 2024r. uprzejmie informuję, że organem odpowiedzialnym za powoływanie (jak również odwoływanie) członków zarządów spółek z udziałem jednostek samorządu terytorialnego, jest wyłącznie rada nadzorcza danej spółki. </w:t>
      </w:r>
    </w:p>
    <w:p w:rsidR="005766B1" w:rsidRDefault="003669D0" w:rsidP="00C2127D">
      <w:pPr>
        <w:pStyle w:val="11Trescpisma"/>
        <w:rPr>
          <w:color w:val="333333"/>
          <w:shd w:val="clear" w:color="auto" w:fill="FFFFFF"/>
        </w:rPr>
      </w:pPr>
      <w:r>
        <w:t xml:space="preserve">Powyższe wynika wprost z art. 10a ust. </w:t>
      </w:r>
      <w:r w:rsidR="00ED309E">
        <w:t xml:space="preserve">6 </w:t>
      </w:r>
      <w:r>
        <w:t xml:space="preserve">ustawy z dnia </w:t>
      </w:r>
      <w:r w:rsidR="00ED309E">
        <w:t xml:space="preserve">20 grudnia 1996r. </w:t>
      </w:r>
      <w:r w:rsidR="00D81E5D">
        <w:br/>
      </w:r>
      <w:r w:rsidR="00ED309E">
        <w:t>o gospodarce komunalnej</w:t>
      </w:r>
      <w:r w:rsidR="00D41074">
        <w:t xml:space="preserve"> (Dz.U. z 2021r. poz. </w:t>
      </w:r>
      <w:r w:rsidR="00DC04C2">
        <w:t>679</w:t>
      </w:r>
      <w:r w:rsidR="00D41074">
        <w:t>)</w:t>
      </w:r>
      <w:r w:rsidR="00137399">
        <w:t>, który stanowi: „</w:t>
      </w:r>
      <w:r w:rsidR="00137399" w:rsidRPr="00137399">
        <w:rPr>
          <w:color w:val="333333"/>
          <w:shd w:val="clear" w:color="auto" w:fill="FFFFFF"/>
        </w:rPr>
        <w:t>Członków zarządu spółek z udziałem jednostek samorządu terytorialnego powołuje i odwołuje rada nadzorcza</w:t>
      </w:r>
      <w:r w:rsidR="00137399">
        <w:rPr>
          <w:color w:val="333333"/>
          <w:shd w:val="clear" w:color="auto" w:fill="FFFFFF"/>
        </w:rPr>
        <w:t>”</w:t>
      </w:r>
      <w:r w:rsidR="00ED309E" w:rsidRPr="00137399">
        <w:rPr>
          <w:color w:val="333333"/>
          <w:shd w:val="clear" w:color="auto" w:fill="FFFFFF"/>
        </w:rPr>
        <w:t xml:space="preserve">. </w:t>
      </w:r>
      <w:r w:rsidR="005766B1">
        <w:rPr>
          <w:color w:val="333333"/>
          <w:shd w:val="clear" w:color="auto" w:fill="FFFFFF"/>
        </w:rPr>
        <w:t xml:space="preserve">Tym samym to rada nadzorcza posiada absolutną (ustawową) wyłączność w kształtowaniu składu organu zarządzającego daną spółką. </w:t>
      </w:r>
    </w:p>
    <w:p w:rsidR="00DF328D" w:rsidRDefault="00ED309E" w:rsidP="00C2127D">
      <w:pPr>
        <w:pStyle w:val="11Trescpisma"/>
        <w:rPr>
          <w:color w:val="333333"/>
          <w:shd w:val="clear" w:color="auto" w:fill="FFFFFF"/>
        </w:rPr>
      </w:pPr>
      <w:r w:rsidRPr="00137399">
        <w:rPr>
          <w:color w:val="333333"/>
          <w:shd w:val="clear" w:color="auto" w:fill="FFFFFF"/>
        </w:rPr>
        <w:t xml:space="preserve">Przepis </w:t>
      </w:r>
      <w:r w:rsidR="005766B1">
        <w:rPr>
          <w:color w:val="333333"/>
          <w:shd w:val="clear" w:color="auto" w:fill="FFFFFF"/>
        </w:rPr>
        <w:t>jw.</w:t>
      </w:r>
      <w:r w:rsidRPr="00137399">
        <w:rPr>
          <w:color w:val="333333"/>
          <w:shd w:val="clear" w:color="auto" w:fill="FFFFFF"/>
        </w:rPr>
        <w:t xml:space="preserve"> ma charakter bezwzględnie obowiązujący, co oznacza, że nie ma możliwości jego jakichkolwiek modyfikacji. </w:t>
      </w:r>
      <w:r w:rsidR="00CF2E50" w:rsidRPr="00137399">
        <w:rPr>
          <w:color w:val="333333"/>
          <w:shd w:val="clear" w:color="auto" w:fill="FFFFFF"/>
        </w:rPr>
        <w:t>Rada nadzorcza jest organem</w:t>
      </w:r>
      <w:r w:rsidR="00CF2E50">
        <w:rPr>
          <w:color w:val="333333"/>
          <w:shd w:val="clear" w:color="auto" w:fill="FFFFFF"/>
        </w:rPr>
        <w:t xml:space="preserve"> kolegialnym kształtowanym zgodnie z obowiązującymi przepisami prawa w tym w szczególności zgodnie z ustawą o gospodarce komuna</w:t>
      </w:r>
      <w:r w:rsidR="00356343">
        <w:rPr>
          <w:color w:val="333333"/>
          <w:shd w:val="clear" w:color="auto" w:fill="FFFFFF"/>
        </w:rPr>
        <w:t>lnej</w:t>
      </w:r>
      <w:r w:rsidR="00CF2E50">
        <w:rPr>
          <w:color w:val="333333"/>
          <w:shd w:val="clear" w:color="auto" w:fill="FFFFFF"/>
        </w:rPr>
        <w:t xml:space="preserve"> jw., ustawą z dnia </w:t>
      </w:r>
      <w:r w:rsidR="006355C1">
        <w:rPr>
          <w:color w:val="333333"/>
          <w:shd w:val="clear" w:color="auto" w:fill="FFFFFF"/>
        </w:rPr>
        <w:br/>
      </w:r>
      <w:r w:rsidR="00CF2E50">
        <w:rPr>
          <w:color w:val="333333"/>
          <w:shd w:val="clear" w:color="auto" w:fill="FFFFFF"/>
        </w:rPr>
        <w:t xml:space="preserve">16 grudnia 2016r. o zasadach zarządzania mieniem państwowym </w:t>
      </w:r>
      <w:r w:rsidR="00DC04C2">
        <w:rPr>
          <w:color w:val="333333"/>
          <w:shd w:val="clear" w:color="auto" w:fill="FFFFFF"/>
        </w:rPr>
        <w:t xml:space="preserve">(Dz. U z 2024r. poz. 125) </w:t>
      </w:r>
      <w:r w:rsidR="00CF2E50">
        <w:rPr>
          <w:color w:val="333333"/>
          <w:shd w:val="clear" w:color="auto" w:fill="FFFFFF"/>
        </w:rPr>
        <w:t>oraz ustaw</w:t>
      </w:r>
      <w:r w:rsidR="00D81E5D">
        <w:rPr>
          <w:color w:val="333333"/>
          <w:shd w:val="clear" w:color="auto" w:fill="FFFFFF"/>
        </w:rPr>
        <w:t>ą</w:t>
      </w:r>
      <w:r w:rsidR="00CF2E50">
        <w:rPr>
          <w:color w:val="333333"/>
          <w:shd w:val="clear" w:color="auto" w:fill="FFFFFF"/>
        </w:rPr>
        <w:t xml:space="preserve"> z dnia 15 września 2000r. Kodeks spółek handlowych</w:t>
      </w:r>
      <w:r w:rsidR="00DC04C2">
        <w:rPr>
          <w:color w:val="333333"/>
          <w:shd w:val="clear" w:color="auto" w:fill="FFFFFF"/>
        </w:rPr>
        <w:t xml:space="preserve"> (Dz. U. z 2024r. poz. 18)</w:t>
      </w:r>
      <w:r w:rsidR="00CF2E50">
        <w:rPr>
          <w:color w:val="333333"/>
          <w:shd w:val="clear" w:color="auto" w:fill="FFFFFF"/>
        </w:rPr>
        <w:t xml:space="preserve">. </w:t>
      </w:r>
    </w:p>
    <w:p w:rsidR="00ED309E" w:rsidRDefault="00D81E5D" w:rsidP="00C2127D">
      <w:pPr>
        <w:pStyle w:val="11Trescpisma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O</w:t>
      </w:r>
      <w:r w:rsidR="00356343">
        <w:rPr>
          <w:color w:val="333333"/>
          <w:shd w:val="clear" w:color="auto" w:fill="FFFFFF"/>
        </w:rPr>
        <w:t xml:space="preserve">bowiązujące przepisy prawa nie przewidują </w:t>
      </w:r>
      <w:r>
        <w:rPr>
          <w:color w:val="333333"/>
          <w:shd w:val="clear" w:color="auto" w:fill="FFFFFF"/>
        </w:rPr>
        <w:t xml:space="preserve">udziału jakichkolwiek innych </w:t>
      </w:r>
      <w:r w:rsidR="00DF328D">
        <w:rPr>
          <w:color w:val="333333"/>
          <w:shd w:val="clear" w:color="auto" w:fill="FFFFFF"/>
        </w:rPr>
        <w:t xml:space="preserve">osób i podmiotów </w:t>
      </w:r>
      <w:r>
        <w:rPr>
          <w:color w:val="333333"/>
          <w:shd w:val="clear" w:color="auto" w:fill="FFFFFF"/>
        </w:rPr>
        <w:t xml:space="preserve">(niż członkowie rady nadzorczej) w </w:t>
      </w:r>
      <w:r w:rsidR="00F23502">
        <w:rPr>
          <w:color w:val="333333"/>
          <w:shd w:val="clear" w:color="auto" w:fill="FFFFFF"/>
        </w:rPr>
        <w:t>kształtowaniu</w:t>
      </w:r>
      <w:r>
        <w:rPr>
          <w:color w:val="333333"/>
          <w:shd w:val="clear" w:color="auto" w:fill="FFFFFF"/>
        </w:rPr>
        <w:t xml:space="preserve"> </w:t>
      </w:r>
      <w:r w:rsidR="005E0DBA">
        <w:rPr>
          <w:color w:val="333333"/>
          <w:shd w:val="clear" w:color="auto" w:fill="FFFFFF"/>
        </w:rPr>
        <w:t xml:space="preserve">składu </w:t>
      </w:r>
      <w:r w:rsidR="00DF328D">
        <w:rPr>
          <w:color w:val="333333"/>
          <w:shd w:val="clear" w:color="auto" w:fill="FFFFFF"/>
        </w:rPr>
        <w:t xml:space="preserve">osobowego </w:t>
      </w:r>
      <w:r w:rsidR="005766B1">
        <w:rPr>
          <w:color w:val="333333"/>
          <w:shd w:val="clear" w:color="auto" w:fill="FFFFFF"/>
        </w:rPr>
        <w:t>zarządu</w:t>
      </w:r>
      <w:r>
        <w:rPr>
          <w:color w:val="333333"/>
          <w:shd w:val="clear" w:color="auto" w:fill="FFFFFF"/>
        </w:rPr>
        <w:t xml:space="preserve">. Tym samym zapewnienie takiego udziału </w:t>
      </w:r>
      <w:r w:rsidR="00DF328D">
        <w:rPr>
          <w:color w:val="333333"/>
          <w:shd w:val="clear" w:color="auto" w:fill="FFFFFF"/>
        </w:rPr>
        <w:t xml:space="preserve">innym osobom/podmiotom </w:t>
      </w:r>
      <w:r w:rsidR="00D72148">
        <w:rPr>
          <w:color w:val="333333"/>
          <w:shd w:val="clear" w:color="auto" w:fill="FFFFFF"/>
        </w:rPr>
        <w:t>spoza organów spółki</w:t>
      </w:r>
      <w:r w:rsidR="00DF328D">
        <w:rPr>
          <w:color w:val="333333"/>
          <w:shd w:val="clear" w:color="auto" w:fill="FFFFFF"/>
        </w:rPr>
        <w:t>, nawet na prawach obserwatora, nie znajduje prawnego uzasadnienia</w:t>
      </w:r>
      <w:r w:rsidR="00A15BBD">
        <w:rPr>
          <w:color w:val="333333"/>
          <w:shd w:val="clear" w:color="auto" w:fill="FFFFFF"/>
        </w:rPr>
        <w:t xml:space="preserve"> a j</w:t>
      </w:r>
      <w:r>
        <w:rPr>
          <w:color w:val="333333"/>
          <w:shd w:val="clear" w:color="auto" w:fill="FFFFFF"/>
        </w:rPr>
        <w:t xml:space="preserve">est </w:t>
      </w:r>
      <w:r w:rsidR="00A15BBD">
        <w:rPr>
          <w:color w:val="333333"/>
          <w:shd w:val="clear" w:color="auto" w:fill="FFFFFF"/>
        </w:rPr>
        <w:t xml:space="preserve">jedynie </w:t>
      </w:r>
      <w:r>
        <w:rPr>
          <w:color w:val="333333"/>
          <w:shd w:val="clear" w:color="auto" w:fill="FFFFFF"/>
        </w:rPr>
        <w:t>kwestią dobrowolną</w:t>
      </w:r>
      <w:r w:rsidR="00A15BBD">
        <w:rPr>
          <w:color w:val="333333"/>
          <w:shd w:val="clear" w:color="auto" w:fill="FFFFFF"/>
        </w:rPr>
        <w:t>, której</w:t>
      </w:r>
      <w:r>
        <w:rPr>
          <w:color w:val="333333"/>
          <w:shd w:val="clear" w:color="auto" w:fill="FFFFFF"/>
        </w:rPr>
        <w:t xml:space="preserve"> ocena należy wyłącznie do rad nadzorczych. </w:t>
      </w:r>
    </w:p>
    <w:p w:rsidR="001D45B5" w:rsidRPr="001D45B5" w:rsidRDefault="00D81E5D" w:rsidP="00C2127D">
      <w:pPr>
        <w:pStyle w:val="11Trescpisma"/>
        <w:rPr>
          <w:color w:val="333333"/>
          <w:szCs w:val="20"/>
          <w:shd w:val="clear" w:color="auto" w:fill="FFFFFF"/>
        </w:rPr>
      </w:pPr>
      <w:r w:rsidRPr="001D45B5">
        <w:rPr>
          <w:color w:val="333333"/>
          <w:szCs w:val="20"/>
          <w:shd w:val="clear" w:color="auto" w:fill="FFFFFF"/>
        </w:rPr>
        <w:t xml:space="preserve">Na marginesie należy dodać, że </w:t>
      </w:r>
      <w:r w:rsidR="00A15BBD">
        <w:rPr>
          <w:color w:val="333333"/>
          <w:szCs w:val="20"/>
          <w:shd w:val="clear" w:color="auto" w:fill="FFFFFF"/>
        </w:rPr>
        <w:t xml:space="preserve">kandydatem na </w:t>
      </w:r>
      <w:r w:rsidRPr="001D45B5">
        <w:rPr>
          <w:color w:val="333333"/>
          <w:szCs w:val="20"/>
          <w:shd w:val="clear" w:color="auto" w:fill="FFFFFF"/>
        </w:rPr>
        <w:t>członk</w:t>
      </w:r>
      <w:r w:rsidR="00A15BBD">
        <w:rPr>
          <w:color w:val="333333"/>
          <w:szCs w:val="20"/>
          <w:shd w:val="clear" w:color="auto" w:fill="FFFFFF"/>
        </w:rPr>
        <w:t>a organu zarządzającego</w:t>
      </w:r>
      <w:r w:rsidRPr="001D45B5">
        <w:rPr>
          <w:color w:val="333333"/>
          <w:szCs w:val="20"/>
          <w:shd w:val="clear" w:color="auto" w:fill="FFFFFF"/>
        </w:rPr>
        <w:t xml:space="preserve"> spółk</w:t>
      </w:r>
      <w:r w:rsidR="00A15BBD">
        <w:rPr>
          <w:color w:val="333333"/>
          <w:szCs w:val="20"/>
          <w:shd w:val="clear" w:color="auto" w:fill="FFFFFF"/>
        </w:rPr>
        <w:t>ą</w:t>
      </w:r>
      <w:r w:rsidRPr="001D45B5">
        <w:rPr>
          <w:color w:val="333333"/>
          <w:szCs w:val="20"/>
          <w:shd w:val="clear" w:color="auto" w:fill="FFFFFF"/>
        </w:rPr>
        <w:t xml:space="preserve"> z udziałem jednostek samorządu terytorialnego może </w:t>
      </w:r>
      <w:r w:rsidR="001D45B5" w:rsidRPr="001D45B5">
        <w:rPr>
          <w:color w:val="333333"/>
          <w:szCs w:val="20"/>
          <w:shd w:val="clear" w:color="auto" w:fill="FFFFFF"/>
        </w:rPr>
        <w:t xml:space="preserve">zostać </w:t>
      </w:r>
      <w:r w:rsidR="00795551">
        <w:rPr>
          <w:color w:val="333333"/>
          <w:szCs w:val="20"/>
          <w:shd w:val="clear" w:color="auto" w:fill="FFFFFF"/>
        </w:rPr>
        <w:t xml:space="preserve">wyłącznie </w:t>
      </w:r>
      <w:r w:rsidR="001D45B5" w:rsidRPr="001D45B5">
        <w:rPr>
          <w:color w:val="333333"/>
          <w:szCs w:val="20"/>
          <w:shd w:val="clear" w:color="auto" w:fill="FFFFFF"/>
        </w:rPr>
        <w:t xml:space="preserve">osoba, która spełnia </w:t>
      </w:r>
      <w:r w:rsidR="00795551">
        <w:rPr>
          <w:color w:val="333333"/>
          <w:szCs w:val="20"/>
          <w:shd w:val="clear" w:color="auto" w:fill="FFFFFF"/>
        </w:rPr>
        <w:t xml:space="preserve">wszystkie </w:t>
      </w:r>
      <w:r w:rsidR="001D45B5" w:rsidRPr="001D45B5">
        <w:rPr>
          <w:color w:val="333333"/>
          <w:szCs w:val="20"/>
          <w:shd w:val="clear" w:color="auto" w:fill="FFFFFF"/>
        </w:rPr>
        <w:t>ustawow</w:t>
      </w:r>
      <w:r w:rsidR="00795551">
        <w:rPr>
          <w:color w:val="333333"/>
          <w:szCs w:val="20"/>
          <w:shd w:val="clear" w:color="auto" w:fill="FFFFFF"/>
        </w:rPr>
        <w:t>e</w:t>
      </w:r>
      <w:r w:rsidR="001D45B5" w:rsidRPr="001D45B5">
        <w:rPr>
          <w:color w:val="333333"/>
          <w:szCs w:val="20"/>
          <w:shd w:val="clear" w:color="auto" w:fill="FFFFFF"/>
        </w:rPr>
        <w:t xml:space="preserve"> wymog</w:t>
      </w:r>
      <w:r w:rsidR="00795551">
        <w:rPr>
          <w:color w:val="333333"/>
          <w:szCs w:val="20"/>
          <w:shd w:val="clear" w:color="auto" w:fill="FFFFFF"/>
        </w:rPr>
        <w:t>i</w:t>
      </w:r>
      <w:r w:rsidR="00A15BBD">
        <w:rPr>
          <w:color w:val="333333"/>
          <w:szCs w:val="20"/>
          <w:shd w:val="clear" w:color="auto" w:fill="FFFFFF"/>
        </w:rPr>
        <w:t xml:space="preserve">, w </w:t>
      </w:r>
      <w:r w:rsidR="001D45B5" w:rsidRPr="001D45B5">
        <w:rPr>
          <w:color w:val="333333"/>
          <w:szCs w:val="20"/>
          <w:shd w:val="clear" w:color="auto" w:fill="FFFFFF"/>
        </w:rPr>
        <w:t xml:space="preserve">zakresie </w:t>
      </w:r>
      <w:r w:rsidR="00A15BBD">
        <w:rPr>
          <w:color w:val="333333"/>
          <w:szCs w:val="20"/>
          <w:shd w:val="clear" w:color="auto" w:fill="FFFFFF"/>
        </w:rPr>
        <w:t xml:space="preserve">których </w:t>
      </w:r>
      <w:r w:rsidR="001D45B5" w:rsidRPr="001D45B5">
        <w:rPr>
          <w:color w:val="333333"/>
          <w:szCs w:val="20"/>
          <w:shd w:val="clear" w:color="auto" w:fill="FFFFFF"/>
        </w:rPr>
        <w:t xml:space="preserve">należy wymienić </w:t>
      </w:r>
      <w:r w:rsidR="001D45B5">
        <w:rPr>
          <w:color w:val="333333"/>
          <w:szCs w:val="20"/>
          <w:shd w:val="clear" w:color="auto" w:fill="FFFFFF"/>
        </w:rPr>
        <w:t xml:space="preserve">m.in. </w:t>
      </w:r>
      <w:r w:rsidR="001D45B5" w:rsidRPr="001D45B5">
        <w:rPr>
          <w:color w:val="333333"/>
          <w:szCs w:val="20"/>
          <w:shd w:val="clear" w:color="auto" w:fill="FFFFFF"/>
        </w:rPr>
        <w:t>następujące przepisy:</w:t>
      </w:r>
    </w:p>
    <w:p w:rsidR="00020913" w:rsidRPr="001D45B5" w:rsidRDefault="00020913" w:rsidP="00020913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1D45B5">
        <w:rPr>
          <w:rFonts w:ascii="Verdana" w:hAnsi="Verdana"/>
          <w:sz w:val="20"/>
          <w:szCs w:val="20"/>
        </w:rPr>
        <w:lastRenderedPageBreak/>
        <w:t>art. 22 ustawy o zarządzaniu mieniem państwowym, przewidując</w:t>
      </w:r>
      <w:r w:rsidR="00F81C87">
        <w:rPr>
          <w:rFonts w:ascii="Verdana" w:hAnsi="Verdana"/>
          <w:sz w:val="20"/>
          <w:szCs w:val="20"/>
        </w:rPr>
        <w:t>y</w:t>
      </w:r>
      <w:r w:rsidRPr="001D45B5">
        <w:rPr>
          <w:rFonts w:ascii="Verdana" w:hAnsi="Verdana"/>
          <w:sz w:val="20"/>
          <w:szCs w:val="20"/>
        </w:rPr>
        <w:t xml:space="preserve"> spełnianie wymogów przez osobę powołaną na członka </w:t>
      </w:r>
      <w:r>
        <w:rPr>
          <w:rFonts w:ascii="Verdana" w:hAnsi="Verdana"/>
          <w:sz w:val="20"/>
          <w:szCs w:val="20"/>
        </w:rPr>
        <w:t>z</w:t>
      </w:r>
      <w:r w:rsidRPr="001D45B5">
        <w:rPr>
          <w:rFonts w:ascii="Verdana" w:hAnsi="Verdana"/>
          <w:sz w:val="20"/>
          <w:szCs w:val="20"/>
        </w:rPr>
        <w:t>arządu;</w:t>
      </w:r>
    </w:p>
    <w:p w:rsidR="001D45B5" w:rsidRPr="001D45B5" w:rsidRDefault="001D45B5" w:rsidP="001D45B5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jc w:val="both"/>
        <w:rPr>
          <w:rFonts w:ascii="Verdana" w:hAnsi="Verdana"/>
          <w:color w:val="000000"/>
          <w:sz w:val="20"/>
          <w:szCs w:val="20"/>
        </w:rPr>
      </w:pPr>
      <w:r w:rsidRPr="001D45B5">
        <w:rPr>
          <w:rFonts w:ascii="Verdana" w:hAnsi="Verdana"/>
          <w:sz w:val="20"/>
          <w:szCs w:val="20"/>
        </w:rPr>
        <w:t xml:space="preserve">art. 18 </w:t>
      </w:r>
      <w:r>
        <w:rPr>
          <w:rFonts w:ascii="Verdana" w:hAnsi="Verdana"/>
          <w:sz w:val="20"/>
          <w:szCs w:val="20"/>
        </w:rPr>
        <w:t xml:space="preserve">oraz </w:t>
      </w:r>
      <w:r w:rsidRPr="001D45B5">
        <w:rPr>
          <w:rFonts w:ascii="Verdana" w:hAnsi="Verdana"/>
          <w:color w:val="000000"/>
          <w:sz w:val="20"/>
          <w:szCs w:val="20"/>
        </w:rPr>
        <w:t xml:space="preserve">art. 214 i 387 </w:t>
      </w:r>
      <w:r w:rsidR="00DC04C2">
        <w:rPr>
          <w:rFonts w:ascii="Verdana" w:hAnsi="Verdana"/>
          <w:color w:val="000000"/>
          <w:sz w:val="20"/>
          <w:szCs w:val="20"/>
        </w:rPr>
        <w:t>K</w:t>
      </w:r>
      <w:r>
        <w:rPr>
          <w:rFonts w:ascii="Verdana" w:hAnsi="Verdana"/>
          <w:color w:val="000000"/>
          <w:sz w:val="20"/>
          <w:szCs w:val="20"/>
        </w:rPr>
        <w:t xml:space="preserve">odeksu </w:t>
      </w:r>
      <w:r w:rsidRPr="001D45B5">
        <w:rPr>
          <w:rFonts w:ascii="Verdana" w:hAnsi="Verdana"/>
          <w:sz w:val="20"/>
          <w:szCs w:val="20"/>
        </w:rPr>
        <w:t xml:space="preserve">spółek handlowych, </w:t>
      </w:r>
      <w:r w:rsidR="001409CB">
        <w:rPr>
          <w:rFonts w:ascii="Verdana" w:hAnsi="Verdana"/>
          <w:sz w:val="20"/>
          <w:szCs w:val="20"/>
        </w:rPr>
        <w:t>dot.</w:t>
      </w:r>
      <w:r w:rsidRPr="001D45B5">
        <w:rPr>
          <w:rFonts w:ascii="Verdana" w:hAnsi="Verdana"/>
          <w:sz w:val="20"/>
          <w:szCs w:val="20"/>
        </w:rPr>
        <w:t xml:space="preserve"> zakaz</w:t>
      </w:r>
      <w:r w:rsidR="001409CB">
        <w:rPr>
          <w:rFonts w:ascii="Verdana" w:hAnsi="Verdana"/>
          <w:sz w:val="20"/>
          <w:szCs w:val="20"/>
        </w:rPr>
        <w:t>u</w:t>
      </w:r>
      <w:r w:rsidRPr="001D45B5">
        <w:rPr>
          <w:rFonts w:ascii="Verdana" w:hAnsi="Verdana"/>
          <w:sz w:val="20"/>
          <w:szCs w:val="20"/>
        </w:rPr>
        <w:t xml:space="preserve"> łączenia określonych stanowisk</w:t>
      </w:r>
      <w:r w:rsidR="00DC04C2">
        <w:rPr>
          <w:rFonts w:ascii="Verdana" w:hAnsi="Verdana"/>
          <w:sz w:val="20"/>
          <w:szCs w:val="20"/>
        </w:rPr>
        <w:t xml:space="preserve"> czy</w:t>
      </w:r>
      <w:r w:rsidRPr="001D45B5">
        <w:rPr>
          <w:rFonts w:ascii="Verdana" w:hAnsi="Verdana"/>
          <w:sz w:val="20"/>
          <w:szCs w:val="20"/>
        </w:rPr>
        <w:t xml:space="preserve"> sprawowania funkcji członka zarządu przez osoby skazane prawomocnym wyrokiem sądu za określone przestępstwa oraz przez osoby nie posiadające pełnej zdolności do czynności prawnych;</w:t>
      </w:r>
    </w:p>
    <w:p w:rsidR="001D45B5" w:rsidRPr="001D45B5" w:rsidRDefault="001D45B5" w:rsidP="001D45B5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1D45B5">
        <w:rPr>
          <w:rFonts w:ascii="Verdana" w:hAnsi="Verdana"/>
          <w:sz w:val="20"/>
          <w:szCs w:val="20"/>
        </w:rPr>
        <w:t xml:space="preserve">art. 24f ust. 2 i 4 ustawy </w:t>
      </w:r>
      <w:r w:rsidR="00DC04C2">
        <w:rPr>
          <w:rFonts w:ascii="Verdana" w:hAnsi="Verdana"/>
          <w:sz w:val="20"/>
          <w:szCs w:val="20"/>
        </w:rPr>
        <w:t xml:space="preserve">z dnia 8 marca 1990r. </w:t>
      </w:r>
      <w:r w:rsidRPr="001D45B5">
        <w:rPr>
          <w:rFonts w:ascii="Verdana" w:hAnsi="Verdana"/>
          <w:sz w:val="20"/>
          <w:szCs w:val="20"/>
        </w:rPr>
        <w:t>o samorządzie gminnym</w:t>
      </w:r>
      <w:r w:rsidR="00DC04C2">
        <w:rPr>
          <w:rFonts w:ascii="Verdana" w:hAnsi="Verdana"/>
          <w:sz w:val="20"/>
          <w:szCs w:val="20"/>
        </w:rPr>
        <w:t xml:space="preserve"> (Dz. U. z </w:t>
      </w:r>
      <w:r w:rsidR="00A01DF1">
        <w:rPr>
          <w:rFonts w:ascii="Verdana" w:hAnsi="Verdana"/>
          <w:sz w:val="20"/>
          <w:szCs w:val="20"/>
        </w:rPr>
        <w:t>2024r. poz. 609 ze zm.</w:t>
      </w:r>
      <w:r w:rsidR="00DC04C2">
        <w:rPr>
          <w:rFonts w:ascii="Verdana" w:hAnsi="Verdana"/>
          <w:sz w:val="20"/>
          <w:szCs w:val="20"/>
        </w:rPr>
        <w:t>)</w:t>
      </w:r>
      <w:r w:rsidRPr="001D45B5">
        <w:rPr>
          <w:rFonts w:ascii="Verdana" w:hAnsi="Verdana"/>
          <w:color w:val="000000"/>
          <w:sz w:val="20"/>
          <w:szCs w:val="20"/>
        </w:rPr>
        <w:t xml:space="preserve"> </w:t>
      </w:r>
      <w:r w:rsidR="001409CB">
        <w:rPr>
          <w:rFonts w:ascii="Verdana" w:hAnsi="Verdana"/>
          <w:color w:val="000000"/>
          <w:sz w:val="20"/>
          <w:szCs w:val="20"/>
        </w:rPr>
        <w:t>dot.</w:t>
      </w:r>
      <w:r w:rsidRPr="001D45B5">
        <w:rPr>
          <w:rFonts w:ascii="Verdana" w:hAnsi="Verdana"/>
          <w:color w:val="000000"/>
          <w:sz w:val="20"/>
          <w:szCs w:val="20"/>
        </w:rPr>
        <w:t xml:space="preserve"> zakaz</w:t>
      </w:r>
      <w:r w:rsidR="001409CB">
        <w:rPr>
          <w:rFonts w:ascii="Verdana" w:hAnsi="Verdana"/>
          <w:color w:val="000000"/>
          <w:sz w:val="20"/>
          <w:szCs w:val="20"/>
        </w:rPr>
        <w:t>u</w:t>
      </w:r>
      <w:r w:rsidRPr="001D45B5">
        <w:rPr>
          <w:rFonts w:ascii="Verdana" w:hAnsi="Verdana"/>
          <w:color w:val="000000"/>
          <w:sz w:val="20"/>
          <w:szCs w:val="20"/>
        </w:rPr>
        <w:t xml:space="preserve"> łączenia stanowisk i pełnienia funkcji określonych w ustawie</w:t>
      </w:r>
      <w:r w:rsidRPr="001D45B5">
        <w:rPr>
          <w:rFonts w:ascii="Verdana" w:hAnsi="Verdana"/>
          <w:sz w:val="20"/>
          <w:szCs w:val="20"/>
        </w:rPr>
        <w:t>;</w:t>
      </w:r>
    </w:p>
    <w:p w:rsidR="001D45B5" w:rsidRPr="001D45B5" w:rsidRDefault="001D45B5" w:rsidP="001D45B5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jc w:val="both"/>
        <w:rPr>
          <w:rFonts w:ascii="Verdana" w:hAnsi="Verdana"/>
          <w:color w:val="000000"/>
          <w:sz w:val="20"/>
          <w:szCs w:val="20"/>
        </w:rPr>
      </w:pPr>
      <w:r w:rsidRPr="001D45B5">
        <w:rPr>
          <w:rFonts w:ascii="Verdana" w:hAnsi="Verdana"/>
          <w:color w:val="000000"/>
          <w:sz w:val="20"/>
          <w:szCs w:val="20"/>
        </w:rPr>
        <w:t xml:space="preserve">art. 4 ustawy </w:t>
      </w:r>
      <w:r w:rsidR="00020913">
        <w:rPr>
          <w:rFonts w:ascii="Verdana" w:hAnsi="Verdana"/>
          <w:color w:val="000000"/>
          <w:sz w:val="20"/>
          <w:szCs w:val="20"/>
        </w:rPr>
        <w:t xml:space="preserve">z dnia 21 sierpnia 1997r. </w:t>
      </w:r>
      <w:r w:rsidRPr="001D45B5">
        <w:rPr>
          <w:rFonts w:ascii="Verdana" w:hAnsi="Verdana"/>
          <w:color w:val="000000"/>
          <w:sz w:val="20"/>
          <w:szCs w:val="20"/>
        </w:rPr>
        <w:t>o ograniczeniu prowadzenia działalności</w:t>
      </w:r>
      <w:r w:rsidR="00020913">
        <w:rPr>
          <w:rFonts w:ascii="Verdana" w:hAnsi="Verdana"/>
          <w:color w:val="000000"/>
          <w:sz w:val="20"/>
          <w:szCs w:val="20"/>
        </w:rPr>
        <w:t xml:space="preserve"> gospodarczej przez osoby pełniące funkcje publiczne (Dz. U. </w:t>
      </w:r>
      <w:r w:rsidR="00020913">
        <w:rPr>
          <w:rFonts w:ascii="Verdana" w:hAnsi="Verdana"/>
          <w:color w:val="000000"/>
          <w:sz w:val="20"/>
          <w:szCs w:val="20"/>
        </w:rPr>
        <w:br/>
        <w:t>z 2023r. poz. 1090)</w:t>
      </w:r>
      <w:r w:rsidRPr="001D45B5">
        <w:rPr>
          <w:rFonts w:ascii="Verdana" w:hAnsi="Verdana"/>
          <w:color w:val="000000"/>
          <w:sz w:val="20"/>
          <w:szCs w:val="20"/>
        </w:rPr>
        <w:t xml:space="preserve">, </w:t>
      </w:r>
      <w:r w:rsidR="00631770">
        <w:rPr>
          <w:rFonts w:ascii="Verdana" w:hAnsi="Verdana"/>
          <w:color w:val="000000"/>
          <w:sz w:val="20"/>
          <w:szCs w:val="20"/>
        </w:rPr>
        <w:t>dot</w:t>
      </w:r>
      <w:r w:rsidRPr="001D45B5">
        <w:rPr>
          <w:rFonts w:ascii="Verdana" w:hAnsi="Verdana"/>
          <w:color w:val="000000"/>
          <w:sz w:val="20"/>
          <w:szCs w:val="20"/>
        </w:rPr>
        <w:t>. zakaz</w:t>
      </w:r>
      <w:r w:rsidR="00631770">
        <w:rPr>
          <w:rFonts w:ascii="Verdana" w:hAnsi="Verdana"/>
          <w:color w:val="000000"/>
          <w:sz w:val="20"/>
          <w:szCs w:val="20"/>
        </w:rPr>
        <w:t>u</w:t>
      </w:r>
      <w:r w:rsidRPr="001D45B5">
        <w:rPr>
          <w:rFonts w:ascii="Verdana" w:hAnsi="Verdana"/>
          <w:color w:val="000000"/>
          <w:sz w:val="20"/>
          <w:szCs w:val="20"/>
        </w:rPr>
        <w:t xml:space="preserve"> łączenia stanowisk i pełnienia funkcji określonych w ustawie,</w:t>
      </w:r>
      <w:r w:rsidRPr="001D45B5">
        <w:rPr>
          <w:rFonts w:ascii="Verdana" w:hAnsi="Verdana"/>
          <w:sz w:val="20"/>
          <w:szCs w:val="20"/>
        </w:rPr>
        <w:t xml:space="preserve"> z wyjątkami określonymi w obowiązujących przepisach prawa</w:t>
      </w:r>
      <w:r w:rsidRPr="001D45B5">
        <w:rPr>
          <w:rFonts w:ascii="Verdana" w:hAnsi="Verdana"/>
          <w:color w:val="000000"/>
          <w:sz w:val="20"/>
          <w:szCs w:val="20"/>
        </w:rPr>
        <w:t>;</w:t>
      </w:r>
    </w:p>
    <w:p w:rsidR="001D45B5" w:rsidRPr="001D45B5" w:rsidRDefault="001D45B5" w:rsidP="001D45B5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jc w:val="both"/>
        <w:rPr>
          <w:rFonts w:ascii="Verdana" w:hAnsi="Verdana"/>
          <w:color w:val="000000"/>
          <w:sz w:val="20"/>
          <w:szCs w:val="20"/>
        </w:rPr>
      </w:pPr>
      <w:r w:rsidRPr="001D45B5">
        <w:rPr>
          <w:rFonts w:ascii="Verdana" w:hAnsi="Verdana"/>
          <w:sz w:val="20"/>
          <w:szCs w:val="20"/>
        </w:rPr>
        <w:t>art. 34 ustawy z dnia 9 maja 1996r. o wykonywaniu mandatu posła i senatora (Dz. U. z 20</w:t>
      </w:r>
      <w:r w:rsidR="00020913">
        <w:rPr>
          <w:rFonts w:ascii="Verdana" w:hAnsi="Verdana"/>
          <w:sz w:val="20"/>
          <w:szCs w:val="20"/>
        </w:rPr>
        <w:t>24</w:t>
      </w:r>
      <w:r w:rsidRPr="001D45B5">
        <w:rPr>
          <w:rFonts w:ascii="Verdana" w:hAnsi="Verdana"/>
          <w:sz w:val="20"/>
          <w:szCs w:val="20"/>
        </w:rPr>
        <w:t xml:space="preserve">, poz. </w:t>
      </w:r>
      <w:r w:rsidR="00020913">
        <w:rPr>
          <w:rFonts w:ascii="Verdana" w:hAnsi="Verdana"/>
          <w:sz w:val="20"/>
          <w:szCs w:val="20"/>
        </w:rPr>
        <w:t>907</w:t>
      </w:r>
      <w:r w:rsidRPr="001D45B5">
        <w:rPr>
          <w:rFonts w:ascii="Verdana" w:hAnsi="Verdana"/>
          <w:sz w:val="20"/>
          <w:szCs w:val="20"/>
        </w:rPr>
        <w:t>), przewidując</w:t>
      </w:r>
      <w:r w:rsidR="00631770">
        <w:rPr>
          <w:rFonts w:ascii="Verdana" w:hAnsi="Verdana"/>
          <w:sz w:val="20"/>
          <w:szCs w:val="20"/>
        </w:rPr>
        <w:t>y</w:t>
      </w:r>
      <w:r w:rsidRPr="001D45B5">
        <w:rPr>
          <w:rFonts w:ascii="Verdana" w:hAnsi="Verdana"/>
          <w:sz w:val="20"/>
          <w:szCs w:val="20"/>
        </w:rPr>
        <w:t xml:space="preserve"> zakaz łączenia stanowisk i pełnienia funkcji określonych w ustawie;</w:t>
      </w:r>
    </w:p>
    <w:p w:rsidR="001D45B5" w:rsidRPr="001D45B5" w:rsidRDefault="001D45B5" w:rsidP="001D45B5">
      <w:pPr>
        <w:pStyle w:val="Akapitzlist"/>
        <w:numPr>
          <w:ilvl w:val="0"/>
          <w:numId w:val="28"/>
        </w:numPr>
        <w:shd w:val="clear" w:color="auto" w:fill="FFFFFF"/>
        <w:tabs>
          <w:tab w:val="left" w:pos="709"/>
        </w:tabs>
        <w:jc w:val="both"/>
        <w:rPr>
          <w:rFonts w:ascii="Verdana" w:hAnsi="Verdana"/>
          <w:sz w:val="20"/>
          <w:szCs w:val="20"/>
        </w:rPr>
      </w:pPr>
      <w:r w:rsidRPr="001D45B5">
        <w:rPr>
          <w:rFonts w:ascii="Verdana" w:hAnsi="Verdana"/>
          <w:color w:val="000000"/>
          <w:sz w:val="20"/>
          <w:szCs w:val="20"/>
        </w:rPr>
        <w:t xml:space="preserve">art. 7 ustawy z dnia 18 października 2006 r. o ujawnianiu informacji </w:t>
      </w:r>
      <w:r w:rsidRPr="001D45B5">
        <w:rPr>
          <w:rFonts w:ascii="Verdana" w:hAnsi="Verdana"/>
          <w:color w:val="000000"/>
          <w:sz w:val="20"/>
          <w:szCs w:val="20"/>
        </w:rPr>
        <w:br/>
        <w:t>o dokumentach organów bezpieczeństwa państwa z lat 1944 - 1990 oraz treści tych dokumentów (Dz. U. z 202</w:t>
      </w:r>
      <w:r w:rsidR="00020913">
        <w:rPr>
          <w:rFonts w:ascii="Verdana" w:hAnsi="Verdana"/>
          <w:color w:val="000000"/>
          <w:sz w:val="20"/>
          <w:szCs w:val="20"/>
        </w:rPr>
        <w:t>4</w:t>
      </w:r>
      <w:r w:rsidRPr="001D45B5">
        <w:rPr>
          <w:rFonts w:ascii="Verdana" w:hAnsi="Verdana"/>
          <w:color w:val="000000"/>
          <w:sz w:val="20"/>
          <w:szCs w:val="20"/>
        </w:rPr>
        <w:t xml:space="preserve"> r., poz. 2</w:t>
      </w:r>
      <w:r w:rsidR="00020913">
        <w:rPr>
          <w:rFonts w:ascii="Verdana" w:hAnsi="Verdana"/>
          <w:color w:val="000000"/>
          <w:sz w:val="20"/>
          <w:szCs w:val="20"/>
        </w:rPr>
        <w:t>73 ze zm.</w:t>
      </w:r>
      <w:r w:rsidRPr="001D45B5">
        <w:rPr>
          <w:rFonts w:ascii="Verdana" w:hAnsi="Verdana"/>
          <w:color w:val="000000"/>
          <w:sz w:val="20"/>
          <w:szCs w:val="20"/>
        </w:rPr>
        <w:t>), przewidując</w:t>
      </w:r>
      <w:r w:rsidR="00631770">
        <w:rPr>
          <w:rFonts w:ascii="Verdana" w:hAnsi="Verdana"/>
          <w:color w:val="000000"/>
          <w:sz w:val="20"/>
          <w:szCs w:val="20"/>
        </w:rPr>
        <w:t>y</w:t>
      </w:r>
      <w:r w:rsidRPr="001D45B5">
        <w:rPr>
          <w:rFonts w:ascii="Verdana" w:hAnsi="Verdana"/>
          <w:color w:val="000000"/>
          <w:sz w:val="20"/>
          <w:szCs w:val="20"/>
        </w:rPr>
        <w:t xml:space="preserve"> obowiązek złożenia oświadczenia lustracyjnego lub informacji o złożeniu takiego oświadczenia przez osoby urodzone przed dniem 1 sierpnia 1972 r.</w:t>
      </w:r>
    </w:p>
    <w:p w:rsidR="00430A96" w:rsidRPr="00F8172C" w:rsidRDefault="00020913" w:rsidP="00C2127D">
      <w:pPr>
        <w:pStyle w:val="11Trescpisma"/>
      </w:pPr>
      <w:r>
        <w:rPr>
          <w:color w:val="333333"/>
          <w:shd w:val="clear" w:color="auto" w:fill="FFFFFF"/>
        </w:rPr>
        <w:t xml:space="preserve">Tym samym, odnosząc się do transparentności i wiarygodności procesu </w:t>
      </w:r>
      <w:r w:rsidR="00DE51FD">
        <w:rPr>
          <w:color w:val="333333"/>
          <w:shd w:val="clear" w:color="auto" w:fill="FFFFFF"/>
        </w:rPr>
        <w:t>kształtowania składu</w:t>
      </w:r>
      <w:r>
        <w:rPr>
          <w:color w:val="333333"/>
          <w:shd w:val="clear" w:color="auto" w:fill="FFFFFF"/>
        </w:rPr>
        <w:t xml:space="preserve"> zarządu spółki z udziałem </w:t>
      </w:r>
      <w:r w:rsidR="005D6CFB">
        <w:rPr>
          <w:color w:val="333333"/>
          <w:shd w:val="clear" w:color="auto" w:fill="FFFFFF"/>
        </w:rPr>
        <w:t>jednostki samorządu terytorialnego</w:t>
      </w:r>
      <w:r>
        <w:rPr>
          <w:color w:val="333333"/>
          <w:shd w:val="clear" w:color="auto" w:fill="FFFFFF"/>
        </w:rPr>
        <w:t>, n</w:t>
      </w:r>
      <w:r w:rsidR="00430A96" w:rsidRPr="00F8172C">
        <w:rPr>
          <w:color w:val="333333"/>
          <w:shd w:val="clear" w:color="auto" w:fill="FFFFFF"/>
        </w:rPr>
        <w:t xml:space="preserve">ależy podkreślić, że </w:t>
      </w:r>
      <w:r>
        <w:rPr>
          <w:color w:val="333333"/>
          <w:shd w:val="clear" w:color="auto" w:fill="FFFFFF"/>
        </w:rPr>
        <w:t xml:space="preserve">nie jest możliwe powołanie na stanowisko członka zarządu osoby, która nie spełniałaby ww. wymagań </w:t>
      </w:r>
      <w:r w:rsidR="00430A96" w:rsidRPr="00F8172C">
        <w:rPr>
          <w:color w:val="333333"/>
          <w:shd w:val="clear" w:color="auto" w:fill="FFFFFF"/>
        </w:rPr>
        <w:t xml:space="preserve">w momencie </w:t>
      </w:r>
      <w:r w:rsidR="00DE51FD">
        <w:rPr>
          <w:color w:val="333333"/>
          <w:shd w:val="clear" w:color="auto" w:fill="FFFFFF"/>
        </w:rPr>
        <w:t xml:space="preserve">takiego </w:t>
      </w:r>
      <w:r w:rsidR="00430A96" w:rsidRPr="00F8172C">
        <w:rPr>
          <w:color w:val="333333"/>
          <w:shd w:val="clear" w:color="auto" w:fill="FFFFFF"/>
        </w:rPr>
        <w:t>powołania</w:t>
      </w:r>
      <w:r w:rsidR="00E23FA9">
        <w:rPr>
          <w:color w:val="333333"/>
          <w:shd w:val="clear" w:color="auto" w:fill="FFFFFF"/>
        </w:rPr>
        <w:t xml:space="preserve"> zaś rada nadzorcza jest jedynym organem, który z mocy obowiązujących przepisów prawa jest uprawniony do powoływania członków </w:t>
      </w:r>
      <w:r w:rsidR="00A15BBD">
        <w:rPr>
          <w:color w:val="333333"/>
          <w:shd w:val="clear" w:color="auto" w:fill="FFFFFF"/>
        </w:rPr>
        <w:t>organu zarządzającego</w:t>
      </w:r>
      <w:r w:rsidR="00430A96" w:rsidRPr="00F8172C">
        <w:rPr>
          <w:color w:val="333333"/>
          <w:shd w:val="clear" w:color="auto" w:fill="FFFFFF"/>
        </w:rPr>
        <w:t>.</w:t>
      </w:r>
    </w:p>
    <w:p w:rsidR="002F292D" w:rsidRPr="003B4793" w:rsidRDefault="002F292D" w:rsidP="00C2127D">
      <w:pPr>
        <w:pStyle w:val="11Trescpisma"/>
      </w:pPr>
    </w:p>
    <w:p w:rsidR="00A816F2" w:rsidRDefault="00A816F2">
      <w:pPr>
        <w:pStyle w:val="12Zwyrazamiszacunku"/>
        <w:outlineLvl w:val="0"/>
      </w:pPr>
      <w:r>
        <w:t xml:space="preserve">Z </w:t>
      </w:r>
      <w:r w:rsidR="005A3893">
        <w:t>wyrazami szacunku</w:t>
      </w:r>
      <w:r w:rsidR="00D23966">
        <w:t>,</w:t>
      </w:r>
    </w:p>
    <w:p w:rsidR="00180DF6" w:rsidRDefault="0037350D">
      <w:pPr>
        <w:pStyle w:val="13Podpisujacypismo"/>
        <w:outlineLvl w:val="0"/>
      </w:pPr>
      <w:r>
        <w:t xml:space="preserve">Dyrektor Biura </w:t>
      </w:r>
    </w:p>
    <w:p w:rsidR="0037350D" w:rsidRPr="0037350D" w:rsidRDefault="0037350D" w:rsidP="0037350D">
      <w:pPr>
        <w:pStyle w:val="14StanowiskoPodpisujacego"/>
      </w:pPr>
      <w:bookmarkStart w:id="2" w:name="_GoBack"/>
      <w:bookmarkEnd w:id="2"/>
    </w:p>
    <w:p w:rsidR="0037350D" w:rsidRPr="0037350D" w:rsidRDefault="0037350D" w:rsidP="0037350D">
      <w:pPr>
        <w:pStyle w:val="14StanowiskoPodpisujacego"/>
        <w:rPr>
          <w:sz w:val="20"/>
          <w:szCs w:val="20"/>
        </w:rPr>
      </w:pPr>
      <w:r w:rsidRPr="0037350D">
        <w:rPr>
          <w:sz w:val="20"/>
          <w:szCs w:val="20"/>
        </w:rPr>
        <w:t xml:space="preserve">Adrian Zawisza </w:t>
      </w:r>
    </w:p>
    <w:p w:rsidR="00180DF6" w:rsidRDefault="00180DF6" w:rsidP="00180DF6"/>
    <w:sectPr w:rsidR="00180DF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583" w:rsidRDefault="00D05583">
      <w:r>
        <w:separator/>
      </w:r>
    </w:p>
  </w:endnote>
  <w:endnote w:type="continuationSeparator" w:id="0">
    <w:p w:rsidR="00D05583" w:rsidRDefault="00D0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F41" w:rsidRDefault="00D00F41" w:rsidP="00F261E5">
    <w:pPr>
      <w:pStyle w:val="Stopka"/>
    </w:pPr>
  </w:p>
  <w:p w:rsidR="00190D4E" w:rsidRDefault="00905E00" w:rsidP="00F261E5">
    <w:pPr>
      <w:pStyle w:val="Stopka"/>
    </w:pPr>
    <w:r>
      <w:rPr>
        <w:noProof/>
      </w:rPr>
      <w:drawing>
        <wp:inline distT="0" distB="0" distL="0" distR="0">
          <wp:extent cx="1240790" cy="748030"/>
          <wp:effectExtent l="0" t="0" r="0" b="0"/>
          <wp:docPr id="2" name="Obraz 2" descr="BNW_[DPR]_[BNW-Biuro Nadzoru Wlascicielski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NW_[DPR]_[BNW-Biuro Nadzoru Wlascicielskiego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583" w:rsidRDefault="00D05583">
      <w:r>
        <w:separator/>
      </w:r>
    </w:p>
  </w:footnote>
  <w:footnote w:type="continuationSeparator" w:id="0">
    <w:p w:rsidR="00D05583" w:rsidRDefault="00D0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3735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905E00" w:rsidP="00A27F20">
    <w:pPr>
      <w:pStyle w:val="Stopka"/>
    </w:pPr>
    <w:r>
      <w:rPr>
        <w:noProof/>
      </w:rPr>
      <w:drawing>
        <wp:inline distT="0" distB="0" distL="0" distR="0">
          <wp:extent cx="2363470" cy="1626870"/>
          <wp:effectExtent l="0" t="0" r="0" b="0"/>
          <wp:docPr id="1" name="Obraz 1" descr="BNW_[DPR]_[BNW-Biuro Nadzoru Wlascicielski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NW_[DPR]_[BNW-Biuro Nadzoru Wlascicielskiego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9CC3B4C"/>
    <w:multiLevelType w:val="hybridMultilevel"/>
    <w:tmpl w:val="3DBA9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83"/>
    <w:rsid w:val="00020913"/>
    <w:rsid w:val="00097AEF"/>
    <w:rsid w:val="000C744E"/>
    <w:rsid w:val="00137399"/>
    <w:rsid w:val="001409CB"/>
    <w:rsid w:val="00143A44"/>
    <w:rsid w:val="00180DF6"/>
    <w:rsid w:val="00190D4E"/>
    <w:rsid w:val="001D45B5"/>
    <w:rsid w:val="002018DC"/>
    <w:rsid w:val="00256655"/>
    <w:rsid w:val="002970A6"/>
    <w:rsid w:val="002B6140"/>
    <w:rsid w:val="002B7EEC"/>
    <w:rsid w:val="002F292D"/>
    <w:rsid w:val="00323052"/>
    <w:rsid w:val="003232E2"/>
    <w:rsid w:val="00345256"/>
    <w:rsid w:val="00356343"/>
    <w:rsid w:val="003669D0"/>
    <w:rsid w:val="0037350D"/>
    <w:rsid w:val="003B4793"/>
    <w:rsid w:val="003F20D6"/>
    <w:rsid w:val="00410A92"/>
    <w:rsid w:val="00430A96"/>
    <w:rsid w:val="004508B6"/>
    <w:rsid w:val="004A21ED"/>
    <w:rsid w:val="004D6885"/>
    <w:rsid w:val="004E5C8D"/>
    <w:rsid w:val="005766B1"/>
    <w:rsid w:val="005A3893"/>
    <w:rsid w:val="005C5E14"/>
    <w:rsid w:val="005D18D1"/>
    <w:rsid w:val="005D6CFB"/>
    <w:rsid w:val="005E0DBA"/>
    <w:rsid w:val="00631770"/>
    <w:rsid w:val="006355C1"/>
    <w:rsid w:val="00701FA2"/>
    <w:rsid w:val="007878BA"/>
    <w:rsid w:val="00795551"/>
    <w:rsid w:val="007F1692"/>
    <w:rsid w:val="007F1B42"/>
    <w:rsid w:val="0088160D"/>
    <w:rsid w:val="008F7D65"/>
    <w:rsid w:val="00905E00"/>
    <w:rsid w:val="00916B2A"/>
    <w:rsid w:val="009765D0"/>
    <w:rsid w:val="00984F47"/>
    <w:rsid w:val="00A005FB"/>
    <w:rsid w:val="00A01DF1"/>
    <w:rsid w:val="00A15BBD"/>
    <w:rsid w:val="00A27F20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327CD"/>
    <w:rsid w:val="00C53C41"/>
    <w:rsid w:val="00CC1016"/>
    <w:rsid w:val="00CD26BE"/>
    <w:rsid w:val="00CD4AC9"/>
    <w:rsid w:val="00CF2E50"/>
    <w:rsid w:val="00D00F41"/>
    <w:rsid w:val="00D05152"/>
    <w:rsid w:val="00D05583"/>
    <w:rsid w:val="00D23966"/>
    <w:rsid w:val="00D33992"/>
    <w:rsid w:val="00D41074"/>
    <w:rsid w:val="00D627A1"/>
    <w:rsid w:val="00D72148"/>
    <w:rsid w:val="00D81AFC"/>
    <w:rsid w:val="00D81E5D"/>
    <w:rsid w:val="00D8547D"/>
    <w:rsid w:val="00DC04C2"/>
    <w:rsid w:val="00DC191D"/>
    <w:rsid w:val="00DE51FD"/>
    <w:rsid w:val="00DF328D"/>
    <w:rsid w:val="00E23FA9"/>
    <w:rsid w:val="00E25E6A"/>
    <w:rsid w:val="00E35A19"/>
    <w:rsid w:val="00E52576"/>
    <w:rsid w:val="00ED309E"/>
    <w:rsid w:val="00ED3E79"/>
    <w:rsid w:val="00F23502"/>
    <w:rsid w:val="00F261E5"/>
    <w:rsid w:val="00F40755"/>
    <w:rsid w:val="00F426EA"/>
    <w:rsid w:val="00F8165E"/>
    <w:rsid w:val="00F8172C"/>
    <w:rsid w:val="00F81C87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9F81D8"/>
  <w15:chartTrackingRefBased/>
  <w15:docId w15:val="{B71009DE-5323-42E1-B569-4E30D764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D00F4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readonlytext">
    <w:name w:val="readonly_text"/>
    <w:rsid w:val="00905E00"/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905E0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309E"/>
    <w:rPr>
      <w:color w:val="0000FF"/>
      <w:u w:val="single"/>
    </w:rPr>
  </w:style>
  <w:style w:type="paragraph" w:styleId="Akapitzlist">
    <w:name w:val="List Paragraph"/>
    <w:basedOn w:val="Normalny"/>
    <w:qFormat/>
    <w:rsid w:val="001D4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mawo07\Documents\Pisma%20WLW\PISMA\szablony%20WLW\BNW_%5bDPR%5d_%5bBNW-Biuro%20Nadzoru%20Wlascicielski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BNW_[DPR]_[BNW-Biuro Nadzoru Wlascicielskiego]</Template>
  <TotalTime>202</TotalTime>
  <Pages>2</Pages>
  <Words>575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Wojtyła-Lankamer Magdalena</dc:creator>
  <cp:keywords/>
  <dc:description/>
  <cp:lastModifiedBy>Wojtyła-Lankamer Magdalena</cp:lastModifiedBy>
  <cp:revision>20</cp:revision>
  <cp:lastPrinted>2024-09-13T08:14:00Z</cp:lastPrinted>
  <dcterms:created xsi:type="dcterms:W3CDTF">2024-09-12T12:04:00Z</dcterms:created>
  <dcterms:modified xsi:type="dcterms:W3CDTF">2024-10-18T10:41:00Z</dcterms:modified>
</cp:coreProperties>
</file>