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12" w:rsidRDefault="00941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291712">
        <w:rPr>
          <w:rFonts w:ascii="Times New Roman" w:hAnsi="Times New Roman" w:cs="Times New Roman"/>
          <w:b/>
          <w:bCs/>
        </w:rPr>
        <w:t>Uzasadnienie</w:t>
      </w:r>
    </w:p>
    <w:p w:rsidR="00291712" w:rsidRDefault="00291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4F66" w:rsidRDefault="00E91FB6" w:rsidP="00C700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164889">
        <w:rPr>
          <w:rFonts w:ascii="Times New Roman" w:hAnsi="Times New Roman" w:cs="Times New Roman"/>
          <w:color w:val="000000" w:themeColor="text1"/>
        </w:rPr>
        <w:t>Światowa Organizacja Zdrowia (WHO)</w:t>
      </w:r>
      <w:r w:rsidR="007A3E3E" w:rsidRPr="00164889">
        <w:rPr>
          <w:rFonts w:ascii="Times New Roman" w:hAnsi="Times New Roman" w:cs="Times New Roman"/>
          <w:color w:val="000000" w:themeColor="text1"/>
        </w:rPr>
        <w:t xml:space="preserve"> uznaje, że najbardziej skutecznym sposobem zmniejszenia spożycia alkoholu w populacji jest ograniczenie jego dostępności, a napoje alkoholowe, choć dopuszczone do legalnego obrotu w wielu krajach, nie mogą więc podlegać prawom wolnego rynku i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7A3E3E" w:rsidRPr="00164889">
        <w:rPr>
          <w:rFonts w:ascii="Times New Roman" w:hAnsi="Times New Roman" w:cs="Times New Roman"/>
          <w:color w:val="000000" w:themeColor="text1"/>
        </w:rPr>
        <w:t xml:space="preserve">być dostępne bez ograniczeń. </w:t>
      </w:r>
      <w:r w:rsidR="00373747" w:rsidRPr="00373747">
        <w:rPr>
          <w:rFonts w:ascii="Times New Roman" w:hAnsi="Times New Roman" w:cs="Times New Roman"/>
          <w:color w:val="000000" w:themeColor="text1"/>
        </w:rPr>
        <w:t>Europejski Urz</w:t>
      </w:r>
      <w:r w:rsidR="00373747">
        <w:rPr>
          <w:rFonts w:ascii="Times New Roman" w:hAnsi="Times New Roman" w:cs="Times New Roman"/>
          <w:color w:val="000000" w:themeColor="text1"/>
        </w:rPr>
        <w:t>ą</w:t>
      </w:r>
      <w:r w:rsidR="00373747" w:rsidRPr="00373747">
        <w:rPr>
          <w:rFonts w:ascii="Times New Roman" w:hAnsi="Times New Roman" w:cs="Times New Roman"/>
          <w:color w:val="000000" w:themeColor="text1"/>
        </w:rPr>
        <w:t>d Statystyczn</w:t>
      </w:r>
      <w:r w:rsidR="00373747">
        <w:rPr>
          <w:rFonts w:ascii="Times New Roman" w:hAnsi="Times New Roman" w:cs="Times New Roman"/>
          <w:color w:val="000000" w:themeColor="text1"/>
        </w:rPr>
        <w:t>y</w:t>
      </w:r>
      <w:r w:rsidR="00373747" w:rsidRPr="00373747">
        <w:rPr>
          <w:rFonts w:ascii="Times New Roman" w:hAnsi="Times New Roman" w:cs="Times New Roman"/>
          <w:color w:val="000000" w:themeColor="text1"/>
        </w:rPr>
        <w:t xml:space="preserve"> </w:t>
      </w:r>
      <w:r w:rsidR="00373747">
        <w:rPr>
          <w:rFonts w:ascii="Times New Roman" w:hAnsi="Times New Roman" w:cs="Times New Roman"/>
          <w:color w:val="000000" w:themeColor="text1"/>
        </w:rPr>
        <w:t>(</w:t>
      </w:r>
      <w:r w:rsidR="00B532A9" w:rsidRPr="00373747">
        <w:rPr>
          <w:rFonts w:ascii="Times New Roman" w:hAnsi="Times New Roman" w:cs="Times New Roman"/>
          <w:color w:val="000000" w:themeColor="text1"/>
        </w:rPr>
        <w:t>EUROSTAT</w:t>
      </w:r>
      <w:r w:rsidR="00373747">
        <w:rPr>
          <w:rFonts w:ascii="Times New Roman" w:hAnsi="Times New Roman" w:cs="Times New Roman"/>
          <w:color w:val="000000" w:themeColor="text1"/>
        </w:rPr>
        <w:t>) podaje, że</w:t>
      </w:r>
      <w:r w:rsidR="00E64F66">
        <w:rPr>
          <w:rFonts w:ascii="Times New Roman" w:hAnsi="Times New Roman" w:cs="Times New Roman"/>
          <w:color w:val="000000" w:themeColor="text1"/>
        </w:rPr>
        <w:t xml:space="preserve"> w 2020 r.</w:t>
      </w:r>
      <w:r w:rsidR="00373747">
        <w:rPr>
          <w:rFonts w:ascii="Times New Roman" w:hAnsi="Times New Roman" w:cs="Times New Roman"/>
          <w:color w:val="000000" w:themeColor="text1"/>
        </w:rPr>
        <w:t xml:space="preserve"> </w:t>
      </w:r>
      <w:r w:rsidR="00B532A9" w:rsidRPr="00373747">
        <w:rPr>
          <w:rFonts w:ascii="Times New Roman" w:hAnsi="Times New Roman" w:cs="Times New Roman"/>
          <w:color w:val="000000" w:themeColor="text1"/>
        </w:rPr>
        <w:t>standaryzowany</w:t>
      </w:r>
      <w:r w:rsidR="00B532A9">
        <w:rPr>
          <w:rFonts w:ascii="Tms Rmn" w:eastAsia="Times New Roman" w:hAnsi="Tms Rmn" w:cs="Tms Rmn"/>
          <w:color w:val="000000"/>
        </w:rPr>
        <w:t xml:space="preserve"> współczynnik umieralności w U</w:t>
      </w:r>
      <w:r w:rsidR="00E64F66">
        <w:rPr>
          <w:rFonts w:ascii="Tms Rmn" w:eastAsia="Times New Roman" w:hAnsi="Tms Rmn" w:cs="Tms Rmn"/>
          <w:color w:val="000000"/>
        </w:rPr>
        <w:t xml:space="preserve">nii </w:t>
      </w:r>
      <w:r w:rsidR="00B532A9">
        <w:rPr>
          <w:rFonts w:ascii="Tms Rmn" w:eastAsia="Times New Roman" w:hAnsi="Tms Rmn" w:cs="Tms Rmn"/>
          <w:color w:val="000000"/>
        </w:rPr>
        <w:t>E</w:t>
      </w:r>
      <w:r w:rsidR="00E64F66">
        <w:rPr>
          <w:rFonts w:ascii="Tms Rmn" w:eastAsia="Times New Roman" w:hAnsi="Tms Rmn" w:cs="Tms Rmn"/>
          <w:color w:val="000000"/>
        </w:rPr>
        <w:t>uropejskiej</w:t>
      </w:r>
      <w:r w:rsidR="00B532A9">
        <w:rPr>
          <w:rFonts w:ascii="Tms Rmn" w:eastAsia="Times New Roman" w:hAnsi="Tms Rmn" w:cs="Tms Rmn"/>
          <w:color w:val="000000"/>
        </w:rPr>
        <w:t xml:space="preserve"> </w:t>
      </w:r>
      <w:r w:rsidR="00373747" w:rsidRPr="00373747">
        <w:rPr>
          <w:rFonts w:ascii="Times New Roman" w:hAnsi="Times New Roman" w:cs="Times New Roman"/>
          <w:color w:val="000000" w:themeColor="text1"/>
        </w:rPr>
        <w:t>z powodu zaburzeń związanych z używaniem alkoholu</w:t>
      </w:r>
      <w:r w:rsidR="00373747">
        <w:rPr>
          <w:rFonts w:ascii="Tms Rmn" w:eastAsia="Times New Roman" w:hAnsi="Tms Rmn" w:cs="Tms Rmn"/>
          <w:color w:val="000000"/>
        </w:rPr>
        <w:t xml:space="preserve"> </w:t>
      </w:r>
      <w:r w:rsidR="00B532A9">
        <w:rPr>
          <w:rFonts w:ascii="Tms Rmn" w:eastAsia="Times New Roman" w:hAnsi="Tms Rmn" w:cs="Tms Rmn"/>
          <w:color w:val="000000"/>
        </w:rPr>
        <w:t>wynosił 3,6 zgonów na 100 000 osób, w porównaniu z 3,2 zgonami w 2011 r. Wskaźnik ten był szczególnie wysoki w niektórych państwach U</w:t>
      </w:r>
      <w:r w:rsidR="00E64F66">
        <w:rPr>
          <w:rFonts w:ascii="Tms Rmn" w:eastAsia="Times New Roman" w:hAnsi="Tms Rmn" w:cs="Tms Rmn"/>
          <w:color w:val="000000"/>
        </w:rPr>
        <w:t>nii</w:t>
      </w:r>
      <w:r w:rsidR="00B532A9">
        <w:rPr>
          <w:rFonts w:ascii="Tms Rmn" w:eastAsia="Times New Roman" w:hAnsi="Tms Rmn" w:cs="Tms Rmn"/>
          <w:color w:val="000000"/>
        </w:rPr>
        <w:t>: Słowenii (17,3 zgonów na</w:t>
      </w:r>
      <w:r w:rsidR="00C700F3">
        <w:rPr>
          <w:rFonts w:ascii="Tms Rmn" w:eastAsia="Times New Roman" w:hAnsi="Tms Rmn" w:cs="Tms Rmn"/>
          <w:color w:val="000000"/>
        </w:rPr>
        <w:t> </w:t>
      </w:r>
      <w:r w:rsidR="00B532A9">
        <w:rPr>
          <w:rFonts w:ascii="Tms Rmn" w:eastAsia="Times New Roman" w:hAnsi="Tms Rmn" w:cs="Tms Rmn"/>
          <w:color w:val="000000"/>
        </w:rPr>
        <w:t>100</w:t>
      </w:r>
      <w:r w:rsidR="00C700F3">
        <w:rPr>
          <w:rFonts w:ascii="Tms Rmn" w:eastAsia="Times New Roman" w:hAnsi="Tms Rmn" w:cs="Tms Rmn"/>
          <w:color w:val="000000"/>
        </w:rPr>
        <w:t> </w:t>
      </w:r>
      <w:r w:rsidR="00B532A9">
        <w:rPr>
          <w:rFonts w:ascii="Tms Rmn" w:eastAsia="Times New Roman" w:hAnsi="Tms Rmn" w:cs="Tms Rmn"/>
          <w:color w:val="000000"/>
        </w:rPr>
        <w:t xml:space="preserve">000 mieszkańców), </w:t>
      </w:r>
      <w:r w:rsidR="00B532A9" w:rsidRPr="00E64F66">
        <w:rPr>
          <w:rFonts w:ascii="Tms Rmn" w:eastAsia="Times New Roman" w:hAnsi="Tms Rmn" w:cs="Tms Rmn"/>
          <w:bCs/>
          <w:color w:val="000000"/>
        </w:rPr>
        <w:t>Polsce (10,1)</w:t>
      </w:r>
      <w:r w:rsidR="00B532A9" w:rsidRPr="00E64F66">
        <w:rPr>
          <w:rFonts w:ascii="Tms Rmn" w:eastAsia="Times New Roman" w:hAnsi="Tms Rmn" w:cs="Tms Rmn"/>
          <w:color w:val="000000"/>
        </w:rPr>
        <w:t>,</w:t>
      </w:r>
      <w:r w:rsidR="00B532A9">
        <w:rPr>
          <w:rFonts w:ascii="Tms Rmn" w:eastAsia="Times New Roman" w:hAnsi="Tms Rmn" w:cs="Tms Rmn"/>
          <w:color w:val="000000"/>
        </w:rPr>
        <w:t xml:space="preserve"> Danii (7,3), Chorwacji (6,5), Austrii i na Łotwie (po 6,2). Na</w:t>
      </w:r>
      <w:r w:rsidR="00C700F3">
        <w:rPr>
          <w:rFonts w:ascii="Tms Rmn" w:eastAsia="Times New Roman" w:hAnsi="Tms Rmn" w:cs="Tms Rmn"/>
          <w:color w:val="000000"/>
        </w:rPr>
        <w:t> </w:t>
      </w:r>
      <w:r w:rsidR="00B532A9">
        <w:rPr>
          <w:rFonts w:ascii="Tms Rmn" w:eastAsia="Times New Roman" w:hAnsi="Tms Rmn" w:cs="Tms Rmn"/>
          <w:color w:val="000000"/>
        </w:rPr>
        <w:t>drugim końcu skali wskaźnik był najniższy w Grecji, Włoszech, na Malcie, Hiszpanii i na Cyprze</w:t>
      </w:r>
      <w:r w:rsidR="00E64F66">
        <w:rPr>
          <w:rFonts w:ascii="Tms Rmn" w:eastAsia="Times New Roman" w:hAnsi="Tms Rmn" w:cs="Tms Rmn"/>
          <w:color w:val="000000"/>
        </w:rPr>
        <w:t>. Złe wyniki Polski mają miejsce nawet pomimo tego, że j</w:t>
      </w:r>
      <w:r w:rsidR="004B7EC1" w:rsidRPr="00164889">
        <w:rPr>
          <w:rFonts w:ascii="Times New Roman" w:hAnsi="Times New Roman"/>
          <w:color w:val="000000" w:themeColor="text1"/>
        </w:rPr>
        <w:t>ako jedno z nielicznych w</w:t>
      </w:r>
      <w:r w:rsidR="00E64F66">
        <w:rPr>
          <w:rFonts w:ascii="Times New Roman" w:hAnsi="Times New Roman"/>
          <w:color w:val="000000" w:themeColor="text1"/>
        </w:rPr>
        <w:t> </w:t>
      </w:r>
      <w:r w:rsidR="004B7EC1" w:rsidRPr="00164889">
        <w:rPr>
          <w:rFonts w:ascii="Times New Roman" w:hAnsi="Times New Roman"/>
          <w:color w:val="000000" w:themeColor="text1"/>
        </w:rPr>
        <w:t xml:space="preserve">Europie państw możemy poszczycić się </w:t>
      </w:r>
      <w:r w:rsidR="00C700F3">
        <w:rPr>
          <w:rFonts w:ascii="Times New Roman" w:hAnsi="Times New Roman"/>
          <w:color w:val="000000" w:themeColor="text1"/>
        </w:rPr>
        <w:t xml:space="preserve">ustawowym </w:t>
      </w:r>
      <w:r w:rsidR="004B7EC1" w:rsidRPr="00164889">
        <w:rPr>
          <w:rFonts w:ascii="Times New Roman" w:hAnsi="Times New Roman"/>
          <w:color w:val="000000" w:themeColor="text1"/>
        </w:rPr>
        <w:t>uregulowaniem większości kwestii związanych ze</w:t>
      </w:r>
      <w:r w:rsidR="00E64F66">
        <w:rPr>
          <w:rFonts w:ascii="Times New Roman" w:hAnsi="Times New Roman"/>
          <w:color w:val="000000" w:themeColor="text1"/>
        </w:rPr>
        <w:t> </w:t>
      </w:r>
      <w:r w:rsidR="004B7EC1" w:rsidRPr="00164889">
        <w:rPr>
          <w:rFonts w:ascii="Times New Roman" w:hAnsi="Times New Roman"/>
          <w:color w:val="000000" w:themeColor="text1"/>
        </w:rPr>
        <w:t>sprzedażą i</w:t>
      </w:r>
      <w:r w:rsidR="00C700F3">
        <w:rPr>
          <w:rFonts w:ascii="Times New Roman" w:hAnsi="Times New Roman"/>
          <w:color w:val="000000" w:themeColor="text1"/>
        </w:rPr>
        <w:t> </w:t>
      </w:r>
      <w:r w:rsidR="004B7EC1" w:rsidRPr="00164889">
        <w:rPr>
          <w:rFonts w:ascii="Times New Roman" w:hAnsi="Times New Roman"/>
          <w:color w:val="000000" w:themeColor="text1"/>
        </w:rPr>
        <w:t>spożyciem napojów alkoholowych oraz rozwiązywania problemów z</w:t>
      </w:r>
      <w:r w:rsidR="00D27510" w:rsidRPr="00164889">
        <w:rPr>
          <w:rFonts w:ascii="Times New Roman" w:hAnsi="Times New Roman"/>
          <w:color w:val="000000" w:themeColor="text1"/>
        </w:rPr>
        <w:t> </w:t>
      </w:r>
      <w:r w:rsidR="004B7EC1" w:rsidRPr="00164889">
        <w:rPr>
          <w:rFonts w:ascii="Times New Roman" w:hAnsi="Times New Roman"/>
          <w:color w:val="000000" w:themeColor="text1"/>
        </w:rPr>
        <w:t>tym</w:t>
      </w:r>
      <w:r w:rsidR="00D27510" w:rsidRPr="00164889">
        <w:rPr>
          <w:rFonts w:ascii="Times New Roman" w:hAnsi="Times New Roman"/>
          <w:color w:val="000000" w:themeColor="text1"/>
        </w:rPr>
        <w:t> </w:t>
      </w:r>
      <w:r w:rsidR="004B7EC1" w:rsidRPr="00164889">
        <w:rPr>
          <w:rFonts w:ascii="Times New Roman" w:hAnsi="Times New Roman"/>
          <w:color w:val="000000" w:themeColor="text1"/>
        </w:rPr>
        <w:t xml:space="preserve">spożyciem związanych. </w:t>
      </w:r>
    </w:p>
    <w:p w:rsidR="007C2E4C" w:rsidRDefault="007C2E4C" w:rsidP="00C700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C2E4C">
        <w:rPr>
          <w:rFonts w:ascii="Times New Roman" w:hAnsi="Times New Roman"/>
          <w:color w:val="000000" w:themeColor="text1"/>
        </w:rPr>
        <w:t>Obecność alkoholu w życiu codziennym powoduje znaczną ilość szkód i zagrożeń, których nie można uniknąć, ale można wpłynąć na ich rozmiary. Wielkość tych szkód jest związana ze skalą i stylem konsumpcji napojów alkoholowych, ale zależy również od skuteczności i zasięgu działań profilaktycznych i naprawczych, takich jak m.in.: ograniczanie dostępności, kontrola usytuowania punktów sprzedaży, zmniejszanie swobody konsumpcji alkoholu. Działania ukierunkowane na</w:t>
      </w:r>
      <w:r w:rsidR="00C700F3">
        <w:rPr>
          <w:rFonts w:ascii="Times New Roman" w:hAnsi="Times New Roman"/>
          <w:color w:val="000000" w:themeColor="text1"/>
        </w:rPr>
        <w:t> </w:t>
      </w:r>
      <w:r w:rsidRPr="007C2E4C">
        <w:rPr>
          <w:rFonts w:ascii="Times New Roman" w:hAnsi="Times New Roman"/>
          <w:color w:val="000000" w:themeColor="text1"/>
        </w:rPr>
        <w:t>ograniczanie szkód zdrowotnych i społecznych wywoływanych przez alkohol – substancję toksyczną i psychoaktywną - obejmują kombinację wielu, różnorodnych interwencji, dopasowanych do potrzeb lokalnego środowiska. (WHO, 2009). W debacie publicznej podkreśla się, że wszechstronne, zrównoważone i oparte na wynikach badań naukowych podejście obejmuje profilaktykę, leczenie, ograniczanie podaży oraz ograniczanie szkód zdrowotnych i społecznych.</w:t>
      </w:r>
    </w:p>
    <w:p w:rsidR="00EE2828" w:rsidRPr="00EE2828" w:rsidRDefault="00EE2828" w:rsidP="00EE28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EE2828">
        <w:rPr>
          <w:rFonts w:ascii="Times New Roman" w:hAnsi="Times New Roman"/>
          <w:color w:val="000000" w:themeColor="text1"/>
        </w:rPr>
        <w:t>Do policzalnych negatywnych kosztów spożywania alkoholu zalicza m.in. choroby i urazy, wypadki, przestępczość i obniżoną produktywność. Istotna część kosztów związanych z nadużywaniem alkoholu jest jednak trudna do oszacowania, np. spadek jakości życia, cierpienie rodzin, zły wpływ na wychowanie dzieci, cierpienie ofiar wypadków drogowych i przestępstw, ubóstwo, degradacja i</w:t>
      </w:r>
      <w:r>
        <w:rPr>
          <w:rFonts w:ascii="Times New Roman" w:hAnsi="Times New Roman"/>
          <w:color w:val="000000" w:themeColor="text1"/>
        </w:rPr>
        <w:t> </w:t>
      </w:r>
      <w:r w:rsidRPr="00EE2828">
        <w:rPr>
          <w:rFonts w:ascii="Times New Roman" w:hAnsi="Times New Roman"/>
          <w:color w:val="000000" w:themeColor="text1"/>
        </w:rPr>
        <w:t>wykluczenie społeczne.  Formułowane są wnioski, iż „koszty związane z konsumpcją alkoholu kilkukrotnie przewyższają dochody państwa z tytułu podatków od sprzedaży wyrobów alkoholowych”, wskazując na potrzebę aktywniejszej roli państwa w działaniach związanych z alkoholem, w tym za konieczne uznaje regulacje, służące zmniejszeniu szkodliwej konsumpcji alkoholu, w szczególności przez ograniczenie jego dostępności.</w:t>
      </w:r>
      <w:r w:rsidRPr="00EE2828">
        <w:rPr>
          <w:rFonts w:ascii="Times New Roman" w:hAnsi="Times New Roman"/>
          <w:color w:val="000000" w:themeColor="text1"/>
          <w:vertAlign w:val="superscript"/>
        </w:rPr>
        <w:footnoteReference w:id="1"/>
      </w:r>
      <w:r w:rsidRPr="00EE2828">
        <w:rPr>
          <w:rFonts w:ascii="Times New Roman" w:hAnsi="Times New Roman"/>
          <w:color w:val="000000" w:themeColor="text1"/>
        </w:rPr>
        <w:t> </w:t>
      </w:r>
    </w:p>
    <w:p w:rsidR="00EE2828" w:rsidRPr="007C2E4C" w:rsidRDefault="00EE2828" w:rsidP="00C700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0A2A6D" w:rsidRPr="000A2A6D" w:rsidRDefault="00FC7913" w:rsidP="00373279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Warunki </w:t>
      </w:r>
      <w:r w:rsidRPr="00FC7913">
        <w:rPr>
          <w:rFonts w:ascii="Times New Roman" w:hAnsi="Times New Roman"/>
          <w:color w:val="000000" w:themeColor="text1"/>
        </w:rPr>
        <w:t>dopuszczalnego ograniczenia wolności i praw konstytucyjnych określa a</w:t>
      </w:r>
      <w:r w:rsidR="000A2A6D" w:rsidRPr="000A2A6D">
        <w:rPr>
          <w:rFonts w:ascii="Times New Roman" w:hAnsi="Times New Roman"/>
          <w:color w:val="000000" w:themeColor="text1"/>
        </w:rPr>
        <w:t>rt. 31</w:t>
      </w:r>
      <w:r w:rsidR="00EE2828">
        <w:rPr>
          <w:rFonts w:ascii="Times New Roman" w:hAnsi="Times New Roman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ust.</w:t>
      </w:r>
      <w:r w:rsidR="00EE2828">
        <w:rPr>
          <w:rFonts w:ascii="Times New Roman" w:hAnsi="Times New Roman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3 Konstytucji Rzeczypospolitej Polskiej z dnia 2 kwietnia 1997 r. (Dz. U. Nr 78, poz. 483 z późn. zm.).</w:t>
      </w:r>
      <w:r>
        <w:rPr>
          <w:rFonts w:ascii="Times New Roman" w:hAnsi="Times New Roman"/>
          <w:color w:val="000000" w:themeColor="text1"/>
        </w:rPr>
        <w:t xml:space="preserve"> </w:t>
      </w:r>
      <w:r w:rsidR="000A2A6D" w:rsidRPr="000A2A6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Ograniczenia k</w:t>
      </w:r>
      <w:r w:rsidR="000A2A6D" w:rsidRPr="000A2A6D">
        <w:rPr>
          <w:rFonts w:ascii="Times New Roman" w:hAnsi="Times New Roman"/>
          <w:color w:val="000000" w:themeColor="text1"/>
        </w:rPr>
        <w:t>orzystania z konstytucyjnych wolności i praw</w:t>
      </w:r>
      <w:r>
        <w:rPr>
          <w:rFonts w:ascii="Times New Roman" w:hAnsi="Times New Roman"/>
          <w:color w:val="000000" w:themeColor="text1"/>
        </w:rPr>
        <w:t xml:space="preserve"> </w:t>
      </w:r>
      <w:r w:rsidR="000A2A6D" w:rsidRPr="000A2A6D">
        <w:rPr>
          <w:rFonts w:ascii="Times New Roman" w:hAnsi="Times New Roman"/>
          <w:color w:val="000000" w:themeColor="text1"/>
        </w:rPr>
        <w:t>mogą być ustanawiane tylko w</w:t>
      </w:r>
      <w:r w:rsidR="00EE2828">
        <w:rPr>
          <w:rFonts w:ascii="Times New Roman" w:hAnsi="Times New Roman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ustawie i</w:t>
      </w:r>
      <w:r>
        <w:rPr>
          <w:rFonts w:ascii="Times New Roman" w:hAnsi="Times New Roman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tylko wtedy, gdy są konieczne w</w:t>
      </w:r>
      <w:r w:rsidR="000A2A6D" w:rsidRPr="000A2A6D">
        <w:rPr>
          <w:rFonts w:ascii="Times New Roman" w:hAnsi="Times New Roman" w:hint="eastAsia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demokratycznym państwie dla jego bezpieczeństwa lub porządku publicznego, bądź dla</w:t>
      </w:r>
      <w:r w:rsidR="000A2A6D" w:rsidRPr="000A2A6D">
        <w:rPr>
          <w:rFonts w:ascii="Times New Roman" w:hAnsi="Times New Roman" w:hint="eastAsia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ochrony środowiska, zdrowia i moralności publicznej, albo wolności i</w:t>
      </w:r>
      <w:r w:rsidR="00EE2828">
        <w:rPr>
          <w:rFonts w:ascii="Times New Roman" w:hAnsi="Times New Roman"/>
          <w:color w:val="000000" w:themeColor="text1"/>
        </w:rPr>
        <w:t> </w:t>
      </w:r>
      <w:r w:rsidR="000A2A6D" w:rsidRPr="000A2A6D">
        <w:rPr>
          <w:rFonts w:ascii="Times New Roman" w:hAnsi="Times New Roman"/>
          <w:color w:val="000000" w:themeColor="text1"/>
        </w:rPr>
        <w:t>praw innych osób. Przepis ten zawęża zakres zastosowania wolności i praw konstytucyjnie gwarantowanych</w:t>
      </w:r>
      <w:r w:rsidR="00EE2828">
        <w:rPr>
          <w:rFonts w:ascii="Times New Roman" w:hAnsi="Times New Roman"/>
          <w:color w:val="000000" w:themeColor="text1"/>
        </w:rPr>
        <w:t>.</w:t>
      </w:r>
      <w:r w:rsidR="000A2A6D" w:rsidRPr="000A2A6D">
        <w:rPr>
          <w:rFonts w:ascii="Times New Roman" w:hAnsi="Times New Roman"/>
          <w:color w:val="000000" w:themeColor="text1"/>
          <w:vertAlign w:val="superscript"/>
        </w:rPr>
        <w:footnoteReference w:id="2"/>
      </w:r>
    </w:p>
    <w:p w:rsidR="004679CB" w:rsidRPr="00164889" w:rsidRDefault="0070236F" w:rsidP="00EE2828">
      <w:pPr>
        <w:spacing w:before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236F">
        <w:rPr>
          <w:rFonts w:ascii="Times New Roman" w:hAnsi="Times New Roman"/>
          <w:color w:val="000000" w:themeColor="text1"/>
        </w:rPr>
        <w:t>W preambule do ustawy z dnia 26 października 1982 r. o wychowaniu w trzeźwości i przeciwdziałaniu alkoholizmowi (Dz. U. z 2023 r. poz. 2151) – dalej zwanej także „ustawą o wychowaniu w trzeźwości”, będącej proklamowaniem zasad oraz założeń, które uznano za szczególnie istotne, podkreślono jej ratio legis jako: „życie obywateli w trzeźwości za niezbędny warunek moralnego i</w:t>
      </w:r>
      <w:r w:rsidR="008A0995">
        <w:rPr>
          <w:rFonts w:ascii="Times New Roman" w:hAnsi="Times New Roman"/>
          <w:color w:val="000000" w:themeColor="text1"/>
        </w:rPr>
        <w:t> </w:t>
      </w:r>
      <w:r w:rsidRPr="0070236F">
        <w:rPr>
          <w:rFonts w:ascii="Times New Roman" w:hAnsi="Times New Roman"/>
          <w:color w:val="000000" w:themeColor="text1"/>
        </w:rPr>
        <w:t xml:space="preserve">materialnego dobra Narodu”. </w:t>
      </w:r>
      <w:r w:rsidR="000A2A6D" w:rsidRPr="000A2A6D">
        <w:rPr>
          <w:rFonts w:ascii="Times New Roman" w:hAnsi="Times New Roman"/>
          <w:color w:val="000000" w:themeColor="text1"/>
        </w:rPr>
        <w:t xml:space="preserve">W świetle konieczności ochrony zdrowia i moralności publicznej oraz bezpieczeństwa publicznego dostęp do napojów alkoholowych nie może być traktowany identycznie jak dostęp do innych dóbr i usług. </w:t>
      </w:r>
      <w:r w:rsidR="007A3E3E" w:rsidRPr="007C2E4C">
        <w:rPr>
          <w:rFonts w:ascii="Times New Roman" w:hAnsi="Times New Roman"/>
          <w:color w:val="000000" w:themeColor="text1"/>
        </w:rPr>
        <w:t>Zgodnie z</w:t>
      </w:r>
      <w:r>
        <w:rPr>
          <w:rFonts w:ascii="Times New Roman" w:hAnsi="Times New Roman"/>
          <w:color w:val="000000" w:themeColor="text1"/>
        </w:rPr>
        <w:t> </w:t>
      </w:r>
      <w:r w:rsidR="007A3E3E" w:rsidRPr="007C2E4C">
        <w:rPr>
          <w:rFonts w:ascii="Times New Roman" w:hAnsi="Times New Roman"/>
          <w:color w:val="000000" w:themeColor="text1"/>
        </w:rPr>
        <w:t>art.</w:t>
      </w:r>
      <w:r>
        <w:rPr>
          <w:rFonts w:ascii="Times New Roman" w:hAnsi="Times New Roman"/>
          <w:color w:val="000000" w:themeColor="text1"/>
        </w:rPr>
        <w:t> </w:t>
      </w:r>
      <w:r w:rsidR="007A3E3E" w:rsidRPr="007C2E4C"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 </w:t>
      </w:r>
      <w:r w:rsidR="007A3E3E" w:rsidRPr="007C2E4C">
        <w:rPr>
          <w:rFonts w:ascii="Times New Roman" w:hAnsi="Times New Roman"/>
          <w:color w:val="000000" w:themeColor="text1"/>
        </w:rPr>
        <w:t>ust. 1 ustaw</w:t>
      </w:r>
      <w:r w:rsidR="00164889" w:rsidRPr="007C2E4C">
        <w:rPr>
          <w:rFonts w:ascii="Times New Roman" w:hAnsi="Times New Roman"/>
          <w:color w:val="000000" w:themeColor="text1"/>
        </w:rPr>
        <w:t>y</w:t>
      </w:r>
      <w:r w:rsidR="007A3E3E" w:rsidRPr="007C2E4C">
        <w:rPr>
          <w:rFonts w:ascii="Times New Roman" w:hAnsi="Times New Roman"/>
          <w:color w:val="000000" w:themeColor="text1"/>
        </w:rPr>
        <w:t xml:space="preserve"> </w:t>
      </w:r>
      <w:r w:rsidR="007A18D2" w:rsidRPr="007A18D2">
        <w:rPr>
          <w:rFonts w:ascii="Times New Roman" w:hAnsi="Times New Roman"/>
          <w:color w:val="000000" w:themeColor="text1"/>
        </w:rPr>
        <w:t>o wychowaniu w trzeźwości</w:t>
      </w:r>
      <w:r w:rsidR="007C2E4C" w:rsidRPr="007C2E4C">
        <w:rPr>
          <w:rFonts w:ascii="Times New Roman" w:hAnsi="Times New Roman"/>
          <w:color w:val="000000" w:themeColor="text1"/>
        </w:rPr>
        <w:t xml:space="preserve"> </w:t>
      </w:r>
      <w:r w:rsidR="007A3E3E" w:rsidRPr="007C2E4C">
        <w:rPr>
          <w:rFonts w:ascii="Times New Roman" w:hAnsi="Times New Roman"/>
          <w:color w:val="000000" w:themeColor="text1"/>
        </w:rPr>
        <w:t>organy administracji rządowej i jednostek samorządu terytorialnego są obowiązane do podejmowania działań zmierzających do ograniczania spożycia</w:t>
      </w:r>
      <w:r w:rsidR="007A3E3E" w:rsidRPr="00164889">
        <w:rPr>
          <w:rFonts w:ascii="Times New Roman" w:hAnsi="Times New Roman" w:cs="Times New Roman"/>
          <w:color w:val="000000" w:themeColor="text1"/>
        </w:rPr>
        <w:t xml:space="preserve"> napojów alkoholowych oraz zmiany struktury ich spożywania, inicjowania i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7A3E3E" w:rsidRPr="00164889">
        <w:rPr>
          <w:rFonts w:ascii="Times New Roman" w:hAnsi="Times New Roman" w:cs="Times New Roman"/>
          <w:color w:val="000000" w:themeColor="text1"/>
        </w:rPr>
        <w:t>wspierania przedsięwzięć mających na celu zmianę obyczajów w zakresie sposobu spożywania tych napojów, działania na rzecz trzeźwości w miejscu pracy, przeciwdziałania powstawaniu i usuwania następstw nadużywania alkoholu, a także wspierania działalności w tym zakresie organizacji społecznych i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7A3E3E" w:rsidRPr="00164889">
        <w:rPr>
          <w:rFonts w:ascii="Times New Roman" w:hAnsi="Times New Roman" w:cs="Times New Roman"/>
          <w:color w:val="000000" w:themeColor="text1"/>
        </w:rPr>
        <w:t xml:space="preserve">zakładów pracy. Sposób 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w jaki </w:t>
      </w:r>
      <w:r w:rsidR="007A3E3E" w:rsidRPr="00164889">
        <w:rPr>
          <w:rFonts w:ascii="Times New Roman" w:hAnsi="Times New Roman" w:cs="Times New Roman"/>
          <w:color w:val="000000" w:themeColor="text1"/>
        </w:rPr>
        <w:t>mają być wykonywane zadania publiczne w zakresie przeciwdziałania alkoholizmowi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 </w:t>
      </w:r>
      <w:r w:rsidR="00C700F3">
        <w:rPr>
          <w:rFonts w:ascii="Times New Roman" w:hAnsi="Times New Roman" w:cs="Times New Roman"/>
          <w:color w:val="000000" w:themeColor="text1"/>
        </w:rPr>
        <w:t>u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stawodawca określił w art. 2, wymieniając m.in. </w:t>
      </w:r>
      <w:bookmarkStart w:id="1" w:name="_Hlk176516851"/>
      <w:r w:rsidR="007538BB" w:rsidRPr="00164889">
        <w:rPr>
          <w:rFonts w:ascii="Times New Roman" w:hAnsi="Times New Roman" w:cs="Times New Roman"/>
          <w:color w:val="000000" w:themeColor="text1"/>
        </w:rPr>
        <w:t>tworzenie warunków sprzyjających realizacji potrzeb, których zaspokajanie motywuje powstrzymywanie się od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7538BB" w:rsidRPr="00164889">
        <w:rPr>
          <w:rFonts w:ascii="Times New Roman" w:hAnsi="Times New Roman" w:cs="Times New Roman"/>
          <w:color w:val="000000" w:themeColor="text1"/>
        </w:rPr>
        <w:t>spożywania alkoholu, ograniczanie dostępności alkoholu, zapobieganie negatywnym następstwom nadużywania alkoholu i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7538BB" w:rsidRPr="00164889">
        <w:rPr>
          <w:rFonts w:ascii="Times New Roman" w:hAnsi="Times New Roman" w:cs="Times New Roman"/>
          <w:color w:val="000000" w:themeColor="text1"/>
        </w:rPr>
        <w:t>ich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usuwanie czy przeciwdziałanie przemocy domowej.  </w:t>
      </w:r>
      <w:bookmarkEnd w:id="1"/>
      <w:r w:rsidR="00C8352E" w:rsidRPr="00164889">
        <w:rPr>
          <w:rFonts w:ascii="Times New Roman" w:hAnsi="Times New Roman" w:cs="Times New Roman"/>
          <w:color w:val="000000" w:themeColor="text1"/>
        </w:rPr>
        <w:t>P</w:t>
      </w:r>
      <w:r w:rsidR="007538BB" w:rsidRPr="00164889">
        <w:rPr>
          <w:rFonts w:ascii="Times New Roman" w:hAnsi="Times New Roman" w:cs="Times New Roman"/>
          <w:color w:val="000000" w:themeColor="text1"/>
        </w:rPr>
        <w:t>rzeciwdziałani</w:t>
      </w:r>
      <w:r w:rsidR="00C8352E" w:rsidRPr="00164889">
        <w:rPr>
          <w:rFonts w:ascii="Times New Roman" w:hAnsi="Times New Roman" w:cs="Times New Roman"/>
          <w:color w:val="000000" w:themeColor="text1"/>
        </w:rPr>
        <w:t>e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 alkoholizmowi wykonuje się przez odpowiednie kształtowanie polityki społecznej</w:t>
      </w:r>
      <w:r w:rsidR="00C8352E" w:rsidRPr="00164889">
        <w:rPr>
          <w:rFonts w:ascii="Times New Roman" w:hAnsi="Times New Roman" w:cs="Times New Roman"/>
          <w:color w:val="000000" w:themeColor="text1"/>
        </w:rPr>
        <w:t>,</w:t>
      </w:r>
      <w:r w:rsidR="007538BB" w:rsidRPr="00164889">
        <w:rPr>
          <w:rFonts w:ascii="Times New Roman" w:hAnsi="Times New Roman" w:cs="Times New Roman"/>
          <w:color w:val="000000" w:themeColor="text1"/>
        </w:rPr>
        <w:t xml:space="preserve"> </w:t>
      </w:r>
      <w:r w:rsidR="00C8352E" w:rsidRPr="00164889">
        <w:rPr>
          <w:rFonts w:ascii="Times New Roman" w:hAnsi="Times New Roman" w:cs="Times New Roman"/>
          <w:color w:val="000000" w:themeColor="text1"/>
        </w:rPr>
        <w:t>zgodnie z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C8352E" w:rsidRPr="00164889">
        <w:rPr>
          <w:rFonts w:ascii="Times New Roman" w:hAnsi="Times New Roman" w:cs="Times New Roman"/>
          <w:color w:val="000000" w:themeColor="text1"/>
        </w:rPr>
        <w:t xml:space="preserve">Narodowym Programem Zdrowia, o którym mowa w </w:t>
      </w:r>
      <w:hyperlink r:id="rId8" w:anchor="/document/18240078?unitId=art(9)ust(1)&amp;cm=DOCUMENT" w:tgtFrame="_blank" w:history="1">
        <w:r w:rsidR="00C8352E" w:rsidRPr="00164889">
          <w:rPr>
            <w:rFonts w:ascii="Times New Roman" w:hAnsi="Times New Roman" w:cs="Times New Roman"/>
            <w:color w:val="000000" w:themeColor="text1"/>
          </w:rPr>
          <w:t>art. 9 ust. 1</w:t>
        </w:r>
      </w:hyperlink>
      <w:r w:rsidR="00C8352E" w:rsidRPr="00164889">
        <w:rPr>
          <w:rFonts w:ascii="Times New Roman" w:hAnsi="Times New Roman" w:cs="Times New Roman"/>
          <w:color w:val="000000" w:themeColor="text1"/>
        </w:rPr>
        <w:t xml:space="preserve"> ustawy z dnia 11 września 2015 r. o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C8352E" w:rsidRPr="00164889">
        <w:rPr>
          <w:rFonts w:ascii="Times New Roman" w:hAnsi="Times New Roman" w:cs="Times New Roman"/>
          <w:color w:val="000000" w:themeColor="text1"/>
        </w:rPr>
        <w:t>zdrowiu publicznym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(Dz.</w:t>
      </w:r>
      <w:r w:rsidR="00C700F3">
        <w:rPr>
          <w:rFonts w:ascii="Times New Roman" w:hAnsi="Times New Roman" w:cs="Times New Roman"/>
          <w:color w:val="000000" w:themeColor="text1"/>
        </w:rPr>
        <w:t> </w:t>
      </w:r>
      <w:r w:rsidR="00B6449C" w:rsidRPr="00164889">
        <w:rPr>
          <w:rFonts w:ascii="Times New Roman" w:hAnsi="Times New Roman" w:cs="Times New Roman"/>
          <w:color w:val="000000" w:themeColor="text1"/>
        </w:rPr>
        <w:t>U. z 2022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B6449C" w:rsidRPr="00164889">
        <w:rPr>
          <w:rFonts w:ascii="Times New Roman" w:hAnsi="Times New Roman" w:cs="Times New Roman"/>
          <w:color w:val="000000" w:themeColor="text1"/>
        </w:rPr>
        <w:t>r. poz. 1608 z późn. zm.)</w:t>
      </w:r>
      <w:r w:rsidR="00C8352E" w:rsidRPr="00164889">
        <w:rPr>
          <w:rFonts w:ascii="Times New Roman" w:hAnsi="Times New Roman" w:cs="Times New Roman"/>
          <w:color w:val="000000" w:themeColor="text1"/>
        </w:rPr>
        <w:t>.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Rad</w:t>
      </w:r>
      <w:r w:rsidR="008441D4">
        <w:rPr>
          <w:rFonts w:ascii="Times New Roman" w:hAnsi="Times New Roman" w:cs="Times New Roman"/>
          <w:color w:val="000000" w:themeColor="text1"/>
        </w:rPr>
        <w:t>a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Ministrów</w:t>
      </w:r>
      <w:r w:rsidR="008441D4">
        <w:rPr>
          <w:rFonts w:ascii="Times New Roman" w:hAnsi="Times New Roman" w:cs="Times New Roman"/>
          <w:color w:val="000000" w:themeColor="text1"/>
        </w:rPr>
        <w:t xml:space="preserve"> rozporządzeniem </w:t>
      </w:r>
      <w:r w:rsidR="00B6449C" w:rsidRPr="00164889">
        <w:rPr>
          <w:rFonts w:ascii="Times New Roman" w:hAnsi="Times New Roman" w:cs="Times New Roman"/>
          <w:color w:val="000000" w:themeColor="text1"/>
        </w:rPr>
        <w:t>z dnia 30 marca 2021 r.</w:t>
      </w:r>
      <w:r w:rsidR="008441D4">
        <w:rPr>
          <w:rFonts w:ascii="Times New Roman" w:hAnsi="Times New Roman" w:cs="Times New Roman"/>
          <w:color w:val="000000" w:themeColor="text1"/>
        </w:rPr>
        <w:t xml:space="preserve"> przyjęła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Narodow</w:t>
      </w:r>
      <w:r w:rsidR="008441D4">
        <w:rPr>
          <w:rFonts w:ascii="Times New Roman" w:hAnsi="Times New Roman" w:cs="Times New Roman"/>
          <w:color w:val="000000" w:themeColor="text1"/>
        </w:rPr>
        <w:t>y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Program Zdrowia</w:t>
      </w:r>
      <w:r w:rsidR="008441D4">
        <w:rPr>
          <w:rFonts w:ascii="Times New Roman" w:hAnsi="Times New Roman" w:cs="Times New Roman"/>
          <w:color w:val="000000" w:themeColor="text1"/>
        </w:rPr>
        <w:t xml:space="preserve"> (NPZ)</w:t>
      </w:r>
      <w:r w:rsidR="00B6449C" w:rsidRPr="00164889">
        <w:rPr>
          <w:rFonts w:ascii="Times New Roman" w:hAnsi="Times New Roman" w:cs="Times New Roman"/>
          <w:color w:val="000000" w:themeColor="text1"/>
        </w:rPr>
        <w:t xml:space="preserve"> na lata 2021-2025 (Dz. U. poz. 642)</w:t>
      </w:r>
      <w:r w:rsidR="004679CB" w:rsidRPr="00164889">
        <w:rPr>
          <w:rFonts w:ascii="Times New Roman" w:hAnsi="Times New Roman" w:cs="Times New Roman"/>
          <w:color w:val="000000" w:themeColor="text1"/>
        </w:rPr>
        <w:t xml:space="preserve">. Cele operacyjne </w:t>
      </w:r>
      <w:r w:rsidR="008441D4">
        <w:rPr>
          <w:rFonts w:ascii="Times New Roman" w:hAnsi="Times New Roman" w:cs="Times New Roman"/>
          <w:color w:val="000000" w:themeColor="text1"/>
        </w:rPr>
        <w:t xml:space="preserve">NPZ </w:t>
      </w:r>
      <w:r w:rsidR="004679CB" w:rsidRPr="00164889">
        <w:rPr>
          <w:rFonts w:ascii="Times New Roman" w:hAnsi="Times New Roman" w:cs="Times New Roman"/>
          <w:color w:val="000000" w:themeColor="text1"/>
        </w:rPr>
        <w:t>i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4679CB" w:rsidRPr="00164889">
        <w:rPr>
          <w:rFonts w:ascii="Times New Roman" w:hAnsi="Times New Roman" w:cs="Times New Roman"/>
          <w:color w:val="000000" w:themeColor="text1"/>
        </w:rPr>
        <w:t xml:space="preserve">zadania służące realizacji </w:t>
      </w:r>
      <w:r w:rsidR="008441D4">
        <w:rPr>
          <w:rFonts w:ascii="Times New Roman" w:hAnsi="Times New Roman" w:cs="Times New Roman"/>
          <w:color w:val="000000" w:themeColor="text1"/>
        </w:rPr>
        <w:t xml:space="preserve">tych </w:t>
      </w:r>
      <w:r w:rsidR="008441D4" w:rsidRPr="00164889">
        <w:rPr>
          <w:rFonts w:ascii="Times New Roman" w:hAnsi="Times New Roman" w:cs="Times New Roman"/>
          <w:color w:val="000000" w:themeColor="text1"/>
        </w:rPr>
        <w:t>celów muszą</w:t>
      </w:r>
      <w:r w:rsidR="004679CB" w:rsidRPr="00164889">
        <w:rPr>
          <w:rFonts w:ascii="Times New Roman" w:hAnsi="Times New Roman" w:cs="Times New Roman"/>
          <w:color w:val="000000" w:themeColor="text1"/>
        </w:rPr>
        <w:t xml:space="preserve"> wspólnie przyczyniać się do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4679CB" w:rsidRPr="00164889">
        <w:rPr>
          <w:rFonts w:ascii="Times New Roman" w:hAnsi="Times New Roman" w:cs="Times New Roman"/>
          <w:color w:val="000000" w:themeColor="text1"/>
        </w:rPr>
        <w:t>ograniczania społecznych nierówności w zdrowiu, a także powinny być realizowane w sposób powiązany, przeciwdziałając więcej niż jednemu zagrożeniu jednocześnie, w szczególności w</w:t>
      </w:r>
      <w:r w:rsidR="007C2E4C">
        <w:rPr>
          <w:rFonts w:ascii="Times New Roman" w:hAnsi="Times New Roman" w:cs="Times New Roman"/>
          <w:color w:val="000000" w:themeColor="text1"/>
        </w:rPr>
        <w:t> </w:t>
      </w:r>
      <w:r w:rsidR="004679CB" w:rsidRPr="00164889">
        <w:rPr>
          <w:rFonts w:ascii="Times New Roman" w:hAnsi="Times New Roman" w:cs="Times New Roman"/>
          <w:color w:val="000000" w:themeColor="text1"/>
        </w:rPr>
        <w:t>obszarach, w których istnieją naukowe dowody zależności między zagrożeniami lub czynnikami ryzyka i czynnikami chroniącymi.</w:t>
      </w:r>
      <w:r w:rsidR="00BC305E" w:rsidRPr="00164889">
        <w:rPr>
          <w:rFonts w:ascii="Times New Roman" w:hAnsi="Times New Roman" w:cs="Times New Roman"/>
          <w:color w:val="000000" w:themeColor="text1"/>
        </w:rPr>
        <w:t xml:space="preserve"> Wśród zadań służących realizacji celu operacyjnego „Profilaktyka uzależnień” NPZ przewiduje m.in. z</w:t>
      </w:r>
      <w:r w:rsidR="004679CB" w:rsidRPr="00164889">
        <w:rPr>
          <w:rFonts w:ascii="Times New Roman" w:hAnsi="Times New Roman" w:cs="Times New Roman"/>
          <w:color w:val="000000" w:themeColor="text1"/>
        </w:rPr>
        <w:t>mniejszanie dostępności fizycznej i</w:t>
      </w:r>
      <w:r w:rsidR="009028C5" w:rsidRPr="00164889">
        <w:rPr>
          <w:rFonts w:ascii="Times New Roman" w:hAnsi="Times New Roman" w:cs="Times New Roman"/>
          <w:color w:val="000000" w:themeColor="text1"/>
        </w:rPr>
        <w:t> </w:t>
      </w:r>
      <w:r w:rsidR="004679CB" w:rsidRPr="00164889">
        <w:rPr>
          <w:rFonts w:ascii="Times New Roman" w:hAnsi="Times New Roman" w:cs="Times New Roman"/>
          <w:color w:val="000000" w:themeColor="text1"/>
        </w:rPr>
        <w:t>ekonomicznej alkoholu</w:t>
      </w:r>
      <w:r w:rsidR="00BC305E" w:rsidRPr="00164889">
        <w:rPr>
          <w:rFonts w:ascii="Times New Roman" w:hAnsi="Times New Roman" w:cs="Times New Roman"/>
          <w:color w:val="000000" w:themeColor="text1"/>
        </w:rPr>
        <w:t>.</w:t>
      </w:r>
      <w:r w:rsidR="009028C5" w:rsidRPr="00164889">
        <w:rPr>
          <w:rFonts w:ascii="Times New Roman" w:hAnsi="Times New Roman" w:cs="Times New Roman"/>
          <w:color w:val="000000" w:themeColor="text1"/>
        </w:rPr>
        <w:t xml:space="preserve"> NPZ</w:t>
      </w:r>
      <w:r w:rsidR="008441D4">
        <w:rPr>
          <w:rFonts w:ascii="Times New Roman" w:hAnsi="Times New Roman" w:cs="Times New Roman"/>
          <w:color w:val="000000" w:themeColor="text1"/>
        </w:rPr>
        <w:t> </w:t>
      </w:r>
      <w:r w:rsidR="009028C5" w:rsidRPr="00164889">
        <w:rPr>
          <w:rFonts w:ascii="Times New Roman" w:hAnsi="Times New Roman" w:cs="Times New Roman"/>
          <w:color w:val="000000" w:themeColor="text1"/>
        </w:rPr>
        <w:t xml:space="preserve">nałożył na jednostki samorządu terytorialnego </w:t>
      </w:r>
      <w:r w:rsidR="00942A7D" w:rsidRPr="00164889">
        <w:rPr>
          <w:rFonts w:ascii="Times New Roman" w:hAnsi="Times New Roman" w:cs="Times New Roman"/>
          <w:color w:val="000000" w:themeColor="text1"/>
        </w:rPr>
        <w:t>zadania regulacyjne i obowiązek zapewnienia przepisów w zakresie m.in. zmniejszenia dostępności i ograniczania spożycia napojów alkoholowych.</w:t>
      </w:r>
    </w:p>
    <w:p w:rsidR="00DE7469" w:rsidRPr="00164889" w:rsidRDefault="00DE7469" w:rsidP="00C700F3">
      <w:pPr>
        <w:pStyle w:val="Tekstpodstawowy"/>
        <w:spacing w:before="12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Prowadzenie działań związanych z profilaktyką i rozwiązywaniem problemów alkoholowych należy do zadań własnych gmin. Działania te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dotyczące m.in. ograniczenia dostępności napojów alkoholowych, zmiany struktury ich spożywania, inicjowania i wspierania przedsięwzięć mających na celu zmianę obyczajów w zakresie sposobu spożywania tych napojów i tworzenia warunków sprzyjających powstrzymywaniu się od spożywania alkoholu, 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muszą być podporządkowane realizacji cel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ów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o wychowaniu w trzeźwości, które zostały wyrażone w 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przywoływanych wcześniej </w:t>
      </w:r>
      <w:r w:rsidR="007A18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przepisach 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art.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i 2 ustawy</w:t>
      </w:r>
      <w:r w:rsidR="00942A7D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, w tym zmniejszeniu dostępności i ograniczaniu spożycia napojów alkoholowych oraz przeciwdziałani</w:t>
      </w:r>
      <w:r w:rsidR="003517F1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="00942A7D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powstawani</w:t>
      </w:r>
      <w:r w:rsidR="003517F1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942A7D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usuwani</w:t>
      </w:r>
      <w:r w:rsidR="003517F1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="00942A7D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następstw nadużywania alkoholu</w:t>
      </w:r>
      <w:r w:rsidR="009028C5"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164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E72A35" w:rsidRDefault="007D64FC" w:rsidP="008441D4">
      <w:pPr>
        <w:pStyle w:val="Tekstpodstawowy2"/>
        <w:spacing w:before="120" w:line="360" w:lineRule="auto"/>
      </w:pPr>
      <w:r w:rsidRPr="007D64FC">
        <w:t xml:space="preserve">Zamiarem ustawodawcy nie </w:t>
      </w:r>
      <w:r w:rsidR="00557AC3">
        <w:t>było</w:t>
      </w:r>
      <w:r w:rsidRPr="007D64FC">
        <w:t xml:space="preserve"> wprowadzenie całkowitego zakazu sprzedaży, podawania i</w:t>
      </w:r>
      <w:r>
        <w:t> </w:t>
      </w:r>
      <w:r w:rsidRPr="007D64FC">
        <w:t xml:space="preserve">spożywania napojów alkoholowych, jednak w niektórych miejscach i obiektach jest on niepożądany. </w:t>
      </w:r>
      <w:r>
        <w:t xml:space="preserve">W </w:t>
      </w:r>
      <w:r w:rsidRPr="007D64FC">
        <w:t>art. 14</w:t>
      </w:r>
      <w:r w:rsidR="00D77E5A">
        <w:t xml:space="preserve"> ust. 1</w:t>
      </w:r>
      <w:r w:rsidR="00C979F4">
        <w:t>-5</w:t>
      </w:r>
      <w:r w:rsidR="00D77E5A">
        <w:t xml:space="preserve"> </w:t>
      </w:r>
      <w:r w:rsidR="008441D4">
        <w:t xml:space="preserve">ustawy o wychowaniu w trzeźwości </w:t>
      </w:r>
      <w:r w:rsidR="00D77E5A" w:rsidRPr="00D77E5A">
        <w:t>określono ustawowe zakazy sprzedaży, podawania i spożywania napojów alkoholowych na terenach i w miejscach w ni</w:t>
      </w:r>
      <w:r w:rsidR="00BB062A">
        <w:t>ch</w:t>
      </w:r>
      <w:r w:rsidR="00D77E5A" w:rsidRPr="00D77E5A">
        <w:t xml:space="preserve"> wskazanych, a także w środkach i obiektach transportu publicznego. </w:t>
      </w:r>
      <w:r w:rsidR="00043825">
        <w:t>Z</w:t>
      </w:r>
      <w:r w:rsidR="00F74FA8" w:rsidRPr="00F74FA8">
        <w:t xml:space="preserve">ostały sformułowane </w:t>
      </w:r>
      <w:r w:rsidR="00043825">
        <w:t xml:space="preserve">także </w:t>
      </w:r>
      <w:r w:rsidR="00F74FA8" w:rsidRPr="00F74FA8">
        <w:t>zakazy sprzedaży, podawania i</w:t>
      </w:r>
      <w:r w:rsidR="007223A8">
        <w:t> </w:t>
      </w:r>
      <w:r w:rsidR="00F74FA8" w:rsidRPr="00F74FA8">
        <w:t>spożywania napojów zawierających więcej niż 18% alkoholu w ośrodkach szkoleniowych i</w:t>
      </w:r>
      <w:r w:rsidR="007223A8">
        <w:t> </w:t>
      </w:r>
      <w:r w:rsidR="00F74FA8" w:rsidRPr="00F74FA8">
        <w:t>w</w:t>
      </w:r>
      <w:r w:rsidR="007223A8">
        <w:t> </w:t>
      </w:r>
      <w:r w:rsidR="00F74FA8" w:rsidRPr="00F74FA8">
        <w:t>domach wypoczynkowych. </w:t>
      </w:r>
      <w:r w:rsidR="00043825">
        <w:t xml:space="preserve">Jest to katalog zamknięty, który </w:t>
      </w:r>
      <w:r w:rsidR="001529AA">
        <w:t>r</w:t>
      </w:r>
      <w:r w:rsidR="00BB062A" w:rsidRPr="007D64FC">
        <w:t>ada gminy</w:t>
      </w:r>
      <w:r w:rsidR="00043825">
        <w:t>,</w:t>
      </w:r>
      <w:r w:rsidR="00BB062A" w:rsidRPr="007D64FC">
        <w:t xml:space="preserve"> działając w ramach upoważnienia ustawowego, może rozszerzyć.</w:t>
      </w:r>
      <w:r w:rsidR="00BB062A">
        <w:t xml:space="preserve"> W</w:t>
      </w:r>
      <w:r w:rsidR="00E72A35">
        <w:t xml:space="preserve"> art. 14 ust. 6 ustawy</w:t>
      </w:r>
      <w:r w:rsidR="00E72A35" w:rsidRPr="00CF76F6">
        <w:t xml:space="preserve"> </w:t>
      </w:r>
      <w:r w:rsidR="00BB062A">
        <w:t xml:space="preserve">Ustawodawca </w:t>
      </w:r>
      <w:r w:rsidR="00E72A35" w:rsidRPr="00E72A35">
        <w:t xml:space="preserve">przyznał </w:t>
      </w:r>
      <w:r w:rsidR="001529AA">
        <w:t>r</w:t>
      </w:r>
      <w:r w:rsidR="00E72A35" w:rsidRPr="00E72A35">
        <w:t xml:space="preserve">adzie </w:t>
      </w:r>
      <w:r w:rsidR="001529AA">
        <w:t>g</w:t>
      </w:r>
      <w:r w:rsidR="00E72A35" w:rsidRPr="00E72A35">
        <w:t>miny kompetencję do</w:t>
      </w:r>
      <w:r w:rsidR="00A35CA6">
        <w:t> </w:t>
      </w:r>
      <w:r w:rsidR="00E72A35" w:rsidRPr="00E72A35">
        <w:t>wprowadzenia</w:t>
      </w:r>
      <w:r w:rsidR="00E72A35">
        <w:t xml:space="preserve"> w</w:t>
      </w:r>
      <w:r>
        <w:t> </w:t>
      </w:r>
      <w:r w:rsidR="00E72A35">
        <w:t>drodze uchwały</w:t>
      </w:r>
      <w:r w:rsidR="00E72A35" w:rsidRPr="00E72A35">
        <w:t xml:space="preserve"> czasowego lub stałego zakazu sprzedaży, podawania, spożywania oraz wnoszenia napojów alkoholowych w innych, niewymienionych w</w:t>
      </w:r>
      <w:r w:rsidR="007223A8">
        <w:t> </w:t>
      </w:r>
      <w:r w:rsidR="00E72A35" w:rsidRPr="00E72A35">
        <w:t>art.</w:t>
      </w:r>
      <w:r w:rsidR="007223A8">
        <w:t> </w:t>
      </w:r>
      <w:r w:rsidR="00E72A35" w:rsidRPr="00E72A35">
        <w:t>14</w:t>
      </w:r>
      <w:r w:rsidR="00E72A35">
        <w:t>,</w:t>
      </w:r>
      <w:r w:rsidR="00E72A35" w:rsidRPr="00E72A35">
        <w:t xml:space="preserve"> miejscach, obiektach lub na</w:t>
      </w:r>
      <w:r>
        <w:t> </w:t>
      </w:r>
      <w:r w:rsidR="00E72A35" w:rsidRPr="00E72A35">
        <w:t>określonych obszarach gminy, ze względu na ich charakter.</w:t>
      </w:r>
    </w:p>
    <w:p w:rsidR="00BF2F70" w:rsidRPr="00BF2F70" w:rsidRDefault="00BF2F70" w:rsidP="008441D4">
      <w:pPr>
        <w:pStyle w:val="Tekstpodstawowy"/>
        <w:spacing w:before="120" w:line="360" w:lineRule="auto"/>
        <w:rPr>
          <w:rFonts w:ascii="Times New Roman" w:hAnsi="Times New Roman" w:cs="Times New Roman"/>
        </w:rPr>
      </w:pP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W </w:t>
      </w:r>
      <w:r w:rsidR="008441D4">
        <w:rPr>
          <w:rFonts w:ascii="Times New Roman" w:hAnsi="Times New Roman" w:cs="Times New Roman"/>
          <w:sz w:val="22"/>
          <w:szCs w:val="22"/>
          <w:lang w:eastAsia="en-US"/>
        </w:rPr>
        <w:t>aspekcie</w:t>
      </w:r>
      <w:r w:rsidRPr="008441D4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reglamentacji sprzedaży napojów alkoholowych na terenie gminy istotne znaczenie – wśród konstytucyjnych warunków limitujących – ma w szczególności przesłanka zdrowia publicznego, postrzega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na 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m.in. jako obowiązek zapewnienia takiego kontekstu prawnego i społecznego, by zarówno usuwać zewnętrzne zagrożenia zdrowia jednostki (m.in. zwalczanie chorób zakaźnych, pomoc w</w:t>
      </w:r>
      <w:r w:rsidR="0032378A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 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sytuacjach nadzwyczajnych, opiekę medyczną –</w:t>
      </w:r>
      <w:r w:rsidR="0032378A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obowiązk</w:t>
      </w:r>
      <w:r w:rsidR="0032378A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władz publicznych unormowane w art.</w:t>
      </w:r>
      <w:r w:rsidR="0032378A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 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68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Konstytucji RP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), jak i eliminować pokusy skłaniające jednostkę do dobrowolnego niszczenia swojego zdrowia”.</w:t>
      </w:r>
      <w:r w:rsidRPr="00BF2F70"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footnoteReference w:id="3"/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  Trybunał Konstytucyjny akcentował, że wynikająca z art. 31 ust. 3 Konstytucji RP możliwość ograniczenia przez ustawodawcę zakresu korzystania z wolności ze względu na ochronę zdrowia może się odnosić zarówno do ochrony zdrowia całego społeczeństwa czy poszczególnych grup, jak i zdrowia poszczególnych osób, jako przykład wskazując</w:t>
      </w:r>
      <w:r w:rsidR="0032378A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m.in.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obowiązek stosowania pasów bezpieczeństwa w interesie użytkowników pojazdów w celu ochrony życia i zdrowia.</w:t>
      </w:r>
      <w:r w:rsidRPr="00BF2F70"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footnoteReference w:id="4"/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EE282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graniczenia mające na celu ochronę zdrowia można usprawiedliwić ochroną praw innych osób w kontekście szeroko rozumianego zdrowia publicznego, jak też ochroną zdrowia osoby, której to ograniczenie dotyczy.</w:t>
      </w:r>
      <w:r w:rsidR="00EE282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C</w:t>
      </w:r>
      <w:r w:rsidRPr="00BF2F7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el wprowadzonych ograniczeń należy uznać za usprawiedliwiony przesłanką ochrony zdrowia, która mogłaby doznać uszczerbku na</w:t>
      </w:r>
      <w:r w:rsidRPr="00EE282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skutek zbyt łatwego dostępu do alkoholu, a w konsekwencji jego nadużywania.</w:t>
      </w:r>
    </w:p>
    <w:p w:rsidR="00AD45FE" w:rsidRDefault="00AD45FE" w:rsidP="0032378A">
      <w:pPr>
        <w:pStyle w:val="Tekstpodstawowy"/>
        <w:spacing w:before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Gminny program profilaktyki i rozwiązywania problemów alkoholowych oraz przeciwdziałania narkomanii dla miasta Wrocławia na lata 2022 - 2025</w:t>
      </w:r>
      <w:r w:rsidR="00A00E05">
        <w:rPr>
          <w:rStyle w:val="Odwoanieprzypisudolnego"/>
          <w:sz w:val="22"/>
          <w:szCs w:val="22"/>
        </w:rPr>
        <w:footnoteReference w:id="5"/>
      </w:r>
      <w:r>
        <w:rPr>
          <w:rFonts w:ascii="Times New Roman" w:hAnsi="Times New Roman" w:cs="Times New Roman"/>
          <w:sz w:val="22"/>
          <w:szCs w:val="22"/>
        </w:rPr>
        <w:t>, określa miejską strategię w zakresie profilaktyki oraz minimalizowania szkód społecznych i zdrowotnych, wynikających z używania alkoholu i</w:t>
      </w:r>
      <w:r w:rsidR="00A00E05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narkotyków. </w:t>
      </w:r>
      <w:r w:rsidRPr="00D96824">
        <w:rPr>
          <w:rFonts w:ascii="Times New Roman" w:hAnsi="Times New Roman" w:cs="Times New Roman"/>
          <w:sz w:val="22"/>
          <w:szCs w:val="22"/>
        </w:rPr>
        <w:t>Analiza danych zawartych w części diagnostycznej Programu pokazuje, że konieczne jest odwrócenie niekorzystnej tendencji zwiększającego się spożycia napojów alkoholowych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Pr="00A35CA6">
        <w:rPr>
          <w:rFonts w:ascii="Times New Roman" w:hAnsi="Times New Roman" w:cs="Times New Roman"/>
          <w:sz w:val="22"/>
          <w:szCs w:val="22"/>
        </w:rPr>
        <w:t>ochrona przed negatywnymi skutkami spożywania alkoholu oraz jego łatwą dostępnością.</w:t>
      </w:r>
    </w:p>
    <w:p w:rsidR="00797799" w:rsidRDefault="002211C7" w:rsidP="0032378A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 roku 2018 </w:t>
      </w:r>
      <w:r w:rsidRPr="002211C7">
        <w:rPr>
          <w:rFonts w:ascii="Times New Roman" w:hAnsi="Times New Roman" w:cs="Times New Roman"/>
          <w:lang w:eastAsia="pl-PL"/>
        </w:rPr>
        <w:t xml:space="preserve">Rada Miejska Wrocławia, w oparciu o delegację ustawową </w:t>
      </w:r>
      <w:r w:rsidR="00CE4B87">
        <w:rPr>
          <w:rFonts w:ascii="Times New Roman" w:hAnsi="Times New Roman" w:cs="Times New Roman"/>
          <w:lang w:eastAsia="pl-PL"/>
        </w:rPr>
        <w:t xml:space="preserve">określoną w art. 12 ustawy o wychowaniu w trzeźwości </w:t>
      </w:r>
      <w:r w:rsidRPr="002211C7">
        <w:rPr>
          <w:rFonts w:ascii="Times New Roman" w:hAnsi="Times New Roman" w:cs="Times New Roman"/>
          <w:lang w:eastAsia="pl-PL"/>
        </w:rPr>
        <w:t xml:space="preserve">przyjęła </w:t>
      </w:r>
      <w:r>
        <w:rPr>
          <w:rFonts w:ascii="Times New Roman" w:hAnsi="Times New Roman" w:cs="Times New Roman"/>
          <w:lang w:eastAsia="pl-PL"/>
        </w:rPr>
        <w:t xml:space="preserve">m.in. </w:t>
      </w:r>
      <w:r w:rsidRPr="002211C7">
        <w:rPr>
          <w:rFonts w:ascii="Times New Roman" w:hAnsi="Times New Roman" w:cs="Times New Roman"/>
          <w:lang w:eastAsia="pl-PL"/>
        </w:rPr>
        <w:t>uchwał</w:t>
      </w:r>
      <w:r w:rsidR="00A3123B">
        <w:rPr>
          <w:rFonts w:ascii="Times New Roman" w:hAnsi="Times New Roman" w:cs="Times New Roman"/>
          <w:lang w:eastAsia="pl-PL"/>
        </w:rPr>
        <w:t>ę</w:t>
      </w:r>
      <w:r w:rsidRPr="002211C7">
        <w:rPr>
          <w:rFonts w:ascii="Times New Roman" w:hAnsi="Times New Roman" w:cs="Times New Roman"/>
          <w:lang w:eastAsia="pl-PL"/>
        </w:rPr>
        <w:t xml:space="preserve"> w</w:t>
      </w:r>
      <w:r w:rsidR="00AD45FE">
        <w:rPr>
          <w:rFonts w:ascii="Times New Roman" w:hAnsi="Times New Roman" w:cs="Times New Roman"/>
          <w:lang w:eastAsia="pl-PL"/>
        </w:rPr>
        <w:t> </w:t>
      </w:r>
      <w:r w:rsidRPr="002211C7">
        <w:rPr>
          <w:rFonts w:ascii="Times New Roman" w:hAnsi="Times New Roman" w:cs="Times New Roman"/>
          <w:lang w:eastAsia="pl-PL"/>
        </w:rPr>
        <w:t>sprawie zasad usytuowania punktów sprzedaży</w:t>
      </w:r>
      <w:r w:rsidR="00CE4B87">
        <w:rPr>
          <w:rFonts w:ascii="Times New Roman" w:hAnsi="Times New Roman" w:cs="Times New Roman"/>
          <w:lang w:eastAsia="pl-PL"/>
        </w:rPr>
        <w:t> </w:t>
      </w:r>
      <w:r w:rsidRPr="002211C7">
        <w:rPr>
          <w:rFonts w:ascii="Times New Roman" w:hAnsi="Times New Roman" w:cs="Times New Roman"/>
          <w:lang w:eastAsia="pl-PL"/>
        </w:rPr>
        <w:t>i</w:t>
      </w:r>
      <w:r w:rsidR="00A00471">
        <w:rPr>
          <w:rFonts w:ascii="Times New Roman" w:hAnsi="Times New Roman" w:cs="Times New Roman"/>
          <w:lang w:eastAsia="pl-PL"/>
        </w:rPr>
        <w:t> </w:t>
      </w:r>
      <w:r w:rsidRPr="002211C7">
        <w:rPr>
          <w:rFonts w:ascii="Times New Roman" w:hAnsi="Times New Roman" w:cs="Times New Roman"/>
          <w:lang w:eastAsia="pl-PL"/>
        </w:rPr>
        <w:t>podawania napojów alkoholowych na terenie Wrocławia</w:t>
      </w:r>
      <w:r w:rsidR="00A3123B">
        <w:rPr>
          <w:rStyle w:val="Odwoanieprzypisudolnego"/>
          <w:lang w:eastAsia="pl-PL"/>
        </w:rPr>
        <w:footnoteReference w:id="6"/>
      </w:r>
      <w:r w:rsidR="00A3123B">
        <w:rPr>
          <w:rFonts w:ascii="Times New Roman" w:hAnsi="Times New Roman" w:cs="Times New Roman"/>
          <w:lang w:eastAsia="pl-PL"/>
        </w:rPr>
        <w:t xml:space="preserve"> określając </w:t>
      </w:r>
      <w:r w:rsidR="00A3123B" w:rsidRPr="00A3123B">
        <w:rPr>
          <w:rFonts w:ascii="Times New Roman" w:hAnsi="Times New Roman" w:cs="Times New Roman"/>
          <w:lang w:eastAsia="pl-PL"/>
        </w:rPr>
        <w:t>zasady usytuowania tych punktów względem miejsc i obiektów podlegających ochronie</w:t>
      </w:r>
      <w:r w:rsidR="00A3123B">
        <w:rPr>
          <w:rFonts w:ascii="Times New Roman" w:hAnsi="Times New Roman" w:cs="Times New Roman"/>
          <w:lang w:eastAsia="pl-PL"/>
        </w:rPr>
        <w:t xml:space="preserve">. </w:t>
      </w:r>
      <w:r w:rsidR="00A3123B" w:rsidRPr="00A3123B">
        <w:rPr>
          <w:rFonts w:ascii="Times New Roman" w:hAnsi="Times New Roman" w:cs="Times New Roman"/>
          <w:lang w:eastAsia="pl-PL"/>
        </w:rPr>
        <w:t xml:space="preserve">Usytuowanie punktów sprzedaży może </w:t>
      </w:r>
      <w:r w:rsidR="00A3123B">
        <w:rPr>
          <w:rFonts w:ascii="Times New Roman" w:hAnsi="Times New Roman" w:cs="Times New Roman"/>
          <w:lang w:eastAsia="pl-PL"/>
        </w:rPr>
        <w:t xml:space="preserve">bowiem </w:t>
      </w:r>
      <w:r w:rsidR="00A3123B" w:rsidRPr="00A3123B">
        <w:rPr>
          <w:rFonts w:ascii="Times New Roman" w:hAnsi="Times New Roman" w:cs="Times New Roman"/>
          <w:lang w:eastAsia="pl-PL"/>
        </w:rPr>
        <w:t>powodować niekorzystne, z punktu widzenia celów ustawy o wychowaniu w</w:t>
      </w:r>
      <w:r w:rsidR="001F5277">
        <w:rPr>
          <w:rFonts w:ascii="Times New Roman" w:hAnsi="Times New Roman" w:cs="Times New Roman"/>
          <w:lang w:eastAsia="pl-PL"/>
        </w:rPr>
        <w:t> </w:t>
      </w:r>
      <w:r w:rsidR="00A3123B" w:rsidRPr="00A3123B">
        <w:rPr>
          <w:rFonts w:ascii="Times New Roman" w:hAnsi="Times New Roman" w:cs="Times New Roman"/>
          <w:lang w:eastAsia="pl-PL"/>
        </w:rPr>
        <w:t xml:space="preserve">trzeźwości, interakcje z miejscami lub obiektami chronionymi albo z ich użytkownikami. </w:t>
      </w:r>
      <w:r w:rsidR="00A3123B" w:rsidRPr="0028642C">
        <w:rPr>
          <w:rFonts w:ascii="Times New Roman" w:hAnsi="Times New Roman" w:cs="Times New Roman"/>
          <w:lang w:eastAsia="pl-PL"/>
        </w:rPr>
        <w:t xml:space="preserve">Wśród miejsc i obiektów podlegających ochronie </w:t>
      </w:r>
      <w:r w:rsidR="00AD45FE" w:rsidRPr="0028642C">
        <w:rPr>
          <w:rFonts w:ascii="Times New Roman" w:hAnsi="Times New Roman" w:cs="Times New Roman"/>
          <w:lang w:eastAsia="pl-PL"/>
        </w:rPr>
        <w:t>w związku z sytuowaniem punktów prowadzących sprzedaż napojów alkoholowych przeznaczonych do spożycia poza miejscem sprzedaży (sklep</w:t>
      </w:r>
      <w:r w:rsidR="003E169E">
        <w:rPr>
          <w:rFonts w:ascii="Times New Roman" w:hAnsi="Times New Roman" w:cs="Times New Roman"/>
          <w:lang w:eastAsia="pl-PL"/>
        </w:rPr>
        <w:t>y</w:t>
      </w:r>
      <w:r w:rsidR="00AD45FE" w:rsidRPr="0028642C">
        <w:rPr>
          <w:rFonts w:ascii="Times New Roman" w:hAnsi="Times New Roman" w:cs="Times New Roman"/>
          <w:lang w:eastAsia="pl-PL"/>
        </w:rPr>
        <w:t>)</w:t>
      </w:r>
      <w:r w:rsidR="0028642C" w:rsidRPr="0028642C">
        <w:rPr>
          <w:rFonts w:ascii="Times New Roman" w:hAnsi="Times New Roman" w:cs="Times New Roman"/>
          <w:lang w:eastAsia="pl-PL"/>
        </w:rPr>
        <w:t xml:space="preserve">, </w:t>
      </w:r>
      <w:r w:rsidR="00A3123B" w:rsidRPr="0028642C">
        <w:rPr>
          <w:rFonts w:ascii="Times New Roman" w:hAnsi="Times New Roman" w:cs="Times New Roman"/>
          <w:lang w:eastAsia="pl-PL"/>
        </w:rPr>
        <w:t xml:space="preserve">wymieniono </w:t>
      </w:r>
      <w:r w:rsidR="00AD45FE" w:rsidRPr="0028642C">
        <w:rPr>
          <w:rFonts w:ascii="Times New Roman" w:hAnsi="Times New Roman" w:cs="Times New Roman"/>
          <w:lang w:eastAsia="pl-PL"/>
        </w:rPr>
        <w:t xml:space="preserve">m.in. </w:t>
      </w:r>
      <w:r w:rsidR="00DD3E35">
        <w:rPr>
          <w:rFonts w:ascii="Times New Roman" w:hAnsi="Times New Roman" w:cs="Times New Roman"/>
          <w:lang w:eastAsia="pl-PL"/>
        </w:rPr>
        <w:t>s</w:t>
      </w:r>
      <w:r w:rsidR="00DD3E35" w:rsidRPr="00DD3E35">
        <w:rPr>
          <w:rFonts w:ascii="Times New Roman" w:hAnsi="Times New Roman" w:cs="Times New Roman"/>
          <w:lang w:eastAsia="pl-PL"/>
        </w:rPr>
        <w:t>zpitale</w:t>
      </w:r>
      <w:r w:rsidR="00DD3E35">
        <w:rPr>
          <w:rFonts w:ascii="Times New Roman" w:hAnsi="Times New Roman" w:cs="Times New Roman"/>
          <w:lang w:eastAsia="pl-PL"/>
        </w:rPr>
        <w:t>,</w:t>
      </w:r>
      <w:r w:rsidR="00DD3E35" w:rsidRPr="00DD3E35">
        <w:rPr>
          <w:rFonts w:ascii="Times New Roman" w:hAnsi="Times New Roman" w:cs="Times New Roman"/>
          <w:lang w:eastAsia="pl-PL"/>
        </w:rPr>
        <w:t xml:space="preserve"> całodobowe stacjonarne zakłady lecznicze </w:t>
      </w:r>
      <w:r w:rsidR="00DD3E35">
        <w:rPr>
          <w:rFonts w:ascii="Times New Roman" w:hAnsi="Times New Roman" w:cs="Times New Roman"/>
          <w:lang w:eastAsia="pl-PL"/>
        </w:rPr>
        <w:t xml:space="preserve">oraz </w:t>
      </w:r>
      <w:r w:rsidR="00A3123B" w:rsidRPr="0028642C">
        <w:rPr>
          <w:rFonts w:ascii="Times New Roman" w:hAnsi="Times New Roman" w:cs="Times New Roman"/>
          <w:lang w:eastAsia="pl-PL"/>
        </w:rPr>
        <w:t>placówk</w:t>
      </w:r>
      <w:r w:rsidR="00DD3E35">
        <w:rPr>
          <w:rFonts w:ascii="Times New Roman" w:hAnsi="Times New Roman" w:cs="Times New Roman"/>
          <w:lang w:eastAsia="pl-PL"/>
        </w:rPr>
        <w:t>i</w:t>
      </w:r>
      <w:r w:rsidR="00A3123B" w:rsidRPr="0028642C">
        <w:rPr>
          <w:rFonts w:ascii="Times New Roman" w:hAnsi="Times New Roman" w:cs="Times New Roman"/>
          <w:lang w:eastAsia="pl-PL"/>
        </w:rPr>
        <w:t xml:space="preserve"> opieki społecznej dla dorosłych</w:t>
      </w:r>
      <w:r w:rsidR="00DD3E35">
        <w:rPr>
          <w:rFonts w:ascii="Times New Roman" w:hAnsi="Times New Roman" w:cs="Times New Roman"/>
          <w:lang w:eastAsia="pl-PL"/>
        </w:rPr>
        <w:t xml:space="preserve"> </w:t>
      </w:r>
      <w:r w:rsidR="007C2E4C">
        <w:rPr>
          <w:rFonts w:ascii="Times New Roman" w:hAnsi="Times New Roman" w:cs="Times New Roman"/>
          <w:lang w:eastAsia="pl-PL"/>
        </w:rPr>
        <w:t>–</w:t>
      </w:r>
      <w:r w:rsidR="00A3123B">
        <w:rPr>
          <w:rFonts w:ascii="Times New Roman" w:hAnsi="Times New Roman" w:cs="Times New Roman"/>
          <w:lang w:eastAsia="pl-PL"/>
        </w:rPr>
        <w:t xml:space="preserve"> </w:t>
      </w:r>
      <w:r w:rsidR="0028642C" w:rsidRPr="0028642C">
        <w:rPr>
          <w:rFonts w:ascii="Times New Roman" w:hAnsi="Times New Roman" w:cs="Times New Roman"/>
          <w:lang w:eastAsia="pl-PL"/>
        </w:rPr>
        <w:t>dostrzegając</w:t>
      </w:r>
      <w:r w:rsidR="007C2E4C">
        <w:rPr>
          <w:rFonts w:ascii="Times New Roman" w:hAnsi="Times New Roman" w:cs="Times New Roman"/>
          <w:lang w:eastAsia="pl-PL"/>
        </w:rPr>
        <w:t xml:space="preserve"> szczególny</w:t>
      </w:r>
      <w:r w:rsidR="0028642C" w:rsidRPr="0028642C">
        <w:rPr>
          <w:rFonts w:ascii="Times New Roman" w:hAnsi="Times New Roman" w:cs="Times New Roman"/>
          <w:lang w:eastAsia="pl-PL"/>
        </w:rPr>
        <w:t xml:space="preserve"> charakter</w:t>
      </w:r>
      <w:r w:rsidR="007C2E4C">
        <w:rPr>
          <w:rFonts w:ascii="Times New Roman" w:hAnsi="Times New Roman" w:cs="Times New Roman"/>
          <w:lang w:eastAsia="pl-PL"/>
        </w:rPr>
        <w:t xml:space="preserve"> ich</w:t>
      </w:r>
      <w:r w:rsidR="0028642C" w:rsidRPr="0028642C">
        <w:rPr>
          <w:rFonts w:ascii="Times New Roman" w:hAnsi="Times New Roman" w:cs="Times New Roman"/>
          <w:lang w:eastAsia="pl-PL"/>
        </w:rPr>
        <w:t xml:space="preserve"> działalności i grupę odbiorców świadczeń </w:t>
      </w:r>
      <w:r w:rsidR="003E169E" w:rsidRPr="0028642C">
        <w:rPr>
          <w:rFonts w:ascii="Times New Roman" w:hAnsi="Times New Roman" w:cs="Times New Roman"/>
          <w:lang w:eastAsia="pl-PL"/>
        </w:rPr>
        <w:t xml:space="preserve">udzielanych </w:t>
      </w:r>
      <w:r w:rsidR="0028642C" w:rsidRPr="0028642C">
        <w:rPr>
          <w:rFonts w:ascii="Times New Roman" w:hAnsi="Times New Roman" w:cs="Times New Roman"/>
          <w:lang w:eastAsia="pl-PL"/>
        </w:rPr>
        <w:t>w takich placówkach.</w:t>
      </w:r>
      <w:r w:rsidR="00D43D0C">
        <w:rPr>
          <w:rFonts w:ascii="Times New Roman" w:hAnsi="Times New Roman" w:cs="Times New Roman"/>
          <w:lang w:eastAsia="pl-PL"/>
        </w:rPr>
        <w:t xml:space="preserve"> </w:t>
      </w:r>
      <w:r w:rsidR="003B6363">
        <w:rPr>
          <w:rFonts w:ascii="Times New Roman" w:hAnsi="Times New Roman" w:cs="Times New Roman"/>
          <w:lang w:eastAsia="pl-PL"/>
        </w:rPr>
        <w:t xml:space="preserve">Organ stanowiący zróżnicował </w:t>
      </w:r>
      <w:r w:rsidR="003B6363" w:rsidRPr="003B6363">
        <w:rPr>
          <w:rFonts w:ascii="Times New Roman" w:hAnsi="Times New Roman" w:cs="Times New Roman"/>
          <w:lang w:eastAsia="pl-PL"/>
        </w:rPr>
        <w:t>sprzedaż napojów alkoholowych przeznaczonych do</w:t>
      </w:r>
      <w:r w:rsidR="00216BEE">
        <w:rPr>
          <w:rFonts w:ascii="Times New Roman" w:hAnsi="Times New Roman" w:cs="Times New Roman"/>
          <w:lang w:eastAsia="pl-PL"/>
        </w:rPr>
        <w:t> </w:t>
      </w:r>
      <w:r w:rsidR="003B6363" w:rsidRPr="003B6363">
        <w:rPr>
          <w:rFonts w:ascii="Times New Roman" w:hAnsi="Times New Roman" w:cs="Times New Roman"/>
          <w:lang w:eastAsia="pl-PL"/>
        </w:rPr>
        <w:t>spożycia poza miejscem sprzedaży (sklepy)</w:t>
      </w:r>
      <w:r w:rsidR="003B6363">
        <w:rPr>
          <w:rFonts w:ascii="Times New Roman" w:hAnsi="Times New Roman" w:cs="Times New Roman"/>
          <w:lang w:eastAsia="pl-PL"/>
        </w:rPr>
        <w:t xml:space="preserve"> oraz </w:t>
      </w:r>
      <w:r w:rsidR="003B6363" w:rsidRPr="003B6363">
        <w:rPr>
          <w:rFonts w:ascii="Times New Roman" w:hAnsi="Times New Roman" w:cs="Times New Roman"/>
          <w:lang w:eastAsia="pl-PL"/>
        </w:rPr>
        <w:t>napojów alkoholowych przeznaczonych do</w:t>
      </w:r>
      <w:r w:rsidR="00216BEE">
        <w:rPr>
          <w:rFonts w:ascii="Times New Roman" w:hAnsi="Times New Roman" w:cs="Times New Roman"/>
          <w:lang w:eastAsia="pl-PL"/>
        </w:rPr>
        <w:t> </w:t>
      </w:r>
      <w:r w:rsidR="003B6363" w:rsidRPr="003B6363">
        <w:rPr>
          <w:rFonts w:ascii="Times New Roman" w:hAnsi="Times New Roman" w:cs="Times New Roman"/>
          <w:lang w:eastAsia="pl-PL"/>
        </w:rPr>
        <w:t xml:space="preserve">spożycia </w:t>
      </w:r>
      <w:r w:rsidR="003B6363">
        <w:rPr>
          <w:rFonts w:ascii="Times New Roman" w:hAnsi="Times New Roman" w:cs="Times New Roman"/>
          <w:lang w:eastAsia="pl-PL"/>
        </w:rPr>
        <w:t xml:space="preserve">w </w:t>
      </w:r>
      <w:r w:rsidR="003B6363" w:rsidRPr="003B6363">
        <w:rPr>
          <w:rFonts w:ascii="Times New Roman" w:hAnsi="Times New Roman" w:cs="Times New Roman"/>
          <w:lang w:eastAsia="pl-PL"/>
        </w:rPr>
        <w:t>miejsc</w:t>
      </w:r>
      <w:r w:rsidR="003B6363">
        <w:rPr>
          <w:rFonts w:ascii="Times New Roman" w:hAnsi="Times New Roman" w:cs="Times New Roman"/>
          <w:lang w:eastAsia="pl-PL"/>
        </w:rPr>
        <w:t>u</w:t>
      </w:r>
      <w:r w:rsidR="003B6363" w:rsidRPr="003B6363">
        <w:rPr>
          <w:rFonts w:ascii="Times New Roman" w:hAnsi="Times New Roman" w:cs="Times New Roman"/>
          <w:lang w:eastAsia="pl-PL"/>
        </w:rPr>
        <w:t xml:space="preserve"> sprzedaży (</w:t>
      </w:r>
      <w:r w:rsidR="003B6363">
        <w:rPr>
          <w:rFonts w:ascii="Times New Roman" w:hAnsi="Times New Roman" w:cs="Times New Roman"/>
          <w:lang w:eastAsia="pl-PL"/>
        </w:rPr>
        <w:t>gastronomia</w:t>
      </w:r>
      <w:r w:rsidR="003B6363" w:rsidRPr="003B6363">
        <w:rPr>
          <w:rFonts w:ascii="Times New Roman" w:hAnsi="Times New Roman" w:cs="Times New Roman"/>
          <w:lang w:eastAsia="pl-PL"/>
        </w:rPr>
        <w:t>)</w:t>
      </w:r>
      <w:r w:rsidR="003B6363">
        <w:rPr>
          <w:rFonts w:ascii="Times New Roman" w:hAnsi="Times New Roman" w:cs="Times New Roman"/>
          <w:lang w:eastAsia="pl-PL"/>
        </w:rPr>
        <w:t xml:space="preserve"> i odmiennie w tym przypadku uregulował </w:t>
      </w:r>
      <w:r w:rsidR="003B6363" w:rsidRPr="003B6363">
        <w:rPr>
          <w:rFonts w:ascii="Times New Roman" w:hAnsi="Times New Roman" w:cs="Times New Roman"/>
          <w:lang w:eastAsia="pl-PL"/>
        </w:rPr>
        <w:t>miejsc</w:t>
      </w:r>
      <w:r w:rsidR="003B6363">
        <w:rPr>
          <w:rFonts w:ascii="Times New Roman" w:hAnsi="Times New Roman" w:cs="Times New Roman"/>
          <w:lang w:eastAsia="pl-PL"/>
        </w:rPr>
        <w:t>a</w:t>
      </w:r>
      <w:r w:rsidR="003B6363" w:rsidRPr="003B6363">
        <w:rPr>
          <w:rFonts w:ascii="Times New Roman" w:hAnsi="Times New Roman" w:cs="Times New Roman"/>
          <w:lang w:eastAsia="pl-PL"/>
        </w:rPr>
        <w:t xml:space="preserve"> i</w:t>
      </w:r>
      <w:r w:rsidR="00216BEE">
        <w:rPr>
          <w:rFonts w:ascii="Times New Roman" w:hAnsi="Times New Roman" w:cs="Times New Roman"/>
          <w:lang w:eastAsia="pl-PL"/>
        </w:rPr>
        <w:t> </w:t>
      </w:r>
      <w:r w:rsidR="003B6363" w:rsidRPr="003B6363">
        <w:rPr>
          <w:rFonts w:ascii="Times New Roman" w:hAnsi="Times New Roman" w:cs="Times New Roman"/>
          <w:lang w:eastAsia="pl-PL"/>
        </w:rPr>
        <w:t>obiekt</w:t>
      </w:r>
      <w:r w:rsidR="003B6363">
        <w:rPr>
          <w:rFonts w:ascii="Times New Roman" w:hAnsi="Times New Roman" w:cs="Times New Roman"/>
          <w:lang w:eastAsia="pl-PL"/>
        </w:rPr>
        <w:t>y</w:t>
      </w:r>
      <w:r w:rsidR="003B6363" w:rsidRPr="003B6363">
        <w:rPr>
          <w:rFonts w:ascii="Times New Roman" w:hAnsi="Times New Roman" w:cs="Times New Roman"/>
          <w:lang w:eastAsia="pl-PL"/>
        </w:rPr>
        <w:t xml:space="preserve"> podlegając</w:t>
      </w:r>
      <w:r w:rsidR="003B6363">
        <w:rPr>
          <w:rFonts w:ascii="Times New Roman" w:hAnsi="Times New Roman" w:cs="Times New Roman"/>
          <w:lang w:eastAsia="pl-PL"/>
        </w:rPr>
        <w:t>e</w:t>
      </w:r>
      <w:r w:rsidR="003B6363" w:rsidRPr="003B6363">
        <w:rPr>
          <w:rFonts w:ascii="Times New Roman" w:hAnsi="Times New Roman" w:cs="Times New Roman"/>
          <w:lang w:eastAsia="pl-PL"/>
        </w:rPr>
        <w:t xml:space="preserve"> ochronie</w:t>
      </w:r>
      <w:r w:rsidR="003B6363">
        <w:rPr>
          <w:rFonts w:ascii="Times New Roman" w:hAnsi="Times New Roman" w:cs="Times New Roman"/>
          <w:lang w:eastAsia="pl-PL"/>
        </w:rPr>
        <w:t xml:space="preserve">, wśród których </w:t>
      </w:r>
      <w:r w:rsidR="003B6363" w:rsidRPr="00797799">
        <w:rPr>
          <w:rFonts w:ascii="Times New Roman" w:hAnsi="Times New Roman" w:cs="Times New Roman"/>
          <w:lang w:eastAsia="pl-PL"/>
        </w:rPr>
        <w:t xml:space="preserve">wymienił: </w:t>
      </w:r>
      <w:r w:rsidR="00797799" w:rsidRPr="00797799">
        <w:rPr>
          <w:rFonts w:ascii="Times New Roman" w:hAnsi="Times New Roman" w:cs="Times New Roman"/>
          <w:lang w:eastAsia="pl-PL"/>
        </w:rPr>
        <w:t xml:space="preserve"> publiczną lub niepubliczną szkołę podstawową lub ponadpodstawową, młodzieżowy ośrodek wychowawczy, młodzieżowy ośrodek socjoterapii, specjalny ośrodek szkolno – wychowawczy lub specjalny ośrodek wychowawczy,  placówkę opiekuńczo – wychowawczą typu socjalizacyjnego lub interwencyjnego, placówkę leczenia uzależnień oraz Wrocławski Ośrodek Pomocy Osobom Nietrzeźwym.</w:t>
      </w:r>
    </w:p>
    <w:p w:rsidR="00652EBC" w:rsidRPr="00652EBC" w:rsidRDefault="00CC71E6" w:rsidP="00652EB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Art. 14 ust. 1 – 2a ustawy o wychowaniu w trzeźwości wprowadza </w:t>
      </w:r>
      <w:r w:rsidRPr="00CC71E6">
        <w:rPr>
          <w:rFonts w:ascii="Times New Roman" w:hAnsi="Times New Roman" w:cs="Times New Roman"/>
          <w:lang w:eastAsia="pl-PL"/>
        </w:rPr>
        <w:t>ustawowe zakazy sprzedaży, podawania i</w:t>
      </w:r>
      <w:r>
        <w:rPr>
          <w:rFonts w:ascii="Times New Roman" w:hAnsi="Times New Roman" w:cs="Times New Roman"/>
          <w:lang w:eastAsia="pl-PL"/>
        </w:rPr>
        <w:t> </w:t>
      </w:r>
      <w:r w:rsidRPr="00CC71E6">
        <w:rPr>
          <w:rFonts w:ascii="Times New Roman" w:hAnsi="Times New Roman" w:cs="Times New Roman"/>
          <w:lang w:eastAsia="pl-PL"/>
        </w:rPr>
        <w:t>spożywania napojów alkoholowych na terenach i w miejscach, i w czasie wydarzeń w nim wskazanych, a także</w:t>
      </w:r>
      <w:r>
        <w:rPr>
          <w:rFonts w:ascii="Times New Roman" w:hAnsi="Times New Roman" w:cs="Times New Roman"/>
          <w:lang w:eastAsia="pl-PL"/>
        </w:rPr>
        <w:t xml:space="preserve"> – z nielicznymi wyjątkami -</w:t>
      </w:r>
      <w:r w:rsidRPr="00CC71E6">
        <w:rPr>
          <w:rFonts w:ascii="Times New Roman" w:hAnsi="Times New Roman" w:cs="Times New Roman"/>
          <w:lang w:eastAsia="pl-PL"/>
        </w:rPr>
        <w:t xml:space="preserve"> w środkach i obiektach transportu publicznego.</w:t>
      </w:r>
      <w:r w:rsidR="00DF4387">
        <w:rPr>
          <w:rFonts w:ascii="Times New Roman" w:hAnsi="Times New Roman" w:cs="Times New Roman"/>
          <w:lang w:eastAsia="pl-PL"/>
        </w:rPr>
        <w:t xml:space="preserve"> </w:t>
      </w:r>
      <w:r w:rsidR="00DF4387" w:rsidRPr="00DF4387">
        <w:rPr>
          <w:rFonts w:ascii="Times New Roman" w:hAnsi="Times New Roman" w:cs="Times New Roman"/>
          <w:lang w:eastAsia="pl-PL"/>
        </w:rPr>
        <w:t>W </w:t>
      </w:r>
      <w:hyperlink r:id="rId9" w:anchor="/document/16791032?unitId=art(14)ust(3)&amp;cm=DOCUMENT" w:tgtFrame="_blank" w:history="1">
        <w:r w:rsidR="00DF4387" w:rsidRPr="00DF4387">
          <w:rPr>
            <w:rFonts w:ascii="Times New Roman" w:hAnsi="Times New Roman"/>
            <w:lang w:eastAsia="pl-PL"/>
          </w:rPr>
          <w:t>art.</w:t>
        </w:r>
        <w:r w:rsidR="0032378A">
          <w:rPr>
            <w:rFonts w:ascii="Times New Roman" w:hAnsi="Times New Roman"/>
            <w:lang w:eastAsia="pl-PL"/>
          </w:rPr>
          <w:t> </w:t>
        </w:r>
        <w:r w:rsidR="00DF4387" w:rsidRPr="00DF4387">
          <w:rPr>
            <w:rFonts w:ascii="Times New Roman" w:hAnsi="Times New Roman"/>
            <w:lang w:eastAsia="pl-PL"/>
          </w:rPr>
          <w:t>14 ust. 3–4</w:t>
        </w:r>
      </w:hyperlink>
      <w:r w:rsidR="00DF4387" w:rsidRPr="00DF4387">
        <w:rPr>
          <w:rFonts w:ascii="Times New Roman" w:hAnsi="Times New Roman" w:cs="Times New Roman"/>
          <w:lang w:eastAsia="pl-PL"/>
        </w:rPr>
        <w:t> zostały sformułowane zakazy sprzedaży, podawania i spożywania napojów zawierających więcej niż 18% alkoholu w ośrodkach szkoleniowych i w domach wypoczynkowych. Sprzedaż, podawanie i spożywanie napojów zawierających więcej niż 4,5% alkoholu, zgodnie z</w:t>
      </w:r>
      <w:r w:rsidR="00652EBC">
        <w:rPr>
          <w:rFonts w:ascii="Times New Roman" w:hAnsi="Times New Roman" w:cs="Times New Roman"/>
          <w:lang w:eastAsia="pl-PL"/>
        </w:rPr>
        <w:t> </w:t>
      </w:r>
      <w:r w:rsidR="00DF4387" w:rsidRPr="00DF4387">
        <w:rPr>
          <w:rFonts w:ascii="Times New Roman" w:hAnsi="Times New Roman" w:cs="Times New Roman"/>
          <w:lang w:eastAsia="pl-PL"/>
        </w:rPr>
        <w:t>art.</w:t>
      </w:r>
      <w:r w:rsidR="00652EBC">
        <w:rPr>
          <w:rFonts w:ascii="Times New Roman" w:hAnsi="Times New Roman" w:cs="Times New Roman"/>
          <w:lang w:eastAsia="pl-PL"/>
        </w:rPr>
        <w:t> </w:t>
      </w:r>
      <w:r w:rsidR="00DF4387" w:rsidRPr="00DF4387">
        <w:rPr>
          <w:rFonts w:ascii="Times New Roman" w:hAnsi="Times New Roman" w:cs="Times New Roman"/>
          <w:lang w:eastAsia="pl-PL"/>
        </w:rPr>
        <w:t>14</w:t>
      </w:r>
      <w:r w:rsidR="00652EBC">
        <w:rPr>
          <w:rFonts w:ascii="Times New Roman" w:hAnsi="Times New Roman" w:cs="Times New Roman"/>
          <w:lang w:eastAsia="pl-PL"/>
        </w:rPr>
        <w:t> </w:t>
      </w:r>
      <w:r w:rsidR="00DF4387" w:rsidRPr="00DF4387">
        <w:rPr>
          <w:rFonts w:ascii="Times New Roman" w:hAnsi="Times New Roman" w:cs="Times New Roman"/>
          <w:lang w:eastAsia="pl-PL"/>
        </w:rPr>
        <w:t>ust. 5, może się odbywać na imprezach na otwartym powietrzu oraz na stadionach i innych obiektach sportowych tylko za zezwoleniem i tylko w miejscach do tego wyznaczonych</w:t>
      </w:r>
      <w:r w:rsidR="000F7280">
        <w:rPr>
          <w:rFonts w:ascii="Times New Roman" w:hAnsi="Times New Roman" w:cs="Times New Roman"/>
          <w:lang w:eastAsia="pl-PL"/>
        </w:rPr>
        <w:t xml:space="preserve">. </w:t>
      </w:r>
    </w:p>
    <w:p w:rsidR="003061F3" w:rsidRDefault="001D1D91" w:rsidP="001D1D9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5952A5">
        <w:rPr>
          <w:rFonts w:ascii="Times New Roman" w:hAnsi="Times New Roman" w:cs="Times New Roman"/>
          <w:lang w:eastAsia="pl-PL"/>
        </w:rPr>
        <w:t xml:space="preserve"> orzecznictwie </w:t>
      </w:r>
      <w:r>
        <w:rPr>
          <w:rFonts w:ascii="Times New Roman" w:hAnsi="Times New Roman" w:cs="Times New Roman"/>
          <w:lang w:eastAsia="pl-PL"/>
        </w:rPr>
        <w:t>z</w:t>
      </w:r>
      <w:r w:rsidR="005952A5" w:rsidRPr="005952A5">
        <w:rPr>
          <w:rFonts w:ascii="Times New Roman" w:hAnsi="Times New Roman" w:cs="Times New Roman"/>
          <w:lang w:eastAsia="pl-PL"/>
        </w:rPr>
        <w:t>a</w:t>
      </w:r>
      <w:r w:rsidR="005952A5">
        <w:rPr>
          <w:rFonts w:ascii="Times New Roman" w:hAnsi="Times New Roman" w:cs="Times New Roman"/>
          <w:lang w:eastAsia="pl-PL"/>
        </w:rPr>
        <w:t> </w:t>
      </w:r>
      <w:r w:rsidR="005952A5" w:rsidRPr="005952A5">
        <w:rPr>
          <w:rFonts w:ascii="Times New Roman" w:hAnsi="Times New Roman" w:cs="Times New Roman"/>
          <w:lang w:eastAsia="pl-PL"/>
        </w:rPr>
        <w:t>obiekty chronione uznaje się zazwyczaj obiekty wskazane w art. 14 ust. 1 ustawy o</w:t>
      </w:r>
      <w:r>
        <w:rPr>
          <w:rFonts w:ascii="Times New Roman" w:hAnsi="Times New Roman" w:cs="Times New Roman"/>
          <w:lang w:eastAsia="pl-PL"/>
        </w:rPr>
        <w:t> </w:t>
      </w:r>
      <w:r w:rsidR="005952A5" w:rsidRPr="005952A5">
        <w:rPr>
          <w:rFonts w:ascii="Times New Roman" w:hAnsi="Times New Roman" w:cs="Times New Roman"/>
          <w:lang w:eastAsia="pl-PL"/>
        </w:rPr>
        <w:t>wychowaniu w trzeźwości i</w:t>
      </w:r>
      <w:r w:rsidR="005952A5">
        <w:rPr>
          <w:rFonts w:ascii="Times New Roman" w:hAnsi="Times New Roman" w:cs="Times New Roman"/>
          <w:lang w:eastAsia="pl-PL"/>
        </w:rPr>
        <w:t> </w:t>
      </w:r>
      <w:r w:rsidR="005952A5" w:rsidRPr="005952A5">
        <w:rPr>
          <w:rFonts w:ascii="Times New Roman" w:hAnsi="Times New Roman" w:cs="Times New Roman"/>
          <w:lang w:eastAsia="pl-PL"/>
        </w:rPr>
        <w:t>przeciwdziałaniu alkoholizmowi</w:t>
      </w:r>
      <w:r w:rsidR="005952A5"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lang w:eastAsia="pl-PL"/>
        </w:rPr>
        <w:t>Zgodnie z doktryną r</w:t>
      </w:r>
      <w:r w:rsidR="005952A5" w:rsidRPr="005952A5">
        <w:rPr>
          <w:rFonts w:ascii="Times New Roman" w:hAnsi="Times New Roman" w:cs="Times New Roman"/>
          <w:lang w:eastAsia="pl-PL"/>
        </w:rPr>
        <w:t>ada gminy powinna odnosić się do</w:t>
      </w:r>
      <w:r>
        <w:rPr>
          <w:rFonts w:ascii="Times New Roman" w:hAnsi="Times New Roman" w:cs="Times New Roman"/>
          <w:lang w:eastAsia="pl-PL"/>
        </w:rPr>
        <w:t> </w:t>
      </w:r>
      <w:r w:rsidR="005952A5" w:rsidRPr="005952A5">
        <w:rPr>
          <w:rFonts w:ascii="Times New Roman" w:hAnsi="Times New Roman" w:cs="Times New Roman"/>
          <w:lang w:eastAsia="pl-PL"/>
        </w:rPr>
        <w:t>miejsc, obiektów, które z uwagi na swój szczególny charakter powinny być objęte ochroną. Możliwość ta uzależniona jest od wykazania szczególnego charakteru danego miejsca, które podlega ochronie</w:t>
      </w:r>
      <w:r w:rsidR="00DB7D51">
        <w:rPr>
          <w:rFonts w:ascii="Times New Roman" w:hAnsi="Times New Roman" w:cs="Times New Roman"/>
          <w:lang w:eastAsia="pl-PL"/>
        </w:rPr>
        <w:t xml:space="preserve">. </w:t>
      </w:r>
      <w:r w:rsidR="005952A5">
        <w:rPr>
          <w:rFonts w:ascii="Times New Roman" w:hAnsi="Times New Roman" w:cs="Times New Roman"/>
          <w:lang w:eastAsia="pl-PL"/>
        </w:rPr>
        <w:t>I w</w:t>
      </w:r>
      <w:r w:rsidR="00216BEE">
        <w:rPr>
          <w:rFonts w:ascii="Times New Roman" w:hAnsi="Times New Roman" w:cs="Times New Roman"/>
          <w:lang w:eastAsia="pl-PL"/>
        </w:rPr>
        <w:t>łaśnie ze względu na ich charakter</w:t>
      </w:r>
      <w:r w:rsidR="00DB7D51">
        <w:rPr>
          <w:rFonts w:ascii="Times New Roman" w:hAnsi="Times New Roman" w:cs="Times New Roman"/>
          <w:lang w:eastAsia="pl-PL"/>
        </w:rPr>
        <w:t xml:space="preserve">, na podstawie delegacji ustawowej zawartej w art. 14 ust. 6 ustawy o wychowaniu w trzeźwości, </w:t>
      </w:r>
      <w:r w:rsidR="00DB7D51" w:rsidRPr="00DB7D51">
        <w:rPr>
          <w:rFonts w:ascii="Times New Roman" w:hAnsi="Times New Roman" w:cs="Times New Roman"/>
          <w:lang w:eastAsia="pl-PL"/>
        </w:rPr>
        <w:t xml:space="preserve">projekt uchwały </w:t>
      </w:r>
      <w:r w:rsidR="00CE4B87">
        <w:rPr>
          <w:rFonts w:ascii="Times New Roman" w:hAnsi="Times New Roman" w:cs="Times New Roman"/>
          <w:lang w:eastAsia="pl-PL"/>
        </w:rPr>
        <w:t>ustanawia</w:t>
      </w:r>
      <w:r w:rsidR="00291712">
        <w:rPr>
          <w:rFonts w:ascii="Times New Roman" w:hAnsi="Times New Roman" w:cs="Times New Roman"/>
          <w:lang w:eastAsia="pl-PL"/>
        </w:rPr>
        <w:t xml:space="preserve"> </w:t>
      </w:r>
      <w:r w:rsidR="00DD3E35">
        <w:rPr>
          <w:rFonts w:ascii="Times New Roman" w:hAnsi="Times New Roman" w:cs="Times New Roman"/>
          <w:lang w:eastAsia="pl-PL"/>
        </w:rPr>
        <w:t xml:space="preserve">stały zakaz </w:t>
      </w:r>
      <w:r w:rsidR="00DD3E35" w:rsidRPr="00DD3E35">
        <w:rPr>
          <w:rFonts w:ascii="Times New Roman" w:hAnsi="Times New Roman" w:cs="Times New Roman"/>
          <w:lang w:eastAsia="pl-PL"/>
        </w:rPr>
        <w:t>sprzedaży, podawania, spożywania oraz wnoszenia napojów alkoholowych</w:t>
      </w:r>
      <w:r w:rsidR="00DD3E35">
        <w:rPr>
          <w:rFonts w:ascii="Times New Roman" w:hAnsi="Times New Roman" w:cs="Times New Roman"/>
          <w:lang w:eastAsia="pl-PL"/>
        </w:rPr>
        <w:t xml:space="preserve"> na teren domów pomocy społecznej</w:t>
      </w:r>
      <w:r w:rsidR="00CC18B0">
        <w:rPr>
          <w:rFonts w:ascii="Times New Roman" w:hAnsi="Times New Roman" w:cs="Times New Roman"/>
          <w:lang w:eastAsia="pl-PL"/>
        </w:rPr>
        <w:t xml:space="preserve"> (dalej w</w:t>
      </w:r>
      <w:r w:rsidR="00216BEE">
        <w:rPr>
          <w:rFonts w:ascii="Times New Roman" w:hAnsi="Times New Roman" w:cs="Times New Roman"/>
          <w:lang w:eastAsia="pl-PL"/>
        </w:rPr>
        <w:t> </w:t>
      </w:r>
      <w:r w:rsidR="00CC18B0">
        <w:rPr>
          <w:rFonts w:ascii="Times New Roman" w:hAnsi="Times New Roman" w:cs="Times New Roman"/>
          <w:lang w:eastAsia="pl-PL"/>
        </w:rPr>
        <w:t xml:space="preserve">skrócie także: </w:t>
      </w:r>
      <w:r w:rsidR="001F5277">
        <w:rPr>
          <w:rFonts w:ascii="Times New Roman" w:hAnsi="Times New Roman" w:cs="Times New Roman"/>
          <w:lang w:eastAsia="pl-PL"/>
        </w:rPr>
        <w:t>„</w:t>
      </w:r>
      <w:proofErr w:type="spellStart"/>
      <w:r w:rsidR="001F5277">
        <w:rPr>
          <w:rFonts w:ascii="Times New Roman" w:hAnsi="Times New Roman" w:cs="Times New Roman"/>
          <w:lang w:eastAsia="pl-PL"/>
        </w:rPr>
        <w:t>dps</w:t>
      </w:r>
      <w:proofErr w:type="spellEnd"/>
      <w:r w:rsidR="001F5277">
        <w:rPr>
          <w:rFonts w:ascii="Times New Roman" w:hAnsi="Times New Roman" w:cs="Times New Roman"/>
          <w:lang w:eastAsia="pl-PL"/>
        </w:rPr>
        <w:t>”</w:t>
      </w:r>
      <w:r w:rsidR="00CC18B0">
        <w:rPr>
          <w:rFonts w:ascii="Times New Roman" w:hAnsi="Times New Roman" w:cs="Times New Roman"/>
          <w:lang w:eastAsia="pl-PL"/>
        </w:rPr>
        <w:t xml:space="preserve">) </w:t>
      </w:r>
      <w:r w:rsidR="00DD3E35">
        <w:rPr>
          <w:rFonts w:ascii="Times New Roman" w:hAnsi="Times New Roman" w:cs="Times New Roman"/>
          <w:lang w:eastAsia="pl-PL"/>
        </w:rPr>
        <w:t>zlokalizowanych we</w:t>
      </w:r>
      <w:r w:rsidR="00DF34DD">
        <w:rPr>
          <w:rFonts w:ascii="Times New Roman" w:hAnsi="Times New Roman" w:cs="Times New Roman"/>
          <w:lang w:eastAsia="pl-PL"/>
        </w:rPr>
        <w:t> </w:t>
      </w:r>
      <w:r w:rsidR="00DD3E35">
        <w:rPr>
          <w:rFonts w:ascii="Times New Roman" w:hAnsi="Times New Roman" w:cs="Times New Roman"/>
          <w:lang w:eastAsia="pl-PL"/>
        </w:rPr>
        <w:t xml:space="preserve">Wrocławiu. </w:t>
      </w:r>
    </w:p>
    <w:p w:rsidR="00DF34DD" w:rsidRDefault="00084726" w:rsidP="001D1D91">
      <w:pPr>
        <w:spacing w:before="120"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N</w:t>
      </w:r>
      <w:r w:rsidR="003061F3">
        <w:rPr>
          <w:rFonts w:ascii="Times New Roman" w:hAnsi="Times New Roman" w:cs="Times New Roman"/>
          <w:lang w:eastAsia="pl-PL"/>
        </w:rPr>
        <w:t>iezależnie od typu</w:t>
      </w:r>
      <w:r w:rsidR="00BE051A">
        <w:rPr>
          <w:rFonts w:ascii="Times New Roman" w:hAnsi="Times New Roman" w:cs="Times New Roman"/>
          <w:lang w:eastAsia="pl-PL"/>
        </w:rPr>
        <w:t xml:space="preserve"> </w:t>
      </w:r>
      <w:r w:rsidR="00D71EF3">
        <w:rPr>
          <w:rFonts w:ascii="Times New Roman" w:hAnsi="Times New Roman" w:cs="Times New Roman"/>
          <w:lang w:eastAsia="pl-PL"/>
        </w:rPr>
        <w:t xml:space="preserve">domu </w:t>
      </w:r>
      <w:r w:rsidR="00D71EF3" w:rsidRPr="003061F3">
        <w:rPr>
          <w:rFonts w:ascii="Times New Roman" w:hAnsi="Times New Roman" w:cs="Times New Roman"/>
          <w:lang w:eastAsia="pl-PL"/>
        </w:rPr>
        <w:t>pomocy społecznej</w:t>
      </w:r>
      <w:r w:rsidR="003061F3">
        <w:rPr>
          <w:rFonts w:ascii="Times New Roman" w:hAnsi="Times New Roman" w:cs="Times New Roman"/>
          <w:lang w:eastAsia="pl-PL"/>
        </w:rPr>
        <w:t>, podstawowymi usługami</w:t>
      </w:r>
      <w:r w:rsidR="00D71EF3">
        <w:rPr>
          <w:rFonts w:ascii="Times New Roman" w:hAnsi="Times New Roman" w:cs="Times New Roman"/>
          <w:lang w:eastAsia="pl-PL"/>
        </w:rPr>
        <w:t xml:space="preserve"> w nich</w:t>
      </w:r>
      <w:r w:rsidR="003061F3">
        <w:rPr>
          <w:rFonts w:ascii="Times New Roman" w:hAnsi="Times New Roman" w:cs="Times New Roman"/>
          <w:lang w:eastAsia="pl-PL"/>
        </w:rPr>
        <w:t xml:space="preserve"> świadczonymi są </w:t>
      </w:r>
      <w:r w:rsidR="003061F3" w:rsidRPr="003061F3">
        <w:rPr>
          <w:rFonts w:ascii="Times New Roman" w:hAnsi="Times New Roman" w:cs="Times New Roman"/>
          <w:lang w:eastAsia="pl-PL"/>
        </w:rPr>
        <w:t>usługi bytowe, opiekuńcze</w:t>
      </w:r>
      <w:r w:rsidR="003061F3">
        <w:rPr>
          <w:rFonts w:ascii="Times New Roman" w:hAnsi="Times New Roman" w:cs="Times New Roman"/>
          <w:lang w:eastAsia="pl-PL"/>
        </w:rPr>
        <w:t xml:space="preserve"> i</w:t>
      </w:r>
      <w:r w:rsidR="00BE051A">
        <w:rPr>
          <w:rFonts w:ascii="Times New Roman" w:hAnsi="Times New Roman" w:cs="Times New Roman"/>
          <w:lang w:eastAsia="pl-PL"/>
        </w:rPr>
        <w:t> </w:t>
      </w:r>
      <w:r w:rsidR="003061F3" w:rsidRPr="003061F3">
        <w:rPr>
          <w:rFonts w:ascii="Times New Roman" w:hAnsi="Times New Roman" w:cs="Times New Roman"/>
          <w:lang w:eastAsia="pl-PL"/>
        </w:rPr>
        <w:t>wspomagające</w:t>
      </w:r>
      <w:r w:rsidR="00BE051A">
        <w:rPr>
          <w:rFonts w:ascii="Times New Roman" w:hAnsi="Times New Roman" w:cs="Times New Roman"/>
          <w:lang w:eastAsia="pl-PL"/>
        </w:rPr>
        <w:t>,</w:t>
      </w:r>
      <w:r w:rsidR="003061F3" w:rsidRPr="003061F3">
        <w:rPr>
          <w:rFonts w:ascii="Times New Roman" w:hAnsi="Times New Roman" w:cs="Times New Roman"/>
          <w:lang w:eastAsia="pl-PL"/>
        </w:rPr>
        <w:t xml:space="preserve"> w zakresie i formach wynikających z indywidualnych potrzeb osób w </w:t>
      </w:r>
      <w:r w:rsidR="00CC18B0">
        <w:rPr>
          <w:rFonts w:ascii="Times New Roman" w:hAnsi="Times New Roman" w:cs="Times New Roman"/>
          <w:lang w:eastAsia="pl-PL"/>
        </w:rPr>
        <w:t>nich</w:t>
      </w:r>
      <w:r w:rsidR="003061F3" w:rsidRPr="003061F3">
        <w:rPr>
          <w:rFonts w:ascii="Times New Roman" w:hAnsi="Times New Roman" w:cs="Times New Roman"/>
          <w:lang w:eastAsia="pl-PL"/>
        </w:rPr>
        <w:t xml:space="preserve"> przebywających. </w:t>
      </w:r>
      <w:r w:rsidR="00CC18B0">
        <w:rPr>
          <w:rFonts w:ascii="Times New Roman" w:hAnsi="Times New Roman" w:cs="Times New Roman"/>
          <w:lang w:eastAsia="pl-PL"/>
        </w:rPr>
        <w:t xml:space="preserve">W </w:t>
      </w:r>
      <w:r w:rsidR="004770FD">
        <w:rPr>
          <w:rFonts w:ascii="Times New Roman" w:hAnsi="Times New Roman" w:cs="Times New Roman"/>
          <w:lang w:eastAsia="pl-PL"/>
        </w:rPr>
        <w:t>domach pomocy społecznej</w:t>
      </w:r>
      <w:r w:rsidR="00CC18B0">
        <w:rPr>
          <w:rFonts w:ascii="Times New Roman" w:hAnsi="Times New Roman" w:cs="Times New Roman"/>
          <w:lang w:eastAsia="pl-PL"/>
        </w:rPr>
        <w:t xml:space="preserve"> zamie</w:t>
      </w:r>
      <w:r w:rsidR="003061F3" w:rsidRPr="003061F3">
        <w:rPr>
          <w:rFonts w:ascii="Times New Roman" w:hAnsi="Times New Roman" w:cs="Times New Roman"/>
          <w:lang w:eastAsia="pl-PL"/>
        </w:rPr>
        <w:t>szkują osoby wymagające całodobowej opieki z</w:t>
      </w:r>
      <w:r w:rsidR="004770FD">
        <w:rPr>
          <w:rFonts w:ascii="Times New Roman" w:hAnsi="Times New Roman" w:cs="Times New Roman"/>
          <w:lang w:eastAsia="pl-PL"/>
        </w:rPr>
        <w:t> </w:t>
      </w:r>
      <w:r w:rsidR="003061F3" w:rsidRPr="003061F3">
        <w:rPr>
          <w:rFonts w:ascii="Times New Roman" w:hAnsi="Times New Roman" w:cs="Times New Roman"/>
          <w:lang w:eastAsia="pl-PL"/>
        </w:rPr>
        <w:t>powodu wieku, choroby lub niepełnosprawności, niemogące samodzielnie funkcjonować w</w:t>
      </w:r>
      <w:r w:rsidR="004770FD">
        <w:rPr>
          <w:rFonts w:ascii="Times New Roman" w:hAnsi="Times New Roman" w:cs="Times New Roman"/>
          <w:lang w:eastAsia="pl-PL"/>
        </w:rPr>
        <w:t> </w:t>
      </w:r>
      <w:r w:rsidR="003061F3" w:rsidRPr="003061F3">
        <w:rPr>
          <w:rFonts w:ascii="Times New Roman" w:hAnsi="Times New Roman" w:cs="Times New Roman"/>
          <w:lang w:eastAsia="pl-PL"/>
        </w:rPr>
        <w:t xml:space="preserve">codziennym życiu. </w:t>
      </w:r>
      <w:r w:rsidR="005A1744">
        <w:rPr>
          <w:rFonts w:ascii="Times New Roman" w:hAnsi="Times New Roman" w:cs="Times New Roman"/>
          <w:lang w:eastAsia="pl-PL"/>
        </w:rPr>
        <w:t>U</w:t>
      </w:r>
      <w:r w:rsidR="00CC18B0">
        <w:rPr>
          <w:rFonts w:ascii="Times New Roman" w:hAnsi="Times New Roman" w:cs="Times New Roman"/>
          <w:lang w:eastAsia="pl-PL"/>
        </w:rPr>
        <w:t xml:space="preserve">zyskanie tego świadczenia jest prawem osoby spełniającej warunki określone przez </w:t>
      </w:r>
      <w:r w:rsidR="001D1D91">
        <w:rPr>
          <w:rFonts w:ascii="Times New Roman" w:hAnsi="Times New Roman" w:cs="Times New Roman"/>
          <w:lang w:eastAsia="pl-PL"/>
        </w:rPr>
        <w:t>u</w:t>
      </w:r>
      <w:r w:rsidR="00CC18B0">
        <w:rPr>
          <w:rFonts w:ascii="Times New Roman" w:hAnsi="Times New Roman" w:cs="Times New Roman"/>
          <w:lang w:eastAsia="pl-PL"/>
        </w:rPr>
        <w:t>stawodawcę.</w:t>
      </w:r>
      <w:r w:rsidR="00D71EF3">
        <w:rPr>
          <w:rFonts w:ascii="Times New Roman" w:hAnsi="Times New Roman" w:cs="Times New Roman"/>
          <w:lang w:eastAsia="pl-PL"/>
        </w:rPr>
        <w:t xml:space="preserve"> </w:t>
      </w:r>
    </w:p>
    <w:p w:rsidR="005A1744" w:rsidRDefault="000D148A" w:rsidP="001D1D91">
      <w:pPr>
        <w:spacing w:before="120" w:after="120" w:line="360" w:lineRule="auto"/>
        <w:jc w:val="both"/>
        <w:rPr>
          <w:rFonts w:ascii="Times New Roman" w:hAnsi="Times New Roman" w:cs="Times New Roman"/>
          <w:lang w:eastAsia="pl-PL"/>
        </w:rPr>
      </w:pPr>
      <w:r w:rsidRPr="00D71EF3">
        <w:rPr>
          <w:rFonts w:ascii="Times New Roman" w:hAnsi="Times New Roman" w:cs="Times New Roman"/>
          <w:lang w:eastAsia="pl-PL"/>
        </w:rPr>
        <w:t>Dom pomocy społecznej</w:t>
      </w:r>
      <w:r>
        <w:rPr>
          <w:rFonts w:ascii="Times New Roman" w:hAnsi="Times New Roman" w:cs="Times New Roman"/>
          <w:lang w:eastAsia="pl-PL"/>
        </w:rPr>
        <w:t>,</w:t>
      </w:r>
      <w:r w:rsidRPr="00D71EF3">
        <w:rPr>
          <w:rFonts w:ascii="Times New Roman" w:hAnsi="Times New Roman" w:cs="Times New Roman"/>
          <w:lang w:eastAsia="pl-PL"/>
        </w:rPr>
        <w:t xml:space="preserve"> będący miejscem wieloletniego zamieszkania (najczęściej do</w:t>
      </w:r>
      <w:r>
        <w:rPr>
          <w:rFonts w:ascii="Times New Roman" w:hAnsi="Times New Roman" w:cs="Times New Roman"/>
          <w:lang w:eastAsia="pl-PL"/>
        </w:rPr>
        <w:t> </w:t>
      </w:r>
      <w:r w:rsidRPr="00D71EF3">
        <w:rPr>
          <w:rFonts w:ascii="Times New Roman" w:hAnsi="Times New Roman" w:cs="Times New Roman"/>
          <w:lang w:eastAsia="pl-PL"/>
        </w:rPr>
        <w:t xml:space="preserve">końca życia), musi zapewniać warunki zbliżone do tych jakie budowane są w życiu osobistym </w:t>
      </w:r>
      <w:r>
        <w:rPr>
          <w:rFonts w:ascii="Times New Roman" w:hAnsi="Times New Roman" w:cs="Times New Roman"/>
          <w:lang w:eastAsia="pl-PL"/>
        </w:rPr>
        <w:t>każdego</w:t>
      </w:r>
      <w:r w:rsidRPr="00D71EF3">
        <w:rPr>
          <w:rFonts w:ascii="Times New Roman" w:hAnsi="Times New Roman" w:cs="Times New Roman"/>
          <w:lang w:eastAsia="pl-PL"/>
        </w:rPr>
        <w:t xml:space="preserve"> człowieka.</w:t>
      </w:r>
      <w:r>
        <w:rPr>
          <w:rFonts w:ascii="Times New Roman" w:hAnsi="Times New Roman" w:cs="Times New Roman"/>
          <w:lang w:eastAsia="pl-PL"/>
        </w:rPr>
        <w:t xml:space="preserve"> </w:t>
      </w:r>
      <w:r w:rsidR="005A1744">
        <w:rPr>
          <w:rFonts w:ascii="Times New Roman" w:hAnsi="Times New Roman" w:cs="Times New Roman"/>
          <w:lang w:eastAsia="pl-PL"/>
        </w:rPr>
        <w:t>O</w:t>
      </w:r>
      <w:r w:rsidR="00253DA8">
        <w:rPr>
          <w:rFonts w:ascii="Times New Roman" w:hAnsi="Times New Roman" w:cs="Times New Roman"/>
          <w:lang w:eastAsia="pl-PL"/>
        </w:rPr>
        <w:t>s</w:t>
      </w:r>
      <w:r w:rsidR="005A1744">
        <w:rPr>
          <w:rFonts w:ascii="Times New Roman" w:hAnsi="Times New Roman" w:cs="Times New Roman"/>
          <w:lang w:eastAsia="pl-PL"/>
        </w:rPr>
        <w:t>o</w:t>
      </w:r>
      <w:r w:rsidR="00253DA8">
        <w:rPr>
          <w:rFonts w:ascii="Times New Roman" w:hAnsi="Times New Roman" w:cs="Times New Roman"/>
          <w:lang w:eastAsia="pl-PL"/>
        </w:rPr>
        <w:t>b</w:t>
      </w:r>
      <w:r w:rsidR="005A1744">
        <w:rPr>
          <w:rFonts w:ascii="Times New Roman" w:hAnsi="Times New Roman" w:cs="Times New Roman"/>
          <w:lang w:eastAsia="pl-PL"/>
        </w:rPr>
        <w:t>y</w:t>
      </w:r>
      <w:r w:rsidR="00253DA8">
        <w:rPr>
          <w:rFonts w:ascii="Times New Roman" w:hAnsi="Times New Roman" w:cs="Times New Roman"/>
          <w:lang w:eastAsia="pl-PL"/>
        </w:rPr>
        <w:t xml:space="preserve"> uzależnion</w:t>
      </w:r>
      <w:r w:rsidR="005A1744">
        <w:rPr>
          <w:rFonts w:ascii="Times New Roman" w:hAnsi="Times New Roman" w:cs="Times New Roman"/>
          <w:lang w:eastAsia="pl-PL"/>
        </w:rPr>
        <w:t>e</w:t>
      </w:r>
      <w:r w:rsidR="009361BA">
        <w:rPr>
          <w:rFonts w:ascii="Times New Roman" w:hAnsi="Times New Roman" w:cs="Times New Roman"/>
          <w:lang w:eastAsia="pl-PL"/>
        </w:rPr>
        <w:t xml:space="preserve"> od alkoholu przebywając</w:t>
      </w:r>
      <w:r w:rsidR="005A1744">
        <w:rPr>
          <w:rFonts w:ascii="Times New Roman" w:hAnsi="Times New Roman" w:cs="Times New Roman"/>
          <w:lang w:eastAsia="pl-PL"/>
        </w:rPr>
        <w:t>e</w:t>
      </w:r>
      <w:r w:rsidR="009361BA">
        <w:rPr>
          <w:rFonts w:ascii="Times New Roman" w:hAnsi="Times New Roman" w:cs="Times New Roman"/>
          <w:lang w:eastAsia="pl-PL"/>
        </w:rPr>
        <w:t xml:space="preserve"> w domach pomocy społecznej, poza podstawowymi usługami mogą korzystać z</w:t>
      </w:r>
      <w:r w:rsidR="005A1744">
        <w:rPr>
          <w:rFonts w:ascii="Times New Roman" w:hAnsi="Times New Roman" w:cs="Times New Roman"/>
          <w:lang w:eastAsia="pl-PL"/>
        </w:rPr>
        <w:t xml:space="preserve"> terapii, oddziaływań rehabilitacyjnych i </w:t>
      </w:r>
      <w:r w:rsidR="005A1744" w:rsidRPr="005A1744">
        <w:rPr>
          <w:rFonts w:ascii="Times New Roman" w:hAnsi="Times New Roman" w:cs="Times New Roman"/>
          <w:lang w:eastAsia="pl-PL"/>
        </w:rPr>
        <w:t>działań motyw</w:t>
      </w:r>
      <w:r w:rsidR="005A1744">
        <w:rPr>
          <w:rFonts w:ascii="Times New Roman" w:hAnsi="Times New Roman" w:cs="Times New Roman"/>
          <w:lang w:eastAsia="pl-PL"/>
        </w:rPr>
        <w:t>acyjnych</w:t>
      </w:r>
      <w:r w:rsidR="005A1744" w:rsidRPr="005A1744">
        <w:rPr>
          <w:rFonts w:ascii="Times New Roman" w:hAnsi="Times New Roman" w:cs="Times New Roman"/>
          <w:lang w:eastAsia="pl-PL"/>
        </w:rPr>
        <w:t>, mających na celu utrzymywanie abstynencji lub ograniczanie spożywania alkoholu</w:t>
      </w:r>
      <w:r w:rsidR="005A1744">
        <w:rPr>
          <w:rFonts w:ascii="Times New Roman" w:hAnsi="Times New Roman" w:cs="Times New Roman"/>
          <w:lang w:eastAsia="pl-PL"/>
        </w:rPr>
        <w:t xml:space="preserve">. </w:t>
      </w:r>
      <w:r w:rsidR="00253DA8">
        <w:rPr>
          <w:rFonts w:ascii="Times New Roman" w:hAnsi="Times New Roman" w:cs="Times New Roman"/>
          <w:lang w:eastAsia="pl-PL"/>
        </w:rPr>
        <w:t>W aktach prawnych regulujących materię związaną z działalnością domów pomocy społecznej nie</w:t>
      </w:r>
      <w:r w:rsidR="00D64B06">
        <w:rPr>
          <w:rFonts w:ascii="Times New Roman" w:hAnsi="Times New Roman" w:cs="Times New Roman"/>
          <w:lang w:eastAsia="pl-PL"/>
        </w:rPr>
        <w:t> </w:t>
      </w:r>
      <w:r w:rsidR="00253DA8">
        <w:rPr>
          <w:rFonts w:ascii="Times New Roman" w:hAnsi="Times New Roman" w:cs="Times New Roman"/>
          <w:lang w:eastAsia="pl-PL"/>
        </w:rPr>
        <w:t xml:space="preserve">przewidziano </w:t>
      </w:r>
      <w:r w:rsidR="009361BA">
        <w:rPr>
          <w:rFonts w:ascii="Times New Roman" w:hAnsi="Times New Roman" w:cs="Times New Roman"/>
          <w:lang w:eastAsia="pl-PL"/>
        </w:rPr>
        <w:t xml:space="preserve">jednak </w:t>
      </w:r>
      <w:r w:rsidR="00253DA8">
        <w:rPr>
          <w:rFonts w:ascii="Times New Roman" w:hAnsi="Times New Roman" w:cs="Times New Roman"/>
          <w:lang w:eastAsia="pl-PL"/>
        </w:rPr>
        <w:t>przepisów uprawniających osoby kierujące DPS do wprowadzenia w</w:t>
      </w:r>
      <w:r w:rsidR="009361BA">
        <w:rPr>
          <w:rFonts w:ascii="Times New Roman" w:hAnsi="Times New Roman" w:cs="Times New Roman"/>
          <w:lang w:eastAsia="pl-PL"/>
        </w:rPr>
        <w:t> </w:t>
      </w:r>
      <w:r w:rsidR="00253DA8">
        <w:rPr>
          <w:rFonts w:ascii="Times New Roman" w:hAnsi="Times New Roman" w:cs="Times New Roman"/>
          <w:lang w:eastAsia="pl-PL"/>
        </w:rPr>
        <w:t xml:space="preserve">opracowywanych regulaminach zakazu spożywania </w:t>
      </w:r>
      <w:r w:rsidR="00D2517A">
        <w:rPr>
          <w:rFonts w:ascii="Times New Roman" w:hAnsi="Times New Roman" w:cs="Times New Roman"/>
          <w:lang w:eastAsia="pl-PL"/>
        </w:rPr>
        <w:t xml:space="preserve">alkoholu </w:t>
      </w:r>
      <w:r w:rsidR="00253DA8">
        <w:rPr>
          <w:rFonts w:ascii="Times New Roman" w:hAnsi="Times New Roman" w:cs="Times New Roman"/>
          <w:lang w:eastAsia="pl-PL"/>
        </w:rPr>
        <w:t xml:space="preserve">czy przebywania na terenie takich placówek </w:t>
      </w:r>
      <w:r w:rsidR="00D2517A">
        <w:rPr>
          <w:rFonts w:ascii="Times New Roman" w:hAnsi="Times New Roman" w:cs="Times New Roman"/>
          <w:lang w:eastAsia="pl-PL"/>
        </w:rPr>
        <w:t xml:space="preserve">osób </w:t>
      </w:r>
      <w:r w:rsidR="00253DA8">
        <w:rPr>
          <w:rFonts w:ascii="Times New Roman" w:hAnsi="Times New Roman" w:cs="Times New Roman"/>
          <w:lang w:eastAsia="pl-PL"/>
        </w:rPr>
        <w:t>po</w:t>
      </w:r>
      <w:r w:rsidR="00BF38E4">
        <w:rPr>
          <w:rFonts w:ascii="Times New Roman" w:hAnsi="Times New Roman" w:cs="Times New Roman"/>
          <w:lang w:eastAsia="pl-PL"/>
        </w:rPr>
        <w:t> </w:t>
      </w:r>
      <w:r w:rsidR="00253DA8">
        <w:rPr>
          <w:rFonts w:ascii="Times New Roman" w:hAnsi="Times New Roman" w:cs="Times New Roman"/>
          <w:lang w:eastAsia="pl-PL"/>
        </w:rPr>
        <w:t xml:space="preserve">spożyciu alkoholu. </w:t>
      </w:r>
      <w:r w:rsidR="005A1744">
        <w:rPr>
          <w:rFonts w:ascii="Times New Roman" w:hAnsi="Times New Roman" w:cs="Times New Roman"/>
          <w:lang w:eastAsia="pl-PL"/>
        </w:rPr>
        <w:t xml:space="preserve">Ograniczenia takie </w:t>
      </w:r>
      <w:r w:rsidR="0045061E">
        <w:rPr>
          <w:rFonts w:ascii="Times New Roman" w:hAnsi="Times New Roman" w:cs="Times New Roman"/>
          <w:lang w:eastAsia="pl-PL"/>
        </w:rPr>
        <w:t xml:space="preserve">- </w:t>
      </w:r>
      <w:r w:rsidR="005A1744">
        <w:rPr>
          <w:rFonts w:ascii="Times New Roman" w:hAnsi="Times New Roman" w:cs="Times New Roman"/>
          <w:lang w:eastAsia="pl-PL"/>
        </w:rPr>
        <w:t>wprowadzone aktem przyjmowanym przez organy wykonawcze</w:t>
      </w:r>
      <w:r w:rsidR="0045061E">
        <w:rPr>
          <w:rFonts w:ascii="Times New Roman" w:hAnsi="Times New Roman" w:cs="Times New Roman"/>
          <w:lang w:eastAsia="pl-PL"/>
        </w:rPr>
        <w:t xml:space="preserve"> - </w:t>
      </w:r>
      <w:r w:rsidR="005A1744">
        <w:rPr>
          <w:rFonts w:ascii="Times New Roman" w:hAnsi="Times New Roman" w:cs="Times New Roman"/>
          <w:lang w:eastAsia="pl-PL"/>
        </w:rPr>
        <w:t xml:space="preserve">stanowiłyby </w:t>
      </w:r>
      <w:r w:rsidR="0045061E">
        <w:rPr>
          <w:rFonts w:ascii="Times New Roman" w:hAnsi="Times New Roman" w:cs="Times New Roman"/>
          <w:lang w:eastAsia="pl-PL"/>
        </w:rPr>
        <w:t>naruszenie konstytucyjnych praw przysługujących każdemu człowiekowi.</w:t>
      </w:r>
    </w:p>
    <w:p w:rsidR="00E76F3F" w:rsidRDefault="00E76F3F" w:rsidP="008C0FC2">
      <w:pPr>
        <w:spacing w:before="120" w:line="360" w:lineRule="auto"/>
        <w:jc w:val="both"/>
        <w:rPr>
          <w:rFonts w:ascii="Times New Roman" w:hAnsi="Times New Roman" w:cs="Times New Roman"/>
          <w:lang w:eastAsia="pl-PL"/>
        </w:rPr>
      </w:pPr>
      <w:r w:rsidRPr="00E76F3F">
        <w:rPr>
          <w:rFonts w:ascii="Times New Roman" w:hAnsi="Times New Roman" w:cs="Times New Roman"/>
          <w:lang w:eastAsia="pl-PL"/>
        </w:rPr>
        <w:t xml:space="preserve">Spożywanie alkoholu na terenie domu pomocy społecznej </w:t>
      </w:r>
      <w:r>
        <w:rPr>
          <w:rFonts w:ascii="Times New Roman" w:hAnsi="Times New Roman" w:cs="Times New Roman"/>
          <w:lang w:eastAsia="pl-PL"/>
        </w:rPr>
        <w:t xml:space="preserve">- </w:t>
      </w:r>
      <w:r w:rsidRPr="00E76F3F">
        <w:rPr>
          <w:rFonts w:ascii="Times New Roman" w:hAnsi="Times New Roman" w:cs="Times New Roman"/>
          <w:lang w:eastAsia="pl-PL"/>
        </w:rPr>
        <w:t>zarówno w</w:t>
      </w:r>
      <w:r>
        <w:rPr>
          <w:rFonts w:ascii="Times New Roman" w:hAnsi="Times New Roman" w:cs="Times New Roman"/>
          <w:lang w:eastAsia="pl-PL"/>
        </w:rPr>
        <w:t> </w:t>
      </w:r>
      <w:r w:rsidRPr="00E76F3F">
        <w:rPr>
          <w:rFonts w:ascii="Times New Roman" w:hAnsi="Times New Roman" w:cs="Times New Roman"/>
          <w:lang w:eastAsia="pl-PL"/>
        </w:rPr>
        <w:t>obiekcie jak i terenach przynależnych do obiektu</w:t>
      </w:r>
      <w:r>
        <w:rPr>
          <w:rFonts w:ascii="Times New Roman" w:hAnsi="Times New Roman" w:cs="Times New Roman"/>
          <w:lang w:eastAsia="pl-PL"/>
        </w:rPr>
        <w:t xml:space="preserve"> -</w:t>
      </w:r>
      <w:r w:rsidRPr="00E76F3F">
        <w:rPr>
          <w:rFonts w:ascii="Times New Roman" w:hAnsi="Times New Roman" w:cs="Times New Roman"/>
          <w:lang w:eastAsia="pl-PL"/>
        </w:rPr>
        <w:t xml:space="preserve"> wpływa negatywnie na funkcjonowanie pozostałych mieszkańców. </w:t>
      </w:r>
      <w:r w:rsidR="00A00471">
        <w:rPr>
          <w:rFonts w:ascii="Times New Roman" w:hAnsi="Times New Roman" w:cs="Times New Roman"/>
          <w:lang w:eastAsia="pl-PL"/>
        </w:rPr>
        <w:t>Nieuzależnieni mieszkańcy domów pomocy społecznej, z powodu wspólnego zamieszkiwania, zmuszeni są znosić hałas i awantury wszczynane przez nietrzeźwych współmieszkańców.</w:t>
      </w:r>
      <w:r w:rsidR="00A00471" w:rsidRPr="004A771A">
        <w:rPr>
          <w:rFonts w:ascii="Times New Roman" w:hAnsi="Times New Roman" w:cs="Times New Roman"/>
          <w:lang w:eastAsia="pl-PL"/>
        </w:rPr>
        <w:t xml:space="preserve"> </w:t>
      </w:r>
      <w:r w:rsidR="00F73E2A">
        <w:rPr>
          <w:rFonts w:ascii="Times New Roman" w:hAnsi="Times New Roman" w:cs="Times New Roman"/>
          <w:lang w:eastAsia="pl-PL"/>
        </w:rPr>
        <w:t>Podkreślić należy, że osoby przebywające w</w:t>
      </w:r>
      <w:r w:rsidR="00B528BF">
        <w:rPr>
          <w:rFonts w:ascii="Times New Roman" w:hAnsi="Times New Roman" w:cs="Times New Roman"/>
          <w:lang w:eastAsia="pl-PL"/>
        </w:rPr>
        <w:t> </w:t>
      </w:r>
      <w:r w:rsidR="00F73E2A">
        <w:rPr>
          <w:rFonts w:ascii="Times New Roman" w:hAnsi="Times New Roman" w:cs="Times New Roman"/>
          <w:lang w:eastAsia="pl-PL"/>
        </w:rPr>
        <w:t xml:space="preserve">domach pomocy społecznej </w:t>
      </w:r>
      <w:r w:rsidR="0005424C">
        <w:rPr>
          <w:rFonts w:ascii="Times New Roman" w:hAnsi="Times New Roman" w:cs="Times New Roman"/>
          <w:lang w:eastAsia="pl-PL"/>
        </w:rPr>
        <w:t xml:space="preserve">- </w:t>
      </w:r>
      <w:r w:rsidR="0005424C" w:rsidRPr="0005424C">
        <w:rPr>
          <w:rFonts w:ascii="Times New Roman" w:hAnsi="Times New Roman" w:cs="Times New Roman"/>
          <w:lang w:eastAsia="pl-PL"/>
        </w:rPr>
        <w:t>wymagające całodobowej opieki z</w:t>
      </w:r>
      <w:r w:rsidR="00E83685">
        <w:rPr>
          <w:rFonts w:ascii="Times New Roman" w:hAnsi="Times New Roman" w:cs="Times New Roman"/>
          <w:lang w:eastAsia="pl-PL"/>
        </w:rPr>
        <w:t> </w:t>
      </w:r>
      <w:r w:rsidR="0005424C" w:rsidRPr="0005424C">
        <w:rPr>
          <w:rFonts w:ascii="Times New Roman" w:hAnsi="Times New Roman" w:cs="Times New Roman"/>
          <w:lang w:eastAsia="pl-PL"/>
        </w:rPr>
        <w:t>powodu wieku, choroby lub niepełnosprawności, niemogące samodzielnie funkcjonować w</w:t>
      </w:r>
      <w:r w:rsidR="00E83685">
        <w:rPr>
          <w:rFonts w:ascii="Times New Roman" w:hAnsi="Times New Roman" w:cs="Times New Roman"/>
          <w:lang w:eastAsia="pl-PL"/>
        </w:rPr>
        <w:t> </w:t>
      </w:r>
      <w:r w:rsidR="0005424C" w:rsidRPr="0005424C">
        <w:rPr>
          <w:rFonts w:ascii="Times New Roman" w:hAnsi="Times New Roman" w:cs="Times New Roman"/>
          <w:lang w:eastAsia="pl-PL"/>
        </w:rPr>
        <w:t xml:space="preserve">codziennym życiu </w:t>
      </w:r>
      <w:r w:rsidR="0005424C">
        <w:rPr>
          <w:rFonts w:ascii="Times New Roman" w:hAnsi="Times New Roman" w:cs="Times New Roman"/>
          <w:lang w:eastAsia="pl-PL"/>
        </w:rPr>
        <w:t xml:space="preserve">- </w:t>
      </w:r>
      <w:r w:rsidR="00F73E2A">
        <w:rPr>
          <w:rFonts w:ascii="Times New Roman" w:hAnsi="Times New Roman" w:cs="Times New Roman"/>
          <w:lang w:eastAsia="pl-PL"/>
        </w:rPr>
        <w:t>nie mogą łatwo zmienić miejsca zamieszkania czy pokoju dzielonego z</w:t>
      </w:r>
      <w:r w:rsidR="00B528BF">
        <w:rPr>
          <w:rFonts w:ascii="Times New Roman" w:hAnsi="Times New Roman" w:cs="Times New Roman"/>
          <w:lang w:eastAsia="pl-PL"/>
        </w:rPr>
        <w:t> </w:t>
      </w:r>
      <w:r w:rsidR="00F73E2A">
        <w:rPr>
          <w:rFonts w:ascii="Times New Roman" w:hAnsi="Times New Roman" w:cs="Times New Roman"/>
          <w:lang w:eastAsia="pl-PL"/>
        </w:rPr>
        <w:t xml:space="preserve">osobą uzależnioną. </w:t>
      </w:r>
      <w:r w:rsidRPr="00E76F3F">
        <w:rPr>
          <w:rFonts w:ascii="Times New Roman" w:hAnsi="Times New Roman" w:cs="Times New Roman"/>
          <w:lang w:eastAsia="pl-PL"/>
        </w:rPr>
        <w:t>Liczba pokoi jednoosobowych jest ograniczona, a w pokojach dwu i więcej osobowych spożywanie alkoholu przez jednego mieszkańca stanowi istotną niedogodność dla</w:t>
      </w:r>
      <w:r w:rsidR="00B528BF">
        <w:rPr>
          <w:rFonts w:ascii="Times New Roman" w:hAnsi="Times New Roman" w:cs="Times New Roman"/>
          <w:lang w:eastAsia="pl-PL"/>
        </w:rPr>
        <w:t> </w:t>
      </w:r>
      <w:r w:rsidRPr="00E76F3F">
        <w:rPr>
          <w:rFonts w:ascii="Times New Roman" w:hAnsi="Times New Roman" w:cs="Times New Roman"/>
          <w:lang w:eastAsia="pl-PL"/>
        </w:rPr>
        <w:t>pozostałych, naruszając ich prawa. Często niweczy</w:t>
      </w:r>
      <w:r>
        <w:rPr>
          <w:rFonts w:ascii="Times New Roman" w:hAnsi="Times New Roman" w:cs="Times New Roman"/>
          <w:lang w:eastAsia="pl-PL"/>
        </w:rPr>
        <w:t xml:space="preserve"> także</w:t>
      </w:r>
      <w:r w:rsidRPr="00E76F3F">
        <w:rPr>
          <w:rFonts w:ascii="Times New Roman" w:hAnsi="Times New Roman" w:cs="Times New Roman"/>
          <w:lang w:eastAsia="pl-PL"/>
        </w:rPr>
        <w:t xml:space="preserve"> działania profilaktyczne, w których biorą udział mieszkańcy domów pomocy społecznej</w:t>
      </w:r>
      <w:r>
        <w:rPr>
          <w:rFonts w:ascii="Times New Roman" w:hAnsi="Times New Roman" w:cs="Times New Roman"/>
          <w:lang w:eastAsia="pl-PL"/>
        </w:rPr>
        <w:t xml:space="preserve"> i</w:t>
      </w:r>
      <w:r w:rsidRPr="00E76F3F">
        <w:rPr>
          <w:rFonts w:ascii="Times New Roman" w:hAnsi="Times New Roman" w:cs="Times New Roman"/>
          <w:lang w:eastAsia="pl-PL"/>
        </w:rPr>
        <w:t xml:space="preserve"> podwyższa czynniki ryzyka uzależnienia od alkoholu</w:t>
      </w:r>
      <w:r w:rsidR="00F73E2A">
        <w:rPr>
          <w:rFonts w:ascii="Times New Roman" w:hAnsi="Times New Roman" w:cs="Times New Roman"/>
          <w:lang w:eastAsia="pl-PL"/>
        </w:rPr>
        <w:t xml:space="preserve"> wśród osób, które wcześniej alkoholu nie spożywały lub spożywały w ograniczonych ilościach</w:t>
      </w:r>
      <w:r w:rsidRPr="00E76F3F"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lang w:eastAsia="pl-PL"/>
        </w:rPr>
        <w:t xml:space="preserve">Zachowania </w:t>
      </w:r>
      <w:r w:rsidR="00F73E2A">
        <w:rPr>
          <w:rFonts w:ascii="Times New Roman" w:hAnsi="Times New Roman" w:cs="Times New Roman"/>
          <w:lang w:eastAsia="pl-PL"/>
        </w:rPr>
        <w:t>osób spożywających alkohol na</w:t>
      </w:r>
      <w:r w:rsidR="00A00471">
        <w:rPr>
          <w:rFonts w:ascii="Times New Roman" w:hAnsi="Times New Roman" w:cs="Times New Roman"/>
          <w:lang w:eastAsia="pl-PL"/>
        </w:rPr>
        <w:t> </w:t>
      </w:r>
      <w:r w:rsidR="00F73E2A">
        <w:rPr>
          <w:rFonts w:ascii="Times New Roman" w:hAnsi="Times New Roman" w:cs="Times New Roman"/>
          <w:lang w:eastAsia="pl-PL"/>
        </w:rPr>
        <w:t xml:space="preserve">terenie domów pomocy społecznej niejednokrotnie </w:t>
      </w:r>
      <w:r w:rsidR="00B528BF" w:rsidRPr="00B528BF">
        <w:rPr>
          <w:rFonts w:ascii="Times New Roman" w:hAnsi="Times New Roman" w:cs="Times New Roman"/>
          <w:lang w:eastAsia="pl-PL"/>
        </w:rPr>
        <w:t>w</w:t>
      </w:r>
      <w:r w:rsidR="0005424C">
        <w:rPr>
          <w:rFonts w:ascii="Times New Roman" w:hAnsi="Times New Roman" w:cs="Times New Roman"/>
          <w:lang w:eastAsia="pl-PL"/>
        </w:rPr>
        <w:t> </w:t>
      </w:r>
      <w:r w:rsidR="00B528BF" w:rsidRPr="00B528BF">
        <w:rPr>
          <w:rFonts w:ascii="Times New Roman" w:hAnsi="Times New Roman" w:cs="Times New Roman"/>
          <w:lang w:eastAsia="pl-PL"/>
        </w:rPr>
        <w:t>sposób rażący naruszają zasady współżycia społecznego w społeczności domu, zakłócając spokój, powodując poczucie lęku współmieszkańców, a nawet zagrożenie zdrowia czy życia.</w:t>
      </w:r>
      <w:r w:rsidR="00B528BF">
        <w:rPr>
          <w:rFonts w:ascii="Times New Roman" w:hAnsi="Times New Roman" w:cs="Times New Roman"/>
          <w:lang w:eastAsia="pl-PL"/>
        </w:rPr>
        <w:t xml:space="preserve"> Wiążą się także z</w:t>
      </w:r>
      <w:r w:rsidR="00A00471">
        <w:rPr>
          <w:rFonts w:ascii="Times New Roman" w:hAnsi="Times New Roman" w:cs="Times New Roman"/>
          <w:lang w:eastAsia="pl-PL"/>
        </w:rPr>
        <w:t> </w:t>
      </w:r>
      <w:r w:rsidR="00B528BF">
        <w:rPr>
          <w:rFonts w:ascii="Times New Roman" w:hAnsi="Times New Roman" w:cs="Times New Roman"/>
          <w:lang w:eastAsia="pl-PL"/>
        </w:rPr>
        <w:t xml:space="preserve">uszkodzeniem mienia placówki </w:t>
      </w:r>
      <w:r w:rsidR="00A00471">
        <w:rPr>
          <w:rFonts w:ascii="Times New Roman" w:hAnsi="Times New Roman" w:cs="Times New Roman"/>
          <w:lang w:eastAsia="pl-PL"/>
        </w:rPr>
        <w:t>i</w:t>
      </w:r>
      <w:r w:rsidR="00B528BF">
        <w:rPr>
          <w:rFonts w:ascii="Times New Roman" w:hAnsi="Times New Roman" w:cs="Times New Roman"/>
          <w:lang w:eastAsia="pl-PL"/>
        </w:rPr>
        <w:t xml:space="preserve"> </w:t>
      </w:r>
      <w:r w:rsidR="00A00471">
        <w:rPr>
          <w:rFonts w:ascii="Times New Roman" w:hAnsi="Times New Roman" w:cs="Times New Roman"/>
          <w:lang w:eastAsia="pl-PL"/>
        </w:rPr>
        <w:t>podopiecznych</w:t>
      </w:r>
      <w:r w:rsidRPr="004A771A">
        <w:rPr>
          <w:rFonts w:ascii="Times New Roman" w:hAnsi="Times New Roman" w:cs="Times New Roman"/>
          <w:lang w:eastAsia="pl-PL"/>
        </w:rPr>
        <w:t>.</w:t>
      </w:r>
      <w:r>
        <w:rPr>
          <w:rFonts w:ascii="Times New Roman" w:hAnsi="Times New Roman" w:cs="Times New Roman"/>
          <w:lang w:eastAsia="pl-PL"/>
        </w:rPr>
        <w:t xml:space="preserve">  </w:t>
      </w:r>
    </w:p>
    <w:p w:rsidR="008C0FC2" w:rsidRPr="008C0FC2" w:rsidRDefault="00BF38E4" w:rsidP="008C0FC2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 </w:t>
      </w:r>
      <w:r w:rsidR="004A771A" w:rsidRPr="004A771A">
        <w:rPr>
          <w:rFonts w:ascii="Times New Roman" w:hAnsi="Times New Roman" w:cs="Times New Roman"/>
          <w:lang w:eastAsia="pl-PL"/>
        </w:rPr>
        <w:t>uwagi na</w:t>
      </w:r>
      <w:r w:rsidR="00253DA8"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brak regulacji ustawowych dotyczących spożywania alkoholu w domach pomocy</w:t>
      </w:r>
      <w:r w:rsidR="004A771A">
        <w:rPr>
          <w:rFonts w:ascii="Times New Roman" w:hAnsi="Times New Roman" w:cs="Times New Roman"/>
          <w:lang w:eastAsia="pl-PL"/>
        </w:rPr>
        <w:t xml:space="preserve"> </w:t>
      </w:r>
      <w:r w:rsidR="004A771A" w:rsidRPr="004A771A">
        <w:rPr>
          <w:rFonts w:ascii="Times New Roman" w:hAnsi="Times New Roman" w:cs="Times New Roman"/>
          <w:lang w:eastAsia="pl-PL"/>
        </w:rPr>
        <w:t>społecznej</w:t>
      </w:r>
      <w:r w:rsidR="00DF34DD">
        <w:rPr>
          <w:rFonts w:ascii="Times New Roman" w:hAnsi="Times New Roman" w:cs="Times New Roman"/>
          <w:lang w:eastAsia="pl-PL"/>
        </w:rPr>
        <w:t>,</w:t>
      </w:r>
      <w:r w:rsidR="004A771A" w:rsidRPr="004A771A">
        <w:rPr>
          <w:rFonts w:ascii="Times New Roman" w:hAnsi="Times New Roman" w:cs="Times New Roman"/>
          <w:lang w:eastAsia="pl-PL"/>
        </w:rPr>
        <w:t xml:space="preserve"> kwestie spożywania alkoholu </w:t>
      </w:r>
      <w:r w:rsidR="00F73E2A">
        <w:rPr>
          <w:rFonts w:ascii="Times New Roman" w:hAnsi="Times New Roman" w:cs="Times New Roman"/>
          <w:lang w:eastAsia="pl-PL"/>
        </w:rPr>
        <w:t>należy</w:t>
      </w:r>
      <w:r w:rsidRPr="004A771A">
        <w:rPr>
          <w:rFonts w:ascii="Times New Roman" w:hAnsi="Times New Roman" w:cs="Times New Roman"/>
          <w:lang w:eastAsia="pl-PL"/>
        </w:rPr>
        <w:t xml:space="preserve"> </w:t>
      </w:r>
      <w:r w:rsidR="004A771A" w:rsidRPr="004A771A">
        <w:rPr>
          <w:rFonts w:ascii="Times New Roman" w:hAnsi="Times New Roman" w:cs="Times New Roman"/>
          <w:lang w:eastAsia="pl-PL"/>
        </w:rPr>
        <w:t>dostosować do</w:t>
      </w:r>
      <w:r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ogólnych zasad i</w:t>
      </w:r>
      <w:r w:rsidR="00253DA8"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norm, w</w:t>
      </w:r>
      <w:r w:rsidR="00253DA8"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tym takich jak zakaz</w:t>
      </w:r>
      <w:r w:rsidR="00DF34DD">
        <w:rPr>
          <w:rFonts w:ascii="Times New Roman" w:hAnsi="Times New Roman" w:cs="Times New Roman"/>
          <w:lang w:eastAsia="pl-PL"/>
        </w:rPr>
        <w:t xml:space="preserve"> </w:t>
      </w:r>
      <w:r w:rsidR="004A771A" w:rsidRPr="004A771A">
        <w:rPr>
          <w:rFonts w:ascii="Times New Roman" w:hAnsi="Times New Roman" w:cs="Times New Roman"/>
          <w:lang w:eastAsia="pl-PL"/>
        </w:rPr>
        <w:t>spożywania alkoholu przez osoby nieletnie, czy przez osoby z</w:t>
      </w:r>
      <w:r w:rsidR="00253DA8"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zaburzeniami psychicznymi, które mają przeciwwskazania do spożywania alkoholu ze</w:t>
      </w:r>
      <w:r>
        <w:rPr>
          <w:rFonts w:ascii="Times New Roman" w:hAnsi="Times New Roman" w:cs="Times New Roman"/>
          <w:lang w:eastAsia="pl-PL"/>
        </w:rPr>
        <w:t> </w:t>
      </w:r>
      <w:r w:rsidR="004A771A" w:rsidRPr="004A771A">
        <w:rPr>
          <w:rFonts w:ascii="Times New Roman" w:hAnsi="Times New Roman" w:cs="Times New Roman"/>
          <w:lang w:eastAsia="pl-PL"/>
        </w:rPr>
        <w:t>względu na stan zdrowia i</w:t>
      </w:r>
      <w:r w:rsidR="00DF34DD">
        <w:rPr>
          <w:rFonts w:ascii="Times New Roman" w:hAnsi="Times New Roman" w:cs="Times New Roman"/>
          <w:lang w:eastAsia="pl-PL"/>
        </w:rPr>
        <w:t xml:space="preserve"> </w:t>
      </w:r>
      <w:r w:rsidR="004A771A" w:rsidRPr="004A771A">
        <w:rPr>
          <w:rFonts w:ascii="Times New Roman" w:hAnsi="Times New Roman" w:cs="Times New Roman"/>
          <w:lang w:eastAsia="pl-PL"/>
        </w:rPr>
        <w:t>zażywane leki.</w:t>
      </w:r>
      <w:r w:rsidR="00404E12">
        <w:rPr>
          <w:rFonts w:ascii="Times New Roman" w:hAnsi="Times New Roman" w:cs="Times New Roman"/>
          <w:lang w:eastAsia="pl-PL"/>
        </w:rPr>
        <w:t xml:space="preserve"> </w:t>
      </w:r>
      <w:r w:rsidR="004036F7" w:rsidRPr="00224391">
        <w:rPr>
          <w:rFonts w:ascii="Times New Roman" w:hAnsi="Times New Roman" w:cs="Times New Roman"/>
          <w:lang w:eastAsia="pl-PL"/>
        </w:rPr>
        <w:t>Wpływ alkoholu na zdrowie jednostki i szerzej – zdrowie publiczne, został naukowo potwierdzony</w:t>
      </w:r>
      <w:r w:rsidR="008C0FC2">
        <w:rPr>
          <w:rFonts w:ascii="Times New Roman" w:hAnsi="Times New Roman" w:cs="Times New Roman"/>
          <w:lang w:eastAsia="pl-PL"/>
        </w:rPr>
        <w:t xml:space="preserve"> i nie jest to kwestia mogąca rodzić jakiekolwiek wątpliwości.</w:t>
      </w:r>
      <w:r w:rsidR="004036F7" w:rsidRPr="00224391">
        <w:rPr>
          <w:rFonts w:ascii="Times New Roman" w:hAnsi="Times New Roman" w:cs="Times New Roman"/>
          <w:lang w:eastAsia="pl-PL"/>
        </w:rPr>
        <w:t xml:space="preserve"> </w:t>
      </w:r>
      <w:r w:rsidR="00304890">
        <w:rPr>
          <w:rFonts w:ascii="Times New Roman" w:hAnsi="Times New Roman" w:cs="Times New Roman"/>
          <w:lang w:eastAsia="pl-PL"/>
        </w:rPr>
        <w:t>Ochrona zdrowia publicznego należy do</w:t>
      </w:r>
      <w:r w:rsidR="008C0FC2">
        <w:rPr>
          <w:rFonts w:ascii="Times New Roman" w:hAnsi="Times New Roman" w:cs="Times New Roman"/>
          <w:lang w:eastAsia="pl-PL"/>
        </w:rPr>
        <w:t> </w:t>
      </w:r>
      <w:r w:rsidR="00304890">
        <w:rPr>
          <w:rFonts w:ascii="Times New Roman" w:hAnsi="Times New Roman" w:cs="Times New Roman"/>
          <w:lang w:eastAsia="pl-PL"/>
        </w:rPr>
        <w:t>kategorii przesłanek legitymujących ograniczenie innego dobra</w:t>
      </w:r>
      <w:r w:rsidR="004036F7">
        <w:rPr>
          <w:rFonts w:ascii="Times New Roman" w:hAnsi="Times New Roman" w:cs="Times New Roman"/>
          <w:lang w:eastAsia="pl-PL"/>
        </w:rPr>
        <w:t xml:space="preserve">, jest bowiem </w:t>
      </w:r>
      <w:r w:rsidR="004036F7" w:rsidRPr="00224391">
        <w:rPr>
          <w:rFonts w:ascii="Times New Roman" w:hAnsi="Times New Roman" w:cs="Times New Roman"/>
          <w:lang w:eastAsia="pl-PL"/>
        </w:rPr>
        <w:t>dobrem nadrzędnym i</w:t>
      </w:r>
      <w:r w:rsidR="00290BF9">
        <w:rPr>
          <w:rFonts w:ascii="Times New Roman" w:hAnsi="Times New Roman" w:cs="Times New Roman"/>
          <w:lang w:eastAsia="pl-PL"/>
        </w:rPr>
        <w:t> </w:t>
      </w:r>
      <w:r w:rsidR="004036F7" w:rsidRPr="00224391">
        <w:rPr>
          <w:rFonts w:ascii="Times New Roman" w:hAnsi="Times New Roman" w:cs="Times New Roman"/>
          <w:lang w:eastAsia="pl-PL"/>
        </w:rPr>
        <w:t>uzasadnia tworzenie przez samorząd terytorialny warunków sprzyjających powstrzymywaniu się od spożywania alkoholu, ograniczaniu dostępności alkoholu oraz zapobieganiu negatywnym następstwom nadużywania alkoholu.</w:t>
      </w:r>
      <w:r w:rsidR="00304890">
        <w:rPr>
          <w:rFonts w:ascii="Times New Roman" w:hAnsi="Times New Roman" w:cs="Times New Roman"/>
          <w:lang w:eastAsia="pl-PL"/>
        </w:rPr>
        <w:t xml:space="preserve"> </w:t>
      </w:r>
      <w:r w:rsidR="00CB7932" w:rsidRPr="00CB7932">
        <w:rPr>
          <w:rFonts w:ascii="Times New Roman" w:hAnsi="Times New Roman" w:cs="Times New Roman"/>
          <w:lang w:eastAsia="pl-PL"/>
        </w:rPr>
        <w:t>Wojewódzki Sąd Administracyjny we Wrocławiu w wyroku z dnia 14.10.2020 r.  sygn. akt III SA/</w:t>
      </w:r>
      <w:proofErr w:type="spellStart"/>
      <w:r w:rsidR="00CB7932" w:rsidRPr="00CB7932">
        <w:rPr>
          <w:rFonts w:ascii="Times New Roman" w:hAnsi="Times New Roman" w:cs="Times New Roman"/>
          <w:lang w:eastAsia="pl-PL"/>
        </w:rPr>
        <w:t>Wr</w:t>
      </w:r>
      <w:proofErr w:type="spellEnd"/>
      <w:r w:rsidR="00CB7932" w:rsidRPr="00CB7932">
        <w:rPr>
          <w:rFonts w:ascii="Times New Roman" w:hAnsi="Times New Roman" w:cs="Times New Roman"/>
          <w:lang w:eastAsia="pl-PL"/>
        </w:rPr>
        <w:t xml:space="preserve"> 98/20 stwierdza: „(…) </w:t>
      </w:r>
      <w:r w:rsidR="003B2710">
        <w:rPr>
          <w:rFonts w:ascii="Times New Roman" w:hAnsi="Times New Roman" w:cs="Times New Roman"/>
          <w:lang w:eastAsia="pl-PL"/>
        </w:rPr>
        <w:t xml:space="preserve">z </w:t>
      </w:r>
      <w:r w:rsidR="00CB7932" w:rsidRPr="00CB7932">
        <w:rPr>
          <w:rFonts w:ascii="Times New Roman" w:hAnsi="Times New Roman" w:cs="Times New Roman"/>
          <w:lang w:eastAsia="pl-PL"/>
        </w:rPr>
        <w:t>art. 32 Konstytucji w żadnym razie nie można bowiem wyprowadzać wniosku, że ustawa zasadnicza statuuje równość absolutną wszystkim obywatelom i gwarantuje osobom nietrzeźwym bądź będącym pod wpływem narkotyków te same uprawnienia jakie posiadają osoby nie będące pod wpływem wskazanych używek, w tym pełny niezakłócony dostęp do obiektów publicznych. (…)</w:t>
      </w:r>
      <w:r w:rsidR="00CB7932">
        <w:rPr>
          <w:rFonts w:ascii="Times New Roman" w:hAnsi="Times New Roman" w:cs="Times New Roman"/>
          <w:lang w:eastAsia="pl-PL"/>
        </w:rPr>
        <w:t>”.</w:t>
      </w:r>
      <w:r w:rsidR="00CB7932" w:rsidRPr="00CB7932">
        <w:rPr>
          <w:rFonts w:ascii="Times New Roman" w:hAnsi="Times New Roman" w:cs="Times New Roman"/>
          <w:lang w:eastAsia="pl-PL"/>
        </w:rPr>
        <w:t xml:space="preserve"> </w:t>
      </w:r>
      <w:r w:rsidR="008C0FC2" w:rsidRPr="008C0FC2">
        <w:rPr>
          <w:rFonts w:ascii="Times New Roman" w:hAnsi="Times New Roman" w:cs="Times New Roman"/>
          <w:lang w:eastAsia="pl-PL"/>
        </w:rPr>
        <w:t xml:space="preserve">Analizując potencjalny konflikt wartości </w:t>
      </w:r>
      <w:r w:rsidR="003E2390">
        <w:rPr>
          <w:rFonts w:ascii="Times New Roman" w:hAnsi="Times New Roman" w:cs="Times New Roman"/>
          <w:lang w:eastAsia="pl-PL"/>
        </w:rPr>
        <w:t>i praw zagwarantowanych konstytucyjnie</w:t>
      </w:r>
      <w:r w:rsidR="008C0FC2" w:rsidRPr="008C0FC2">
        <w:rPr>
          <w:rFonts w:ascii="Times New Roman" w:hAnsi="Times New Roman" w:cs="Times New Roman"/>
          <w:lang w:eastAsia="pl-PL"/>
        </w:rPr>
        <w:t xml:space="preserve">, </w:t>
      </w:r>
      <w:r w:rsidR="003E2390">
        <w:rPr>
          <w:rFonts w:ascii="Times New Roman" w:hAnsi="Times New Roman" w:cs="Times New Roman"/>
          <w:lang w:eastAsia="pl-PL"/>
        </w:rPr>
        <w:t xml:space="preserve">nie może być wątpliwości, że w domach pomocy społecznej </w:t>
      </w:r>
      <w:r w:rsidR="008C0FC2" w:rsidRPr="008C0FC2">
        <w:rPr>
          <w:rFonts w:ascii="Times New Roman" w:hAnsi="Times New Roman" w:cs="Times New Roman"/>
          <w:lang w:eastAsia="pl-PL"/>
        </w:rPr>
        <w:t>wolnoś</w:t>
      </w:r>
      <w:r w:rsidR="003E2390">
        <w:rPr>
          <w:rFonts w:ascii="Times New Roman" w:hAnsi="Times New Roman" w:cs="Times New Roman"/>
          <w:lang w:eastAsia="pl-PL"/>
        </w:rPr>
        <w:t>ć</w:t>
      </w:r>
      <w:r w:rsidR="008C0FC2" w:rsidRPr="008C0FC2">
        <w:rPr>
          <w:rFonts w:ascii="Times New Roman" w:hAnsi="Times New Roman" w:cs="Times New Roman"/>
          <w:lang w:eastAsia="pl-PL"/>
        </w:rPr>
        <w:t xml:space="preserve"> do spożywania napojów alkoholowych w miejscu zamieszkania, </w:t>
      </w:r>
      <w:r w:rsidR="003E2390">
        <w:rPr>
          <w:rFonts w:ascii="Times New Roman" w:hAnsi="Times New Roman" w:cs="Times New Roman"/>
          <w:lang w:eastAsia="pl-PL"/>
        </w:rPr>
        <w:t xml:space="preserve">nie może mieć pierwszeństwa przed </w:t>
      </w:r>
      <w:r w:rsidR="00A61467">
        <w:rPr>
          <w:rFonts w:ascii="Times New Roman" w:hAnsi="Times New Roman" w:cs="Times New Roman"/>
          <w:lang w:eastAsia="pl-PL"/>
        </w:rPr>
        <w:t xml:space="preserve">prawem każdego obywatela do zapewnienia zdrowia i </w:t>
      </w:r>
      <w:r w:rsidR="00CB7932">
        <w:rPr>
          <w:rFonts w:ascii="Times New Roman" w:hAnsi="Times New Roman" w:cs="Times New Roman"/>
          <w:lang w:eastAsia="pl-PL"/>
        </w:rPr>
        <w:t xml:space="preserve">przed </w:t>
      </w:r>
      <w:r w:rsidR="003E2390">
        <w:rPr>
          <w:rFonts w:ascii="Times New Roman" w:hAnsi="Times New Roman" w:cs="Times New Roman"/>
          <w:lang w:eastAsia="pl-PL"/>
        </w:rPr>
        <w:t xml:space="preserve">obowiązkiem </w:t>
      </w:r>
      <w:r w:rsidR="00A61467" w:rsidRPr="00A61467">
        <w:rPr>
          <w:rFonts w:ascii="Times New Roman" w:hAnsi="Times New Roman" w:cs="Times New Roman"/>
          <w:lang w:eastAsia="pl-PL"/>
        </w:rPr>
        <w:t>władz publicznych do</w:t>
      </w:r>
      <w:r w:rsidR="00346F3F">
        <w:rPr>
          <w:rFonts w:ascii="Times New Roman" w:hAnsi="Times New Roman" w:cs="Times New Roman"/>
          <w:lang w:eastAsia="pl-PL"/>
        </w:rPr>
        <w:t> </w:t>
      </w:r>
      <w:r w:rsidR="00A61467" w:rsidRPr="00A61467">
        <w:rPr>
          <w:rFonts w:ascii="Times New Roman" w:hAnsi="Times New Roman" w:cs="Times New Roman"/>
          <w:lang w:eastAsia="pl-PL"/>
        </w:rPr>
        <w:t>zapewnienia szczególnej opieki zdrowotnej osobom w podeszłym wieku</w:t>
      </w:r>
      <w:r w:rsidR="00A61467">
        <w:rPr>
          <w:rFonts w:ascii="Open Sans" w:hAnsi="Open Sans"/>
          <w:color w:val="333333"/>
          <w:shd w:val="clear" w:color="auto" w:fill="FFFFFF"/>
        </w:rPr>
        <w:t xml:space="preserve">. </w:t>
      </w:r>
      <w:r w:rsidR="00A61467" w:rsidRPr="008C0FC2">
        <w:rPr>
          <w:rFonts w:ascii="Times New Roman" w:hAnsi="Times New Roman" w:cs="Times New Roman"/>
          <w:lang w:eastAsia="pl-PL"/>
        </w:rPr>
        <w:t>Wartości,</w:t>
      </w:r>
      <w:r w:rsidR="008C0FC2" w:rsidRPr="008C0FC2">
        <w:rPr>
          <w:rFonts w:ascii="Times New Roman" w:hAnsi="Times New Roman" w:cs="Times New Roman"/>
          <w:lang w:eastAsia="pl-PL"/>
        </w:rPr>
        <w:t xml:space="preserve"> które </w:t>
      </w:r>
      <w:r w:rsidR="00A61467" w:rsidRPr="008C0FC2">
        <w:rPr>
          <w:rFonts w:ascii="Times New Roman" w:hAnsi="Times New Roman" w:cs="Times New Roman"/>
          <w:lang w:eastAsia="pl-PL"/>
        </w:rPr>
        <w:t>ustawodawca</w:t>
      </w:r>
      <w:r w:rsidR="008C0FC2" w:rsidRPr="008C0FC2">
        <w:rPr>
          <w:rFonts w:ascii="Times New Roman" w:hAnsi="Times New Roman" w:cs="Times New Roman"/>
          <w:lang w:eastAsia="pl-PL"/>
        </w:rPr>
        <w:t xml:space="preserve"> zapisał </w:t>
      </w:r>
      <w:r w:rsidR="00DD20F6">
        <w:rPr>
          <w:rFonts w:ascii="Times New Roman" w:hAnsi="Times New Roman" w:cs="Times New Roman"/>
          <w:lang w:eastAsia="pl-PL"/>
        </w:rPr>
        <w:t xml:space="preserve">w Konstytucji RP i preambule ustawy o wychowaniu w trzeźwości </w:t>
      </w:r>
      <w:r w:rsidR="008C0FC2" w:rsidRPr="008C0FC2">
        <w:rPr>
          <w:rFonts w:ascii="Times New Roman" w:hAnsi="Times New Roman" w:cs="Times New Roman"/>
          <w:lang w:eastAsia="pl-PL"/>
        </w:rPr>
        <w:t xml:space="preserve">mają służyć zaspokojeniu potrzeb ważnych dla </w:t>
      </w:r>
      <w:r w:rsidR="00DD20F6">
        <w:rPr>
          <w:rFonts w:ascii="Times New Roman" w:hAnsi="Times New Roman" w:cs="Times New Roman"/>
          <w:lang w:eastAsia="pl-PL"/>
        </w:rPr>
        <w:t xml:space="preserve">zdrowia, </w:t>
      </w:r>
      <w:r w:rsidR="008C0FC2" w:rsidRPr="008C0FC2">
        <w:rPr>
          <w:rFonts w:ascii="Times New Roman" w:hAnsi="Times New Roman" w:cs="Times New Roman"/>
          <w:lang w:eastAsia="pl-PL"/>
        </w:rPr>
        <w:t xml:space="preserve">życia i prawidłowego funkcjonowania jednostek.  </w:t>
      </w:r>
    </w:p>
    <w:p w:rsidR="00740F58" w:rsidRPr="00224391" w:rsidRDefault="00404E12" w:rsidP="00224391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Wprowadzenie </w:t>
      </w:r>
      <w:r w:rsidR="00114903">
        <w:rPr>
          <w:rFonts w:ascii="Times New Roman" w:hAnsi="Times New Roman" w:cs="Times New Roman"/>
          <w:lang w:eastAsia="pl-PL"/>
        </w:rPr>
        <w:t xml:space="preserve">na terenie domów pomocy społecznej we Wrocławiu </w:t>
      </w:r>
      <w:r>
        <w:rPr>
          <w:rFonts w:ascii="Times New Roman" w:hAnsi="Times New Roman" w:cs="Times New Roman"/>
          <w:lang w:eastAsia="pl-PL"/>
        </w:rPr>
        <w:t xml:space="preserve">zakazu </w:t>
      </w:r>
      <w:r w:rsidRPr="00404E12">
        <w:rPr>
          <w:rFonts w:ascii="Times New Roman" w:hAnsi="Times New Roman" w:cs="Times New Roman"/>
          <w:lang w:eastAsia="pl-PL"/>
        </w:rPr>
        <w:t xml:space="preserve">sprzedaży, podawania, spożywania oraz wnoszenia napojów alkoholowych </w:t>
      </w:r>
      <w:r w:rsidR="00114903">
        <w:rPr>
          <w:rFonts w:ascii="Times New Roman" w:hAnsi="Times New Roman" w:cs="Times New Roman"/>
          <w:lang w:eastAsia="pl-PL"/>
        </w:rPr>
        <w:t xml:space="preserve">skutecznie wpłynie na ograniczenie zjawisk niepożądanych, w tym </w:t>
      </w:r>
      <w:r w:rsidR="00DB55C3">
        <w:rPr>
          <w:rFonts w:ascii="Times New Roman" w:hAnsi="Times New Roman" w:cs="Times New Roman"/>
          <w:lang w:eastAsia="pl-PL"/>
        </w:rPr>
        <w:t>w szczególności</w:t>
      </w:r>
      <w:r w:rsidR="00346F3F">
        <w:rPr>
          <w:rFonts w:ascii="Times New Roman" w:hAnsi="Times New Roman" w:cs="Times New Roman"/>
          <w:lang w:eastAsia="pl-PL"/>
        </w:rPr>
        <w:t xml:space="preserve"> na</w:t>
      </w:r>
      <w:r w:rsidR="00304890">
        <w:rPr>
          <w:rFonts w:ascii="Times New Roman" w:hAnsi="Times New Roman" w:cs="Times New Roman"/>
          <w:lang w:eastAsia="pl-PL"/>
        </w:rPr>
        <w:t xml:space="preserve"> </w:t>
      </w:r>
      <w:r w:rsidR="00114903">
        <w:rPr>
          <w:rFonts w:ascii="Times New Roman" w:hAnsi="Times New Roman" w:cs="Times New Roman"/>
          <w:lang w:eastAsia="pl-PL"/>
        </w:rPr>
        <w:t xml:space="preserve">ograniczenie zewnętrznych zagrożeń </w:t>
      </w:r>
      <w:r w:rsidR="00304890">
        <w:rPr>
          <w:rFonts w:ascii="Times New Roman" w:hAnsi="Times New Roman" w:cs="Times New Roman"/>
          <w:lang w:eastAsia="pl-PL"/>
        </w:rPr>
        <w:t xml:space="preserve">dla </w:t>
      </w:r>
      <w:r w:rsidR="00114903">
        <w:rPr>
          <w:rFonts w:ascii="Times New Roman" w:hAnsi="Times New Roman" w:cs="Times New Roman"/>
          <w:lang w:eastAsia="pl-PL"/>
        </w:rPr>
        <w:t xml:space="preserve">zdrowia </w:t>
      </w:r>
      <w:r w:rsidR="00234352">
        <w:rPr>
          <w:rFonts w:ascii="Times New Roman" w:hAnsi="Times New Roman" w:cs="Times New Roman"/>
          <w:lang w:eastAsia="pl-PL"/>
        </w:rPr>
        <w:t xml:space="preserve">wszystkich </w:t>
      </w:r>
      <w:r w:rsidR="00304890">
        <w:rPr>
          <w:rFonts w:ascii="Times New Roman" w:hAnsi="Times New Roman" w:cs="Times New Roman"/>
          <w:lang w:eastAsia="pl-PL"/>
        </w:rPr>
        <w:t>podopiecznych</w:t>
      </w:r>
      <w:r w:rsidR="00114903">
        <w:rPr>
          <w:rFonts w:ascii="Times New Roman" w:hAnsi="Times New Roman" w:cs="Times New Roman"/>
          <w:lang w:eastAsia="pl-PL"/>
        </w:rPr>
        <w:t xml:space="preserve"> oraz eliminowanie pokus skłaniających jednostkę do dobrowolnego niszczenia swojego zdrowia</w:t>
      </w:r>
      <w:r w:rsidR="00304890">
        <w:rPr>
          <w:rFonts w:ascii="Times New Roman" w:hAnsi="Times New Roman" w:cs="Times New Roman"/>
          <w:lang w:eastAsia="pl-PL"/>
        </w:rPr>
        <w:t xml:space="preserve">. </w:t>
      </w:r>
    </w:p>
    <w:p w:rsidR="00346F3F" w:rsidRPr="00346F3F" w:rsidRDefault="00346F3F" w:rsidP="00346F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lang w:eastAsia="pl-PL"/>
        </w:rPr>
      </w:pPr>
      <w:r w:rsidRPr="00346F3F">
        <w:rPr>
          <w:rFonts w:ascii="Times New Roman" w:hAnsi="Times New Roman" w:cs="Times New Roman"/>
          <w:bCs/>
          <w:lang w:eastAsia="pl-PL"/>
        </w:rPr>
        <w:t>Naczelny Sąd Administracyjny w wyroku z dnia 03.08.2021 r. sygn. akt II GSK 1389/18 stwierdza: „Zgodnie z art. 2 ust. 1 pkt 4 ustawy o wychowaniu w trzeźwości i przeciwdziałaniu alkoholizmowi, ograniczanie dostępności alkoholu jest jednym z podstawowych wymogów polityki społecznej w zakresie przeciwdziałania alkoholizmowi. Wprowadzenie czasowego lub stałego zakazu sprzedaży, podawania, spożywania oraz wnoszenia napojów alkoholowych, w niewymienionych w art. 14 ust. 1 pkt 1-4, 6 oraz ust. 2a, 3, 4 i 5 tej ustawy o wychowaniu w trzeźwości i przeciwdziałaniu alkoholizmowi miejscach, obiektach lub na określonych obszarach gminy, wprost więc odpowiada celom określonym w tej ustawie.”. </w:t>
      </w:r>
    </w:p>
    <w:p w:rsidR="000F7280" w:rsidRPr="000F7280" w:rsidRDefault="000F7280" w:rsidP="000F72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F7280">
        <w:rPr>
          <w:rFonts w:ascii="Times New Roman" w:hAnsi="Times New Roman" w:cs="Times New Roman"/>
          <w:lang w:eastAsia="pl-PL"/>
        </w:rPr>
        <w:t>Jak wskazuje się w doktrynie, upoważnienie prawotwórcze dla rady gminy zawarte w art. 14 ust. 6 jest „swoistym wentylem bezpieczeństwa” mającym dopełniać komplementarnie skuteczność i efektywność regulacji zakazów sprzedaży, podawania, spożywania oraz wnoszenia napojów alkoholowych</w:t>
      </w:r>
      <w:r w:rsidR="00346F3F">
        <w:rPr>
          <w:rFonts w:ascii="Times New Roman" w:hAnsi="Times New Roman" w:cs="Times New Roman"/>
          <w:lang w:eastAsia="pl-PL"/>
        </w:rPr>
        <w:t xml:space="preserve"> przewidzianych przez ustawodawcę</w:t>
      </w:r>
      <w:r w:rsidRPr="000F7280">
        <w:rPr>
          <w:rFonts w:ascii="Times New Roman" w:hAnsi="Times New Roman" w:cs="Times New Roman"/>
          <w:lang w:eastAsia="pl-PL"/>
        </w:rPr>
        <w:t xml:space="preserve">. </w:t>
      </w:r>
      <w:r w:rsidR="000D50D4" w:rsidRPr="000D50D4">
        <w:rPr>
          <w:rFonts w:ascii="Times New Roman" w:hAnsi="Times New Roman" w:cs="Times New Roman"/>
          <w:lang w:eastAsia="pl-PL"/>
        </w:rPr>
        <w:t>Uchwała taka stanowi akt prawa miejscowego z uwagi na to, że</w:t>
      </w:r>
      <w:r w:rsidR="000D50D4">
        <w:rPr>
          <w:rFonts w:ascii="Times New Roman" w:hAnsi="Times New Roman" w:cs="Times New Roman"/>
          <w:lang w:eastAsia="pl-PL"/>
        </w:rPr>
        <w:t> </w:t>
      </w:r>
      <w:r w:rsidR="000D50D4" w:rsidRPr="000D50D4">
        <w:rPr>
          <w:rFonts w:ascii="Times New Roman" w:hAnsi="Times New Roman" w:cs="Times New Roman"/>
          <w:lang w:eastAsia="pl-PL"/>
        </w:rPr>
        <w:t>dotyczy praw podmiotowych człowieka i ma walor aktu fakultatywnego, rada gminy może, a</w:t>
      </w:r>
      <w:r w:rsidR="00290BF9">
        <w:rPr>
          <w:rFonts w:ascii="Times New Roman" w:hAnsi="Times New Roman" w:cs="Times New Roman"/>
          <w:lang w:eastAsia="pl-PL"/>
        </w:rPr>
        <w:t> </w:t>
      </w:r>
      <w:r w:rsidR="000D50D4" w:rsidRPr="000D50D4">
        <w:rPr>
          <w:rFonts w:ascii="Times New Roman" w:hAnsi="Times New Roman" w:cs="Times New Roman"/>
          <w:lang w:eastAsia="pl-PL"/>
        </w:rPr>
        <w:t>nie</w:t>
      </w:r>
      <w:r w:rsidR="00290BF9">
        <w:rPr>
          <w:rFonts w:ascii="Times New Roman" w:hAnsi="Times New Roman" w:cs="Times New Roman"/>
          <w:lang w:eastAsia="pl-PL"/>
        </w:rPr>
        <w:t> </w:t>
      </w:r>
      <w:r w:rsidR="000D50D4" w:rsidRPr="000D50D4">
        <w:rPr>
          <w:rFonts w:ascii="Times New Roman" w:hAnsi="Times New Roman" w:cs="Times New Roman"/>
          <w:lang w:eastAsia="pl-PL"/>
        </w:rPr>
        <w:t xml:space="preserve">musi korzystać z przypisanego jej ustawą upoważnienia prawotwórczego, a prawodawca lokalny powinien wyważyć przed jej podjęciem wartości i kryteria, o których jest mowa w upoważnieniu ustawowym do jej podjęcia. </w:t>
      </w:r>
      <w:r w:rsidRPr="000F7280">
        <w:rPr>
          <w:rFonts w:ascii="Times New Roman" w:hAnsi="Times New Roman" w:cs="Times New Roman"/>
          <w:lang w:eastAsia="pl-PL"/>
        </w:rPr>
        <w:t>Charakter uchwały rady gminy przyjmowanej na podstawie art.</w:t>
      </w:r>
      <w:r w:rsidR="00346F3F">
        <w:rPr>
          <w:rFonts w:ascii="Times New Roman" w:hAnsi="Times New Roman" w:cs="Times New Roman"/>
          <w:lang w:eastAsia="pl-PL"/>
        </w:rPr>
        <w:t> </w:t>
      </w:r>
      <w:r w:rsidRPr="000F7280">
        <w:rPr>
          <w:rFonts w:ascii="Times New Roman" w:hAnsi="Times New Roman" w:cs="Times New Roman"/>
          <w:lang w:eastAsia="pl-PL"/>
        </w:rPr>
        <w:t>14</w:t>
      </w:r>
      <w:r w:rsidR="00346F3F">
        <w:rPr>
          <w:rFonts w:ascii="Times New Roman" w:hAnsi="Times New Roman" w:cs="Times New Roman"/>
          <w:lang w:eastAsia="pl-PL"/>
        </w:rPr>
        <w:t> </w:t>
      </w:r>
      <w:r w:rsidRPr="000F7280">
        <w:rPr>
          <w:rFonts w:ascii="Times New Roman" w:hAnsi="Times New Roman" w:cs="Times New Roman"/>
          <w:lang w:eastAsia="pl-PL"/>
        </w:rPr>
        <w:t>ust. 6 ustawy o</w:t>
      </w:r>
      <w:r w:rsidR="000D50D4">
        <w:rPr>
          <w:rFonts w:ascii="Times New Roman" w:hAnsi="Times New Roman" w:cs="Times New Roman"/>
          <w:lang w:eastAsia="pl-PL"/>
        </w:rPr>
        <w:t> </w:t>
      </w:r>
      <w:r w:rsidRPr="000F7280">
        <w:rPr>
          <w:rFonts w:ascii="Times New Roman" w:hAnsi="Times New Roman" w:cs="Times New Roman"/>
          <w:lang w:eastAsia="pl-PL"/>
        </w:rPr>
        <w:t>wychowaniu w trzeźwości oraz odwołanie się w ustawie do charakteru miejsca, obiektu i</w:t>
      </w:r>
      <w:r w:rsidR="000D50D4">
        <w:rPr>
          <w:rFonts w:ascii="Times New Roman" w:hAnsi="Times New Roman" w:cs="Times New Roman"/>
          <w:lang w:eastAsia="pl-PL"/>
        </w:rPr>
        <w:t> </w:t>
      </w:r>
      <w:r w:rsidRPr="000F7280">
        <w:rPr>
          <w:rFonts w:ascii="Times New Roman" w:hAnsi="Times New Roman" w:cs="Times New Roman"/>
          <w:lang w:eastAsia="pl-PL"/>
        </w:rPr>
        <w:t>obszaru ogranicza swobodę rady we wprowadzaniu zakazów do takich miejsc, obiektów lub obszaru, w których obecność alkoholu jest szczególnie niepożądana i zagrażałaby wykonywaniu przez nich swoich funkcji.</w:t>
      </w:r>
      <w:r>
        <w:rPr>
          <w:rFonts w:ascii="Times New Roman" w:hAnsi="Times New Roman" w:cs="Times New Roman"/>
          <w:lang w:eastAsia="pl-PL"/>
        </w:rPr>
        <w:t xml:space="preserve"> </w:t>
      </w:r>
      <w:r w:rsidR="00346F3F">
        <w:rPr>
          <w:rFonts w:ascii="Times New Roman" w:hAnsi="Times New Roman" w:cs="Times New Roman"/>
          <w:lang w:eastAsia="pl-PL"/>
        </w:rPr>
        <w:t>C</w:t>
      </w:r>
      <w:r w:rsidRPr="000F7280">
        <w:rPr>
          <w:rFonts w:ascii="Times New Roman" w:hAnsi="Times New Roman" w:cs="Times New Roman"/>
          <w:lang w:eastAsia="pl-PL"/>
        </w:rPr>
        <w:t xml:space="preserve">hodzi o miejsca, obiekty lub określone obszary gminy, które nie mają waloru miejsc publicznych, </w:t>
      </w:r>
      <w:r w:rsidR="00346F3F">
        <w:rPr>
          <w:rFonts w:ascii="Times New Roman" w:hAnsi="Times New Roman" w:cs="Times New Roman"/>
          <w:lang w:eastAsia="pl-PL"/>
        </w:rPr>
        <w:t xml:space="preserve">nie </w:t>
      </w:r>
      <w:r w:rsidRPr="000F7280">
        <w:rPr>
          <w:rFonts w:ascii="Times New Roman" w:hAnsi="Times New Roman" w:cs="Times New Roman"/>
          <w:lang w:eastAsia="pl-PL"/>
        </w:rPr>
        <w:t>są</w:t>
      </w:r>
      <w:r w:rsidR="00346F3F">
        <w:rPr>
          <w:rFonts w:ascii="Times New Roman" w:hAnsi="Times New Roman" w:cs="Times New Roman"/>
          <w:lang w:eastAsia="pl-PL"/>
        </w:rPr>
        <w:t> </w:t>
      </w:r>
      <w:r w:rsidRPr="000F7280">
        <w:rPr>
          <w:rFonts w:ascii="Times New Roman" w:hAnsi="Times New Roman" w:cs="Times New Roman"/>
          <w:lang w:eastAsia="pl-PL"/>
        </w:rPr>
        <w:t>wymienione w art. 14 ust. 1–5, a</w:t>
      </w:r>
      <w:r w:rsidR="00346F3F">
        <w:rPr>
          <w:rFonts w:ascii="Times New Roman" w:hAnsi="Times New Roman" w:cs="Times New Roman"/>
          <w:lang w:eastAsia="pl-PL"/>
        </w:rPr>
        <w:t>le</w:t>
      </w:r>
      <w:r w:rsidRPr="000F7280">
        <w:rPr>
          <w:rFonts w:ascii="Times New Roman" w:hAnsi="Times New Roman" w:cs="Times New Roman"/>
          <w:lang w:eastAsia="pl-PL"/>
        </w:rPr>
        <w:t xml:space="preserve"> ich charakter</w:t>
      </w:r>
      <w:r w:rsidRPr="000F7280">
        <w:rPr>
          <w:rFonts w:ascii="Times New Roman" w:hAnsi="Times New Roman" w:cs="Times New Roman"/>
          <w:b/>
          <w:bCs/>
        </w:rPr>
        <w:t xml:space="preserve"> </w:t>
      </w:r>
      <w:r w:rsidRPr="000F7280">
        <w:rPr>
          <w:rFonts w:ascii="Times New Roman" w:hAnsi="Times New Roman" w:cs="Times New Roman"/>
          <w:bCs/>
        </w:rPr>
        <w:t>uzasadnia wprowadzenie czasowego lub stałego zakazu sprzedaży, podawania, spożywania oraz wnoszenia napojów alkoholowych</w:t>
      </w:r>
      <w:r w:rsidR="00652EBC">
        <w:rPr>
          <w:rStyle w:val="Odwoanieprzypisudolnego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. </w:t>
      </w:r>
      <w:r w:rsidRPr="000F7280">
        <w:rPr>
          <w:rFonts w:ascii="Times New Roman" w:hAnsi="Times New Roman" w:cs="Times New Roman"/>
          <w:bCs/>
        </w:rPr>
        <w:t xml:space="preserve">Domy pomocy społecznej takimi właśnie miejscami są.  </w:t>
      </w:r>
    </w:p>
    <w:p w:rsidR="000F7280" w:rsidRPr="00705274" w:rsidRDefault="000F7280" w:rsidP="007052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05274">
        <w:rPr>
          <w:rFonts w:ascii="Times New Roman" w:hAnsi="Times New Roman" w:cs="Times New Roman"/>
          <w:bCs/>
        </w:rPr>
        <w:t>Wprowadzane ograniczenie - zakaz sprzedaży, podawania, spożywania oraz wnoszenia napojów alkoholowych w domach pomocy społecznej - uzupełnia zakazy określone przez ustawodawcę w</w:t>
      </w:r>
      <w:r w:rsidR="00346F3F">
        <w:rPr>
          <w:rFonts w:ascii="Times New Roman" w:hAnsi="Times New Roman" w:cs="Times New Roman"/>
          <w:bCs/>
        </w:rPr>
        <w:t> </w:t>
      </w:r>
      <w:r w:rsidRPr="00705274">
        <w:rPr>
          <w:rFonts w:ascii="Times New Roman" w:hAnsi="Times New Roman" w:cs="Times New Roman"/>
          <w:bCs/>
        </w:rPr>
        <w:t>art.</w:t>
      </w:r>
      <w:r w:rsidR="00346F3F">
        <w:rPr>
          <w:rFonts w:ascii="Times New Roman" w:hAnsi="Times New Roman" w:cs="Times New Roman"/>
          <w:bCs/>
        </w:rPr>
        <w:t> </w:t>
      </w:r>
      <w:r w:rsidRPr="00705274">
        <w:rPr>
          <w:rFonts w:ascii="Times New Roman" w:hAnsi="Times New Roman" w:cs="Times New Roman"/>
          <w:bCs/>
        </w:rPr>
        <w:t>14</w:t>
      </w:r>
      <w:r w:rsidR="00346F3F">
        <w:rPr>
          <w:rFonts w:ascii="Times New Roman" w:hAnsi="Times New Roman" w:cs="Times New Roman"/>
          <w:bCs/>
        </w:rPr>
        <w:t> </w:t>
      </w:r>
      <w:r w:rsidRPr="00705274">
        <w:rPr>
          <w:rFonts w:ascii="Times New Roman" w:hAnsi="Times New Roman" w:cs="Times New Roman"/>
          <w:bCs/>
        </w:rPr>
        <w:t xml:space="preserve">ustawy o wychowaniu w trzeźwości i uzasadnione jest charakterem miejsc, których dotyczy. </w:t>
      </w:r>
    </w:p>
    <w:p w:rsidR="000F7280" w:rsidRPr="000F7280" w:rsidRDefault="000F7280" w:rsidP="007052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40F58" w:rsidRDefault="00740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5424C" w:rsidRDefault="0005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91712" w:rsidRDefault="0029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Projektowana uchwała stanowi akt prawa miejscowego.</w:t>
      </w:r>
    </w:p>
    <w:p w:rsidR="00291712" w:rsidRPr="0005424C" w:rsidRDefault="0005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424C">
        <w:rPr>
          <w:rFonts w:ascii="Times New Roman" w:hAnsi="Times New Roman" w:cs="Times New Roman"/>
        </w:rPr>
        <w:t>Projekt podlega konsultacjom społecznym.</w:t>
      </w:r>
    </w:p>
    <w:p w:rsidR="00291712" w:rsidRDefault="0029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nie zawiera danych prawnie chronionych.</w:t>
      </w:r>
    </w:p>
    <w:p w:rsidR="009F14FE" w:rsidRDefault="009F1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58E0" w:rsidRDefault="00B65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658E0" w:rsidSect="002917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7CB" w:rsidRDefault="00F837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837CB" w:rsidRDefault="00F837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KMKA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712" w:rsidRDefault="00291712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str. </w:t>
    </w:r>
    <w:r w:rsidR="00306A47"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   \* MERGEFORMAT </w:instrText>
    </w:r>
    <w:r w:rsidR="00306A47">
      <w:rPr>
        <w:rFonts w:ascii="Times New Roman" w:hAnsi="Times New Roman" w:cs="Times New Roman"/>
        <w:sz w:val="16"/>
        <w:szCs w:val="16"/>
      </w:rPr>
      <w:fldChar w:fldCharType="separate"/>
    </w:r>
    <w:r w:rsidR="00964031">
      <w:rPr>
        <w:rFonts w:ascii="Times New Roman" w:hAnsi="Times New Roman" w:cs="Times New Roman"/>
        <w:noProof/>
        <w:sz w:val="16"/>
        <w:szCs w:val="16"/>
      </w:rPr>
      <w:t>5</w:t>
    </w:r>
    <w:r w:rsidR="00306A47">
      <w:rPr>
        <w:rFonts w:ascii="Times New Roman" w:hAnsi="Times New Roman" w:cs="Times New Roman"/>
        <w:sz w:val="16"/>
        <w:szCs w:val="16"/>
      </w:rPr>
      <w:fldChar w:fldCharType="end"/>
    </w:r>
  </w:p>
  <w:p w:rsidR="00291712" w:rsidRDefault="0029171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7CB" w:rsidRDefault="00F837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837CB" w:rsidRDefault="00F837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E2828" w:rsidRDefault="00EE2828" w:rsidP="00EE28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Por. W.S. Zgliczyński, </w:t>
      </w:r>
      <w:r w:rsidRPr="00EE2828">
        <w:rPr>
          <w:rFonts w:ascii="Times New Roman" w:hAnsi="Times New Roman" w:cs="Times New Roman"/>
          <w:i/>
          <w:iCs/>
          <w:color w:val="333333"/>
          <w:sz w:val="18"/>
          <w:szCs w:val="18"/>
          <w:shd w:val="clear" w:color="auto" w:fill="FFFFFF"/>
        </w:rPr>
        <w:t>Alkohol w Polsce</w:t>
      </w:r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„</w:t>
      </w:r>
      <w:proofErr w:type="spellStart"/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Infos</w:t>
      </w:r>
      <w:proofErr w:type="spellEnd"/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Zagadnienia społeczno-gospodarcze” 2016/11(215).</w:t>
      </w:r>
    </w:p>
  </w:footnote>
  <w:footnote w:id="2">
    <w:p w:rsidR="000A2A6D" w:rsidRDefault="000A2A6D" w:rsidP="000A2A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B. </w:t>
      </w:r>
      <w:proofErr w:type="spellStart"/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Przywora</w:t>
      </w:r>
      <w:proofErr w:type="spellEnd"/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 </w:t>
      </w:r>
      <w:r w:rsidRPr="00EE2828">
        <w:rPr>
          <w:rFonts w:ascii="Times New Roman" w:hAnsi="Times New Roman" w:cs="Times New Roman"/>
          <w:i/>
          <w:iCs/>
          <w:color w:val="333333"/>
          <w:sz w:val="18"/>
          <w:szCs w:val="18"/>
          <w:shd w:val="clear" w:color="auto" w:fill="FFFFFF"/>
        </w:rPr>
        <w:t xml:space="preserve">Problematyka ograniczeń w dostępie do napojów alkoholowych na terenie gminy po nowelizacji ustawy o wychowaniu w trzeźwości i przeciwdziałaniu alkoholizmowi z 2018 r. Analiza z perspektywy </w:t>
      </w:r>
      <w:proofErr w:type="gramStart"/>
      <w:r w:rsidRPr="00EE2828">
        <w:rPr>
          <w:rFonts w:ascii="Times New Roman" w:hAnsi="Times New Roman" w:cs="Times New Roman"/>
          <w:i/>
          <w:iCs/>
          <w:color w:val="333333"/>
          <w:sz w:val="18"/>
          <w:szCs w:val="18"/>
          <w:shd w:val="clear" w:color="auto" w:fill="FFFFFF"/>
        </w:rPr>
        <w:t>konstytucyjnej </w:t>
      </w:r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</w:t>
      </w:r>
      <w:proofErr w:type="gramEnd"/>
      <w:r w:rsidRPr="00EE282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PPP 2018, nr 5.</w:t>
      </w:r>
    </w:p>
  </w:footnote>
  <w:footnote w:id="3">
    <w:p w:rsidR="00BF2F70" w:rsidRPr="0032378A" w:rsidRDefault="00BF2F70" w:rsidP="00BF2F70">
      <w:pPr>
        <w:pStyle w:val="Tekstprzypisudolneg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237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Por. L. Garlicki, K. </w:t>
      </w:r>
      <w:proofErr w:type="spellStart"/>
      <w:r w:rsidRPr="0032378A">
        <w:rPr>
          <w:rFonts w:ascii="Times New Roman" w:hAnsi="Times New Roman" w:cs="Times New Roman"/>
          <w:color w:val="000000" w:themeColor="text1"/>
          <w:sz w:val="18"/>
          <w:szCs w:val="18"/>
        </w:rPr>
        <w:t>Wojtyczek</w:t>
      </w:r>
      <w:proofErr w:type="spellEnd"/>
      <w:r w:rsidRPr="003237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komentarz do art. 31, uwaga 37 [w:] Konstytucja Rzeczypospolitej...; wyrok TK z 4.11.2014 r., </w:t>
      </w:r>
      <w:hyperlink r:id="rId1" w:anchor="/document/521629214?cm=DOCUMENT" w:tgtFrame="_blank" w:history="1">
        <w:r w:rsidRPr="0032378A">
          <w:rPr>
            <w:rFonts w:ascii="Times New Roman" w:hAnsi="Times New Roman"/>
            <w:color w:val="000000" w:themeColor="text1"/>
            <w:sz w:val="18"/>
            <w:szCs w:val="18"/>
          </w:rPr>
          <w:t>SK 55/13</w:t>
        </w:r>
      </w:hyperlink>
      <w:r w:rsidRPr="0032378A">
        <w:rPr>
          <w:rFonts w:ascii="Times New Roman" w:hAnsi="Times New Roman" w:cs="Times New Roman"/>
          <w:color w:val="000000" w:themeColor="text1"/>
          <w:sz w:val="18"/>
          <w:szCs w:val="18"/>
        </w:rPr>
        <w:t>, OTK-A/2014/10, poz. 111.</w:t>
      </w:r>
    </w:p>
  </w:footnote>
  <w:footnote w:id="4">
    <w:p w:rsidR="00BF2F70" w:rsidRDefault="00BF2F70" w:rsidP="00BF2F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2EB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Wyrok TK z 9.07.2009 r., </w:t>
      </w:r>
      <w:r w:rsidRPr="00652EBC">
        <w:rPr>
          <w:rFonts w:ascii="Times New Roman" w:hAnsi="Times New Roman" w:cs="Times New Roman"/>
          <w:sz w:val="18"/>
          <w:szCs w:val="18"/>
          <w:shd w:val="clear" w:color="auto" w:fill="FFFFFF"/>
        </w:rPr>
        <w:t>SK 48/05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>.</w:t>
      </w:r>
    </w:p>
  </w:footnote>
  <w:footnote w:id="5">
    <w:p w:rsidR="00A00E05" w:rsidRDefault="00A00E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0E05">
        <w:rPr>
          <w:rFonts w:ascii="Times New Roman" w:hAnsi="Times New Roman" w:cs="Times New Roman"/>
          <w:color w:val="000000" w:themeColor="text1"/>
        </w:rPr>
        <w:t xml:space="preserve">Uchwała nr XLIX/1298/22 Rady Miejskiej Wrocławia z dnia 24 lutego 2022 r. w sprawie „Gminnego programu profilaktyki i rozwiązywania problemów alkoholowych oraz przeciwdziałania narkomanii dla miasta Wrocławia na lata 2022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A00E05">
        <w:rPr>
          <w:rFonts w:ascii="Times New Roman" w:hAnsi="Times New Roman" w:cs="Times New Roman"/>
          <w:color w:val="000000" w:themeColor="text1"/>
        </w:rPr>
        <w:t xml:space="preserve"> 2025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6">
    <w:p w:rsidR="00A3123B" w:rsidRPr="009F14FE" w:rsidRDefault="00A3123B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F14FE">
        <w:rPr>
          <w:rFonts w:ascii="Times New Roman" w:hAnsi="Times New Roman" w:cs="Times New Roman"/>
          <w:color w:val="000000" w:themeColor="text1"/>
        </w:rPr>
        <w:t xml:space="preserve">Uchwała nr LX/1424/18 Rady Miejskiej Wrocławia z dnia 23 sierpnia 2018 r. w sprawie zasad usytuowania punktów sprzedaży i podawania napojów alkoholowych na terenie Wrocławia, zmieniona uchwałą nr </w:t>
      </w:r>
      <w:r w:rsidRPr="009F14FE">
        <w:rPr>
          <w:rFonts w:ascii="Times New Roman" w:hAnsi="Times New Roman" w:cs="Times New Roman"/>
        </w:rPr>
        <w:t>VIII/196/19 Rady Miejskiej Wrocławia z dnia 11 kwietnia 2019 r.</w:t>
      </w:r>
      <w:r w:rsidRPr="009F14FE"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7">
    <w:p w:rsidR="00652EBC" w:rsidRPr="00652EBC" w:rsidRDefault="00652EBC" w:rsidP="00652EB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2EBC">
        <w:rPr>
          <w:rFonts w:ascii="Times New Roman" w:hAnsi="Times New Roman" w:cs="Times New Roman"/>
          <w:sz w:val="18"/>
          <w:szCs w:val="18"/>
        </w:rPr>
        <w:t>Vide: I. Niżnik-Dobosz [w:] M. Koszowski, I. Niżnik-Dobosz, </w:t>
      </w:r>
      <w:r w:rsidRPr="00652EBC">
        <w:rPr>
          <w:rFonts w:ascii="Times New Roman" w:hAnsi="Times New Roman" w:cs="Times New Roman"/>
          <w:i/>
          <w:iCs/>
          <w:sz w:val="18"/>
          <w:szCs w:val="18"/>
        </w:rPr>
        <w:t>Ustawa o wychowaniu w trzeźwości i przeciwdziałaniu alkoholizmowi. Komentarz</w:t>
      </w:r>
      <w:r w:rsidRPr="00652EBC">
        <w:rPr>
          <w:rFonts w:ascii="Times New Roman" w:hAnsi="Times New Roman" w:cs="Times New Roman"/>
          <w:sz w:val="18"/>
          <w:szCs w:val="18"/>
        </w:rPr>
        <w:t>, LEX/el. 2022, art. 14.</w:t>
      </w:r>
    </w:p>
    <w:p w:rsidR="00652EBC" w:rsidRDefault="00652E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EE1"/>
    <w:multiLevelType w:val="hybridMultilevel"/>
    <w:tmpl w:val="4CA015A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1A57CD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504520B"/>
    <w:multiLevelType w:val="hybridMultilevel"/>
    <w:tmpl w:val="C59C894E"/>
    <w:lvl w:ilvl="0" w:tplc="F1469D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A10AC8"/>
    <w:multiLevelType w:val="hybridMultilevel"/>
    <w:tmpl w:val="8F1463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3124622C"/>
    <w:multiLevelType w:val="hybridMultilevel"/>
    <w:tmpl w:val="EAE26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A550B08"/>
    <w:multiLevelType w:val="hybridMultilevel"/>
    <w:tmpl w:val="C5D645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E313A2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97A68EB"/>
    <w:multiLevelType w:val="hybridMultilevel"/>
    <w:tmpl w:val="368E44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A99604F"/>
    <w:multiLevelType w:val="hybridMultilevel"/>
    <w:tmpl w:val="B78C27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C91691A"/>
    <w:multiLevelType w:val="hybridMultilevel"/>
    <w:tmpl w:val="D632E164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6E93591"/>
    <w:multiLevelType w:val="hybridMultilevel"/>
    <w:tmpl w:val="9DFA2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35FA4"/>
    <w:multiLevelType w:val="hybridMultilevel"/>
    <w:tmpl w:val="BCB03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A480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0C47030"/>
    <w:multiLevelType w:val="hybridMultilevel"/>
    <w:tmpl w:val="3E78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64A74"/>
    <w:multiLevelType w:val="hybridMultilevel"/>
    <w:tmpl w:val="660A1EF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12"/>
    <w:rsid w:val="000071A5"/>
    <w:rsid w:val="00024197"/>
    <w:rsid w:val="0003085F"/>
    <w:rsid w:val="0003155A"/>
    <w:rsid w:val="00043825"/>
    <w:rsid w:val="0004629F"/>
    <w:rsid w:val="00047A1B"/>
    <w:rsid w:val="0005424C"/>
    <w:rsid w:val="00081A43"/>
    <w:rsid w:val="00084726"/>
    <w:rsid w:val="0009461A"/>
    <w:rsid w:val="000A2A6D"/>
    <w:rsid w:val="000C2602"/>
    <w:rsid w:val="000D058F"/>
    <w:rsid w:val="000D148A"/>
    <w:rsid w:val="000D50D4"/>
    <w:rsid w:val="000F7280"/>
    <w:rsid w:val="00107EF6"/>
    <w:rsid w:val="00114903"/>
    <w:rsid w:val="001529AA"/>
    <w:rsid w:val="00156E15"/>
    <w:rsid w:val="00164889"/>
    <w:rsid w:val="00166F05"/>
    <w:rsid w:val="00181BA0"/>
    <w:rsid w:val="00186835"/>
    <w:rsid w:val="001D1D91"/>
    <w:rsid w:val="001E2A1D"/>
    <w:rsid w:val="001F5277"/>
    <w:rsid w:val="002018C3"/>
    <w:rsid w:val="00206B4D"/>
    <w:rsid w:val="00216BEE"/>
    <w:rsid w:val="002211C7"/>
    <w:rsid w:val="00224391"/>
    <w:rsid w:val="00230E75"/>
    <w:rsid w:val="00234352"/>
    <w:rsid w:val="00236852"/>
    <w:rsid w:val="00247B14"/>
    <w:rsid w:val="00247C93"/>
    <w:rsid w:val="00253DA8"/>
    <w:rsid w:val="002705EA"/>
    <w:rsid w:val="0028642C"/>
    <w:rsid w:val="00290BF9"/>
    <w:rsid w:val="002916F6"/>
    <w:rsid w:val="00291712"/>
    <w:rsid w:val="002B6979"/>
    <w:rsid w:val="002C39E5"/>
    <w:rsid w:val="00304890"/>
    <w:rsid w:val="003052F6"/>
    <w:rsid w:val="003061F3"/>
    <w:rsid w:val="00306A47"/>
    <w:rsid w:val="0031496E"/>
    <w:rsid w:val="0032378A"/>
    <w:rsid w:val="00330150"/>
    <w:rsid w:val="003409AB"/>
    <w:rsid w:val="00346F3F"/>
    <w:rsid w:val="003517F1"/>
    <w:rsid w:val="00373279"/>
    <w:rsid w:val="00373747"/>
    <w:rsid w:val="00393E19"/>
    <w:rsid w:val="003B2710"/>
    <w:rsid w:val="003B6363"/>
    <w:rsid w:val="003C54FC"/>
    <w:rsid w:val="003D1888"/>
    <w:rsid w:val="003E169E"/>
    <w:rsid w:val="003E2390"/>
    <w:rsid w:val="003E2FF4"/>
    <w:rsid w:val="003E6D80"/>
    <w:rsid w:val="00401C6C"/>
    <w:rsid w:val="004036F7"/>
    <w:rsid w:val="00404E12"/>
    <w:rsid w:val="0045061E"/>
    <w:rsid w:val="00456934"/>
    <w:rsid w:val="004679CB"/>
    <w:rsid w:val="004770FD"/>
    <w:rsid w:val="004A771A"/>
    <w:rsid w:val="004B7EC1"/>
    <w:rsid w:val="004E1A64"/>
    <w:rsid w:val="004E3578"/>
    <w:rsid w:val="0054129A"/>
    <w:rsid w:val="0055796E"/>
    <w:rsid w:val="00557AC3"/>
    <w:rsid w:val="00590661"/>
    <w:rsid w:val="005952A5"/>
    <w:rsid w:val="005A1744"/>
    <w:rsid w:val="0061653D"/>
    <w:rsid w:val="006358EC"/>
    <w:rsid w:val="0064084C"/>
    <w:rsid w:val="00647376"/>
    <w:rsid w:val="00652EBC"/>
    <w:rsid w:val="00687E91"/>
    <w:rsid w:val="006E4540"/>
    <w:rsid w:val="0070236F"/>
    <w:rsid w:val="00705274"/>
    <w:rsid w:val="00710008"/>
    <w:rsid w:val="00711E42"/>
    <w:rsid w:val="007223A8"/>
    <w:rsid w:val="007379EF"/>
    <w:rsid w:val="00740F58"/>
    <w:rsid w:val="007538BB"/>
    <w:rsid w:val="00756C7B"/>
    <w:rsid w:val="007654C5"/>
    <w:rsid w:val="0076757D"/>
    <w:rsid w:val="007818D8"/>
    <w:rsid w:val="00797799"/>
    <w:rsid w:val="007A18D2"/>
    <w:rsid w:val="007A3E3E"/>
    <w:rsid w:val="007B475A"/>
    <w:rsid w:val="007C2E4C"/>
    <w:rsid w:val="007D3B9E"/>
    <w:rsid w:val="007D64FC"/>
    <w:rsid w:val="007E0A4E"/>
    <w:rsid w:val="00803649"/>
    <w:rsid w:val="00803B06"/>
    <w:rsid w:val="00824104"/>
    <w:rsid w:val="008441D4"/>
    <w:rsid w:val="00844EFA"/>
    <w:rsid w:val="0084530B"/>
    <w:rsid w:val="0085623D"/>
    <w:rsid w:val="008A0995"/>
    <w:rsid w:val="008A1178"/>
    <w:rsid w:val="008A2E6A"/>
    <w:rsid w:val="008B3C15"/>
    <w:rsid w:val="008C0FC2"/>
    <w:rsid w:val="008D030A"/>
    <w:rsid w:val="009028C5"/>
    <w:rsid w:val="00925742"/>
    <w:rsid w:val="00933E4F"/>
    <w:rsid w:val="009361BA"/>
    <w:rsid w:val="00941E05"/>
    <w:rsid w:val="00942A7D"/>
    <w:rsid w:val="009630E5"/>
    <w:rsid w:val="00963E29"/>
    <w:rsid w:val="00964031"/>
    <w:rsid w:val="00964084"/>
    <w:rsid w:val="009845D1"/>
    <w:rsid w:val="00991796"/>
    <w:rsid w:val="009A05F6"/>
    <w:rsid w:val="009C46D1"/>
    <w:rsid w:val="009D2EE2"/>
    <w:rsid w:val="009F14FE"/>
    <w:rsid w:val="00A00471"/>
    <w:rsid w:val="00A00E05"/>
    <w:rsid w:val="00A06DA7"/>
    <w:rsid w:val="00A24712"/>
    <w:rsid w:val="00A25FDD"/>
    <w:rsid w:val="00A3123B"/>
    <w:rsid w:val="00A35CA6"/>
    <w:rsid w:val="00A37F3B"/>
    <w:rsid w:val="00A4042D"/>
    <w:rsid w:val="00A61467"/>
    <w:rsid w:val="00A76CEB"/>
    <w:rsid w:val="00AC5183"/>
    <w:rsid w:val="00AD45FE"/>
    <w:rsid w:val="00B07648"/>
    <w:rsid w:val="00B22750"/>
    <w:rsid w:val="00B528BF"/>
    <w:rsid w:val="00B532A9"/>
    <w:rsid w:val="00B545C5"/>
    <w:rsid w:val="00B6005E"/>
    <w:rsid w:val="00B6449C"/>
    <w:rsid w:val="00B658E0"/>
    <w:rsid w:val="00B724AF"/>
    <w:rsid w:val="00B77335"/>
    <w:rsid w:val="00B7765F"/>
    <w:rsid w:val="00BA1442"/>
    <w:rsid w:val="00BA44C0"/>
    <w:rsid w:val="00BB062A"/>
    <w:rsid w:val="00BB10E3"/>
    <w:rsid w:val="00BC305E"/>
    <w:rsid w:val="00BD1500"/>
    <w:rsid w:val="00BE051A"/>
    <w:rsid w:val="00BE1C3D"/>
    <w:rsid w:val="00BF2F70"/>
    <w:rsid w:val="00BF38E4"/>
    <w:rsid w:val="00C03806"/>
    <w:rsid w:val="00C251A6"/>
    <w:rsid w:val="00C3628E"/>
    <w:rsid w:val="00C41408"/>
    <w:rsid w:val="00C700F3"/>
    <w:rsid w:val="00C8352E"/>
    <w:rsid w:val="00C95150"/>
    <w:rsid w:val="00C979F4"/>
    <w:rsid w:val="00CA1221"/>
    <w:rsid w:val="00CB7932"/>
    <w:rsid w:val="00CC18B0"/>
    <w:rsid w:val="00CC71E6"/>
    <w:rsid w:val="00CE1345"/>
    <w:rsid w:val="00CE4B87"/>
    <w:rsid w:val="00CF1B9B"/>
    <w:rsid w:val="00CF2B41"/>
    <w:rsid w:val="00CF76F6"/>
    <w:rsid w:val="00D11756"/>
    <w:rsid w:val="00D2278C"/>
    <w:rsid w:val="00D24F18"/>
    <w:rsid w:val="00D2517A"/>
    <w:rsid w:val="00D27510"/>
    <w:rsid w:val="00D410BE"/>
    <w:rsid w:val="00D43D0C"/>
    <w:rsid w:val="00D510BC"/>
    <w:rsid w:val="00D64B06"/>
    <w:rsid w:val="00D71EF3"/>
    <w:rsid w:val="00D77E5A"/>
    <w:rsid w:val="00D96824"/>
    <w:rsid w:val="00DB48E3"/>
    <w:rsid w:val="00DB55C3"/>
    <w:rsid w:val="00DB7D51"/>
    <w:rsid w:val="00DC5871"/>
    <w:rsid w:val="00DD20F6"/>
    <w:rsid w:val="00DD3E35"/>
    <w:rsid w:val="00DE7469"/>
    <w:rsid w:val="00DE76F9"/>
    <w:rsid w:val="00DF34DD"/>
    <w:rsid w:val="00DF4387"/>
    <w:rsid w:val="00E32A4D"/>
    <w:rsid w:val="00E457AA"/>
    <w:rsid w:val="00E64F66"/>
    <w:rsid w:val="00E72A35"/>
    <w:rsid w:val="00E76F3F"/>
    <w:rsid w:val="00E83685"/>
    <w:rsid w:val="00E91FB6"/>
    <w:rsid w:val="00ED5422"/>
    <w:rsid w:val="00EE2828"/>
    <w:rsid w:val="00EE6728"/>
    <w:rsid w:val="00F03811"/>
    <w:rsid w:val="00F31F5E"/>
    <w:rsid w:val="00F73E2A"/>
    <w:rsid w:val="00F74FA8"/>
    <w:rsid w:val="00F815B3"/>
    <w:rsid w:val="00F837CB"/>
    <w:rsid w:val="00F944F8"/>
    <w:rsid w:val="00FC1BAA"/>
    <w:rsid w:val="00FC7913"/>
    <w:rsid w:val="00FD101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CE3EB-F2E8-47A3-96DB-A568E293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EF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44EFA"/>
    <w:pPr>
      <w:spacing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EFA"/>
    <w:rPr>
      <w:rFonts w:ascii="Verdana" w:hAnsi="Verdana" w:cs="Verdana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844EFA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4EFA"/>
    <w:pPr>
      <w:spacing w:after="0" w:line="240" w:lineRule="auto"/>
    </w:pPr>
    <w:rPr>
      <w:rFonts w:ascii="Verdana" w:hAnsi="Verdana" w:cs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4EFA"/>
    <w:rPr>
      <w:rFonts w:ascii="Verdana" w:hAnsi="Verdana" w:cs="Verdan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44EFA"/>
    <w:pPr>
      <w:tabs>
        <w:tab w:val="left" w:pos="36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spacing w:after="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4EFA"/>
    <w:rPr>
      <w:rFonts w:ascii="Verdana" w:hAnsi="Verdana" w:cs="Verdana"/>
      <w:sz w:val="24"/>
      <w:szCs w:val="24"/>
      <w:lang w:eastAsia="pl-PL"/>
    </w:rPr>
  </w:style>
  <w:style w:type="paragraph" w:customStyle="1" w:styleId="Default">
    <w:name w:val="Default"/>
    <w:uiPriority w:val="99"/>
    <w:rsid w:val="00844EFA"/>
    <w:pPr>
      <w:autoSpaceDE w:val="0"/>
      <w:autoSpaceDN w:val="0"/>
      <w:adjustRightInd w:val="0"/>
    </w:pPr>
    <w:rPr>
      <w:rFonts w:ascii="OKMKAJ+Arial" w:hAnsi="OKMKAJ+Arial" w:cs="OKMKAJ+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44EFA"/>
    <w:pPr>
      <w:ind w:left="720"/>
    </w:pPr>
  </w:style>
  <w:style w:type="paragraph" w:styleId="Tekstpodstawowy3">
    <w:name w:val="Body Text 3"/>
    <w:basedOn w:val="Normalny"/>
    <w:link w:val="Tekstpodstawowy3Znak"/>
    <w:uiPriority w:val="99"/>
    <w:rsid w:val="00844E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44EFA"/>
    <w:rPr>
      <w:rFonts w:ascii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844EFA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omylnaczcionkaakapitu"/>
    <w:rsid w:val="00844EFA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84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44EF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4E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844EFA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44E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EF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44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44EFA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EFA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4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EFA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844EFA"/>
    <w:rPr>
      <w:rFonts w:ascii="Times New Roman" w:hAnsi="Times New Roman" w:cs="Times New Roman"/>
      <w:b/>
      <w:bCs/>
    </w:rPr>
  </w:style>
  <w:style w:type="character" w:customStyle="1" w:styleId="info-list-value-uzasadnienie">
    <w:name w:val="info-list-value-uzasadnienie"/>
    <w:basedOn w:val="Domylnaczcionkaakapitu"/>
    <w:uiPriority w:val="99"/>
    <w:rsid w:val="00844EFA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E05"/>
    <w:rPr>
      <w:color w:val="605E5C"/>
      <w:shd w:val="clear" w:color="auto" w:fill="E1DFDD"/>
    </w:rPr>
  </w:style>
  <w:style w:type="paragraph" w:styleId="Tytu">
    <w:name w:val="Title"/>
    <w:aliases w:val="WZD.Tytuł"/>
    <w:basedOn w:val="Normalny"/>
    <w:next w:val="Normalny"/>
    <w:link w:val="TytuZnak"/>
    <w:autoRedefine/>
    <w:uiPriority w:val="10"/>
    <w:qFormat/>
    <w:rsid w:val="007A3E3E"/>
    <w:pPr>
      <w:spacing w:before="360" w:after="360" w:line="288" w:lineRule="auto"/>
      <w:outlineLvl w:val="0"/>
    </w:pPr>
    <w:rPr>
      <w:rFonts w:ascii="Verdana" w:eastAsia="Times New Roman" w:hAnsi="Verdana" w:cs="Times New Roman"/>
      <w:b/>
      <w:bCs/>
      <w:kern w:val="28"/>
      <w:sz w:val="24"/>
      <w:szCs w:val="32"/>
    </w:rPr>
  </w:style>
  <w:style w:type="character" w:customStyle="1" w:styleId="TytuZnak">
    <w:name w:val="Tytuł Znak"/>
    <w:aliases w:val="WZD.Tytuł Znak"/>
    <w:basedOn w:val="Domylnaczcionkaakapitu"/>
    <w:link w:val="Tytu"/>
    <w:uiPriority w:val="10"/>
    <w:rsid w:val="007A3E3E"/>
    <w:rPr>
      <w:rFonts w:ascii="Verdana" w:eastAsia="Times New Roman" w:hAnsi="Verdana" w:cs="Times New Roman"/>
      <w:b/>
      <w:bCs/>
      <w:kern w:val="28"/>
      <w:sz w:val="24"/>
      <w:szCs w:val="32"/>
      <w:lang w:eastAsia="en-US"/>
    </w:rPr>
  </w:style>
  <w:style w:type="character" w:customStyle="1" w:styleId="fn-ref">
    <w:name w:val="fn-ref"/>
    <w:basedOn w:val="Domylnaczcionkaakapitu"/>
    <w:rsid w:val="0070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3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39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849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15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07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98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4CCE-6B99-4D9D-A371-A77EA989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2978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Hewlett-Packard Company</Company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umkoka01</dc:creator>
  <cp:lastModifiedBy>Kornelia Kasprzyk</cp:lastModifiedBy>
  <cp:revision>2</cp:revision>
  <cp:lastPrinted>2024-09-06T11:30:00Z</cp:lastPrinted>
  <dcterms:created xsi:type="dcterms:W3CDTF">2024-10-17T12:44:00Z</dcterms:created>
  <dcterms:modified xsi:type="dcterms:W3CDTF">2024-10-17T12:44:00Z</dcterms:modified>
</cp:coreProperties>
</file>