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153B" w14:textId="77777777" w:rsidR="004E1297" w:rsidRPr="00166909" w:rsidRDefault="004E1297" w:rsidP="00166909">
      <w:pPr>
        <w:pStyle w:val="Tytu"/>
        <w:spacing w:after="100" w:afterAutospacing="1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166909">
        <w:rPr>
          <w:rFonts w:ascii="Verdana" w:hAnsi="Verdana" w:cs="Times New Roman"/>
          <w:b/>
          <w:bCs/>
          <w:sz w:val="24"/>
          <w:szCs w:val="24"/>
        </w:rPr>
        <w:t>Uzasadnienie</w:t>
      </w:r>
    </w:p>
    <w:p w14:paraId="624C5E43" w14:textId="7DD9B39D" w:rsidR="004E1297" w:rsidRPr="00166909" w:rsidRDefault="004E1297" w:rsidP="00166909">
      <w:pPr>
        <w:pStyle w:val="Akapitzlist"/>
        <w:tabs>
          <w:tab w:val="left" w:pos="4253"/>
        </w:tabs>
        <w:spacing w:after="0" w:line="360" w:lineRule="auto"/>
        <w:ind w:left="0"/>
        <w:rPr>
          <w:rFonts w:ascii="Verdana" w:hAnsi="Verdana"/>
          <w:b/>
        </w:rPr>
      </w:pPr>
      <w:r w:rsidRPr="00166909">
        <w:rPr>
          <w:rFonts w:ascii="Verdana" w:hAnsi="Verdana"/>
          <w:b/>
        </w:rPr>
        <w:t xml:space="preserve">głosowania za podjęciem uchwały </w:t>
      </w:r>
      <w:r w:rsidR="00323A4D" w:rsidRPr="00166909">
        <w:rPr>
          <w:rFonts w:ascii="Verdana" w:hAnsi="Verdana"/>
          <w:b/>
        </w:rPr>
        <w:t>dotyczącej</w:t>
      </w:r>
      <w:r w:rsidRPr="00166909">
        <w:rPr>
          <w:rFonts w:ascii="Verdana" w:hAnsi="Verdana"/>
          <w:b/>
        </w:rPr>
        <w:t xml:space="preserve"> zasad kształtowania wynagrodzeń́ Zarządu Wrocławskiego Parku Wodnego S.A. w wysokości wyższej niż</w:t>
      </w:r>
      <w:r w:rsidRPr="00166909">
        <w:rPr>
          <w:rFonts w:ascii="Arial" w:hAnsi="Arial" w:cs="Arial"/>
          <w:b/>
        </w:rPr>
        <w:t>̇</w:t>
      </w:r>
      <w:r w:rsidRPr="00166909">
        <w:rPr>
          <w:rFonts w:ascii="Verdana" w:hAnsi="Verdana"/>
          <w:b/>
        </w:rPr>
        <w:t xml:space="preserve"> okre</w:t>
      </w:r>
      <w:r w:rsidRPr="00166909">
        <w:rPr>
          <w:rFonts w:ascii="Verdana" w:hAnsi="Verdana" w:cs="Verdana"/>
          <w:b/>
        </w:rPr>
        <w:t>ś</w:t>
      </w:r>
      <w:r w:rsidRPr="00166909">
        <w:rPr>
          <w:rFonts w:ascii="Verdana" w:hAnsi="Verdana"/>
          <w:b/>
        </w:rPr>
        <w:t>lona zgodnie z art. 4 ust. 2 ustawy z dnia 9 czerwca 2016 r. o zasadach kszta</w:t>
      </w:r>
      <w:r w:rsidRPr="00166909">
        <w:rPr>
          <w:rFonts w:ascii="Verdana" w:hAnsi="Verdana" w:cs="Verdana"/>
          <w:b/>
        </w:rPr>
        <w:t>ł</w:t>
      </w:r>
      <w:r w:rsidRPr="00166909">
        <w:rPr>
          <w:rFonts w:ascii="Verdana" w:hAnsi="Verdana"/>
          <w:b/>
        </w:rPr>
        <w:t>towania wynagrodze</w:t>
      </w:r>
      <w:r w:rsidRPr="00166909">
        <w:rPr>
          <w:rFonts w:ascii="Verdana" w:hAnsi="Verdana" w:cs="Verdana"/>
          <w:b/>
        </w:rPr>
        <w:t>ń</w:t>
      </w:r>
      <w:r w:rsidRPr="00166909">
        <w:rPr>
          <w:rFonts w:ascii="Verdana" w:hAnsi="Verdana"/>
          <w:b/>
        </w:rPr>
        <w:t>́ os</w:t>
      </w:r>
      <w:r w:rsidRPr="00166909">
        <w:rPr>
          <w:rFonts w:ascii="Verdana" w:hAnsi="Verdana" w:cs="Verdana"/>
          <w:b/>
        </w:rPr>
        <w:t>ó</w:t>
      </w:r>
      <w:r w:rsidRPr="00166909">
        <w:rPr>
          <w:rFonts w:ascii="Verdana" w:hAnsi="Verdana"/>
          <w:b/>
        </w:rPr>
        <w:t>b kieruj</w:t>
      </w:r>
      <w:r w:rsidRPr="00166909">
        <w:rPr>
          <w:rFonts w:ascii="Verdana" w:hAnsi="Verdana" w:cs="Verdana"/>
          <w:b/>
        </w:rPr>
        <w:t>ą</w:t>
      </w:r>
      <w:r w:rsidRPr="00166909">
        <w:rPr>
          <w:rFonts w:ascii="Verdana" w:hAnsi="Verdana"/>
          <w:b/>
        </w:rPr>
        <w:t>cych niekt</w:t>
      </w:r>
      <w:r w:rsidRPr="00166909">
        <w:rPr>
          <w:rFonts w:ascii="Verdana" w:hAnsi="Verdana" w:cs="Verdana"/>
          <w:b/>
        </w:rPr>
        <w:t>ó</w:t>
      </w:r>
      <w:r w:rsidRPr="00166909">
        <w:rPr>
          <w:rFonts w:ascii="Verdana" w:hAnsi="Verdana"/>
          <w:b/>
        </w:rPr>
        <w:t>rymi sp</w:t>
      </w:r>
      <w:r w:rsidRPr="00166909">
        <w:rPr>
          <w:rFonts w:ascii="Verdana" w:hAnsi="Verdana" w:cs="Verdana"/>
          <w:b/>
        </w:rPr>
        <w:t>ół</w:t>
      </w:r>
      <w:r w:rsidRPr="00166909">
        <w:rPr>
          <w:rFonts w:ascii="Verdana" w:hAnsi="Verdana"/>
          <w:b/>
        </w:rPr>
        <w:t>kami.</w:t>
      </w:r>
    </w:p>
    <w:p w14:paraId="47BC15A4" w14:textId="4D9F7ED5" w:rsidR="000B3575" w:rsidRPr="00166909" w:rsidRDefault="000B3575" w:rsidP="00166909">
      <w:pPr>
        <w:tabs>
          <w:tab w:val="left" w:pos="4253"/>
        </w:tabs>
        <w:spacing w:before="100" w:beforeAutospacing="1" w:after="0" w:line="360" w:lineRule="auto"/>
        <w:rPr>
          <w:rFonts w:ascii="Verdana" w:hAnsi="Verdana"/>
        </w:rPr>
      </w:pPr>
      <w:r w:rsidRPr="00166909">
        <w:rPr>
          <w:rFonts w:ascii="Verdana" w:hAnsi="Verdana"/>
        </w:rPr>
        <w:t>Ustawa z dnia 9 czerwca 2016 roku o zasadach kształtowania wynagrodzeń́ osób kierujących ni</w:t>
      </w:r>
      <w:r w:rsidR="00323A4D" w:rsidRPr="00166909">
        <w:rPr>
          <w:rFonts w:ascii="Verdana" w:hAnsi="Verdana"/>
        </w:rPr>
        <w:t>ektórymi spółkami (Dz. U. z 2020</w:t>
      </w:r>
      <w:r w:rsidRPr="00166909">
        <w:rPr>
          <w:rFonts w:ascii="Verdana" w:hAnsi="Verdana"/>
        </w:rPr>
        <w:t xml:space="preserve"> r. poz. </w:t>
      </w:r>
      <w:r w:rsidR="00323A4D" w:rsidRPr="00166909">
        <w:rPr>
          <w:rFonts w:ascii="Verdana" w:hAnsi="Verdana"/>
        </w:rPr>
        <w:t>1907</w:t>
      </w:r>
      <w:r w:rsidRPr="00166909">
        <w:rPr>
          <w:rFonts w:ascii="Verdana" w:hAnsi="Verdana"/>
        </w:rPr>
        <w:t xml:space="preserve"> ze zm.) /dalej: </w:t>
      </w:r>
      <w:proofErr w:type="spellStart"/>
      <w:r w:rsidRPr="00166909">
        <w:rPr>
          <w:rFonts w:ascii="Verdana" w:hAnsi="Verdana"/>
        </w:rPr>
        <w:t>UoKW</w:t>
      </w:r>
      <w:proofErr w:type="spellEnd"/>
      <w:r w:rsidRPr="00166909">
        <w:rPr>
          <w:rFonts w:ascii="Verdana" w:hAnsi="Verdana"/>
        </w:rPr>
        <w:t>/, wprowadziła zasady wynagradzania członków organów zarządzających (zarządów) i członków organów nadzorczych (rad nadzorczych), które dotyczą</w:t>
      </w:r>
      <w:r w:rsidRPr="00166909">
        <w:rPr>
          <w:rFonts w:ascii="Arial" w:hAnsi="Arial" w:cs="Arial"/>
        </w:rPr>
        <w:t>̨</w:t>
      </w:r>
      <w:r w:rsidRPr="00166909">
        <w:rPr>
          <w:rFonts w:ascii="Verdana" w:hAnsi="Verdana"/>
        </w:rPr>
        <w:t xml:space="preserve"> sp</w:t>
      </w:r>
      <w:r w:rsidRPr="00166909">
        <w:rPr>
          <w:rFonts w:ascii="Verdana" w:hAnsi="Verdana" w:cs="Verdana"/>
        </w:rPr>
        <w:t>ół</w:t>
      </w:r>
      <w:r w:rsidRPr="00166909">
        <w:rPr>
          <w:rFonts w:ascii="Verdana" w:hAnsi="Verdana"/>
        </w:rPr>
        <w:t>ek z udzia</w:t>
      </w:r>
      <w:r w:rsidRPr="00166909">
        <w:rPr>
          <w:rFonts w:ascii="Verdana" w:hAnsi="Verdana" w:cs="Verdana"/>
        </w:rPr>
        <w:t>ł</w:t>
      </w:r>
      <w:r w:rsidRPr="00166909">
        <w:rPr>
          <w:rFonts w:ascii="Verdana" w:hAnsi="Verdana"/>
        </w:rPr>
        <w:t>em Skarbu Pa</w:t>
      </w:r>
      <w:r w:rsidRPr="00166909">
        <w:rPr>
          <w:rFonts w:ascii="Verdana" w:hAnsi="Verdana" w:cs="Verdana"/>
        </w:rPr>
        <w:t>ń</w:t>
      </w:r>
      <w:r w:rsidRPr="00166909">
        <w:rPr>
          <w:rFonts w:ascii="Verdana" w:hAnsi="Verdana"/>
        </w:rPr>
        <w:t>stwa, jednostek samorz</w:t>
      </w:r>
      <w:r w:rsidRPr="00166909">
        <w:rPr>
          <w:rFonts w:ascii="Verdana" w:hAnsi="Verdana" w:cs="Verdana"/>
        </w:rPr>
        <w:t>ą</w:t>
      </w:r>
      <w:r w:rsidRPr="00166909">
        <w:rPr>
          <w:rFonts w:ascii="Verdana" w:hAnsi="Verdana"/>
        </w:rPr>
        <w:t>du terytorialnego oraz pa</w:t>
      </w:r>
      <w:r w:rsidRPr="00166909">
        <w:rPr>
          <w:rFonts w:ascii="Verdana" w:hAnsi="Verdana" w:cs="Verdana"/>
        </w:rPr>
        <w:t>ń</w:t>
      </w:r>
      <w:r w:rsidRPr="00166909">
        <w:rPr>
          <w:rFonts w:ascii="Verdana" w:hAnsi="Verdana"/>
        </w:rPr>
        <w:t>stwowych i komunalnych os</w:t>
      </w:r>
      <w:r w:rsidRPr="00166909">
        <w:rPr>
          <w:rFonts w:ascii="Verdana" w:hAnsi="Verdana" w:cs="Verdana"/>
        </w:rPr>
        <w:t>ó</w:t>
      </w:r>
      <w:r w:rsidRPr="00166909">
        <w:rPr>
          <w:rFonts w:ascii="Verdana" w:hAnsi="Verdana"/>
        </w:rPr>
        <w:t xml:space="preserve">b prawnych. </w:t>
      </w:r>
    </w:p>
    <w:p w14:paraId="5E4A9977" w14:textId="77777777" w:rsidR="000B3575" w:rsidRPr="00166909" w:rsidRDefault="000B3575" w:rsidP="00166909">
      <w:pPr>
        <w:tabs>
          <w:tab w:val="left" w:pos="4253"/>
        </w:tabs>
        <w:spacing w:before="100" w:beforeAutospacing="1" w:after="0" w:line="360" w:lineRule="auto"/>
        <w:rPr>
          <w:rFonts w:ascii="Verdana" w:hAnsi="Verdana"/>
        </w:rPr>
      </w:pPr>
      <w:r w:rsidRPr="00166909">
        <w:rPr>
          <w:rFonts w:ascii="Verdana" w:hAnsi="Verdana"/>
        </w:rPr>
        <w:t xml:space="preserve">W przypadku zarządu Wrocławskiego Parku Wodnego S.A. </w:t>
      </w:r>
      <w:proofErr w:type="spellStart"/>
      <w:r w:rsidRPr="00166909">
        <w:rPr>
          <w:rFonts w:ascii="Verdana" w:hAnsi="Verdana"/>
        </w:rPr>
        <w:t>częśc</w:t>
      </w:r>
      <w:proofErr w:type="spellEnd"/>
      <w:r w:rsidRPr="00166909">
        <w:rPr>
          <w:rFonts w:ascii="Verdana" w:hAnsi="Verdana"/>
        </w:rPr>
        <w:t xml:space="preserve">́ stała wynagrodzenia – obliczana według kryteriów określonych w art. 4 ust. 2 </w:t>
      </w:r>
      <w:proofErr w:type="spellStart"/>
      <w:r w:rsidRPr="00166909">
        <w:rPr>
          <w:rFonts w:ascii="Verdana" w:hAnsi="Verdana"/>
        </w:rPr>
        <w:t>UoKW</w:t>
      </w:r>
      <w:proofErr w:type="spellEnd"/>
      <w:r w:rsidRPr="00166909">
        <w:rPr>
          <w:rFonts w:ascii="Verdana" w:hAnsi="Verdana"/>
        </w:rPr>
        <w:t xml:space="preserve"> – zawiera </w:t>
      </w:r>
      <w:proofErr w:type="spellStart"/>
      <w:r w:rsidRPr="00166909">
        <w:rPr>
          <w:rFonts w:ascii="Verdana" w:hAnsi="Verdana"/>
        </w:rPr>
        <w:t>sie</w:t>
      </w:r>
      <w:proofErr w:type="spellEnd"/>
      <w:r w:rsidRPr="00166909">
        <w:rPr>
          <w:rFonts w:ascii="Verdana" w:hAnsi="Verdana"/>
        </w:rPr>
        <w:t xml:space="preserve">̨ w pkt 3 to jest od </w:t>
      </w:r>
      <w:proofErr w:type="spellStart"/>
      <w:r w:rsidRPr="00166909">
        <w:rPr>
          <w:rFonts w:ascii="Verdana" w:hAnsi="Verdana"/>
        </w:rPr>
        <w:t>trzykrotności</w:t>
      </w:r>
      <w:proofErr w:type="spellEnd"/>
      <w:r w:rsidRPr="00166909">
        <w:rPr>
          <w:rFonts w:ascii="Verdana" w:hAnsi="Verdana"/>
        </w:rPr>
        <w:t xml:space="preserve"> do </w:t>
      </w:r>
      <w:proofErr w:type="spellStart"/>
      <w:r w:rsidRPr="00166909">
        <w:rPr>
          <w:rFonts w:ascii="Verdana" w:hAnsi="Verdana"/>
        </w:rPr>
        <w:t>pięciokrotności</w:t>
      </w:r>
      <w:proofErr w:type="spellEnd"/>
      <w:r w:rsidRPr="00166909">
        <w:rPr>
          <w:rFonts w:ascii="Verdana" w:hAnsi="Verdana"/>
        </w:rPr>
        <w:t xml:space="preserve"> </w:t>
      </w:r>
      <w:proofErr w:type="spellStart"/>
      <w:r w:rsidRPr="00166909">
        <w:rPr>
          <w:rFonts w:ascii="Verdana" w:hAnsi="Verdana"/>
        </w:rPr>
        <w:t>przeciętnego</w:t>
      </w:r>
      <w:proofErr w:type="spellEnd"/>
      <w:r w:rsidRPr="00166909">
        <w:rPr>
          <w:rFonts w:ascii="Verdana" w:hAnsi="Verdana"/>
        </w:rPr>
        <w:t xml:space="preserve"> </w:t>
      </w:r>
      <w:proofErr w:type="spellStart"/>
      <w:r w:rsidRPr="00166909">
        <w:rPr>
          <w:rFonts w:ascii="Verdana" w:hAnsi="Verdana"/>
        </w:rPr>
        <w:t>miesięcznego</w:t>
      </w:r>
      <w:proofErr w:type="spellEnd"/>
      <w:r w:rsidRPr="00166909">
        <w:rPr>
          <w:rFonts w:ascii="Verdana" w:hAnsi="Verdana"/>
        </w:rPr>
        <w:t xml:space="preserve"> wynagrodzenia w sektorze </w:t>
      </w:r>
      <w:proofErr w:type="spellStart"/>
      <w:r w:rsidRPr="00166909">
        <w:rPr>
          <w:rFonts w:ascii="Verdana" w:hAnsi="Verdana"/>
        </w:rPr>
        <w:t>przedsiębiorstw</w:t>
      </w:r>
      <w:proofErr w:type="spellEnd"/>
      <w:r w:rsidRPr="00166909">
        <w:rPr>
          <w:rFonts w:ascii="Verdana" w:hAnsi="Verdana"/>
        </w:rPr>
        <w:t xml:space="preserve"> bez wypłat nagród z zysku w czwartym kwartale roku poprzedniego, ogłoszonego przez Prezesa Głównego </w:t>
      </w:r>
      <w:proofErr w:type="spellStart"/>
      <w:r w:rsidRPr="00166909">
        <w:rPr>
          <w:rFonts w:ascii="Verdana" w:hAnsi="Verdana"/>
        </w:rPr>
        <w:t>Urzędu</w:t>
      </w:r>
      <w:proofErr w:type="spellEnd"/>
      <w:r w:rsidRPr="00166909">
        <w:rPr>
          <w:rFonts w:ascii="Verdana" w:hAnsi="Verdana"/>
        </w:rPr>
        <w:t xml:space="preserve"> Statystycznego. </w:t>
      </w:r>
    </w:p>
    <w:p w14:paraId="0F0ED989" w14:textId="48FA14AB" w:rsidR="000B3575" w:rsidRPr="00166909" w:rsidRDefault="000B3575" w:rsidP="00166909">
      <w:pPr>
        <w:pStyle w:val="Akapitzlist"/>
        <w:tabs>
          <w:tab w:val="left" w:pos="4253"/>
        </w:tabs>
        <w:spacing w:before="100" w:beforeAutospacing="1" w:after="0" w:line="360" w:lineRule="auto"/>
        <w:ind w:left="0"/>
        <w:rPr>
          <w:rFonts w:ascii="Verdana" w:hAnsi="Verdana"/>
        </w:rPr>
      </w:pPr>
      <w:r w:rsidRPr="00166909">
        <w:rPr>
          <w:rFonts w:ascii="Verdana" w:hAnsi="Verdana"/>
        </w:rPr>
        <w:t xml:space="preserve">Ustawodawca przewidział jednak w art. 4 ust. 3 </w:t>
      </w:r>
      <w:proofErr w:type="spellStart"/>
      <w:r w:rsidRPr="00166909">
        <w:rPr>
          <w:rFonts w:ascii="Verdana" w:hAnsi="Verdana"/>
        </w:rPr>
        <w:t>UoKW</w:t>
      </w:r>
      <w:proofErr w:type="spellEnd"/>
      <w:r w:rsidRPr="00166909">
        <w:rPr>
          <w:rFonts w:ascii="Verdana" w:hAnsi="Verdana"/>
        </w:rPr>
        <w:t xml:space="preserve"> </w:t>
      </w:r>
      <w:proofErr w:type="spellStart"/>
      <w:r w:rsidRPr="00166909">
        <w:rPr>
          <w:rFonts w:ascii="Verdana" w:hAnsi="Verdana"/>
        </w:rPr>
        <w:t>możliwośc</w:t>
      </w:r>
      <w:proofErr w:type="spellEnd"/>
      <w:r w:rsidRPr="00166909">
        <w:rPr>
          <w:rFonts w:ascii="Verdana" w:hAnsi="Verdana"/>
        </w:rPr>
        <w:t xml:space="preserve">́ zastosowania innej </w:t>
      </w:r>
      <w:proofErr w:type="spellStart"/>
      <w:r w:rsidRPr="00166909">
        <w:rPr>
          <w:rFonts w:ascii="Verdana" w:hAnsi="Verdana"/>
        </w:rPr>
        <w:t>wysokości</w:t>
      </w:r>
      <w:proofErr w:type="spellEnd"/>
      <w:r w:rsidRPr="00166909">
        <w:rPr>
          <w:rFonts w:ascii="Verdana" w:hAnsi="Verdana"/>
        </w:rPr>
        <w:t xml:space="preserve"> </w:t>
      </w:r>
      <w:proofErr w:type="spellStart"/>
      <w:r w:rsidRPr="00166909">
        <w:rPr>
          <w:rFonts w:ascii="Verdana" w:hAnsi="Verdana"/>
        </w:rPr>
        <w:t>części</w:t>
      </w:r>
      <w:proofErr w:type="spellEnd"/>
      <w:r w:rsidRPr="00166909">
        <w:rPr>
          <w:rFonts w:ascii="Verdana" w:hAnsi="Verdana"/>
        </w:rPr>
        <w:t xml:space="preserve"> stałej wynagrodzenia członka organu </w:t>
      </w:r>
      <w:proofErr w:type="spellStart"/>
      <w:r w:rsidRPr="00166909">
        <w:rPr>
          <w:rFonts w:ascii="Verdana" w:hAnsi="Verdana"/>
        </w:rPr>
        <w:t>zarządzającego</w:t>
      </w:r>
      <w:proofErr w:type="spellEnd"/>
      <w:r w:rsidRPr="00166909">
        <w:rPr>
          <w:rFonts w:ascii="Verdana" w:hAnsi="Verdana"/>
        </w:rPr>
        <w:t xml:space="preserve"> </w:t>
      </w:r>
      <w:proofErr w:type="spellStart"/>
      <w:r w:rsidRPr="00166909">
        <w:rPr>
          <w:rFonts w:ascii="Verdana" w:hAnsi="Verdana"/>
        </w:rPr>
        <w:t>niz</w:t>
      </w:r>
      <w:proofErr w:type="spellEnd"/>
      <w:r w:rsidRPr="00166909">
        <w:rPr>
          <w:rFonts w:ascii="Verdana" w:hAnsi="Verdana"/>
        </w:rPr>
        <w:t xml:space="preserve">̇ </w:t>
      </w:r>
      <w:proofErr w:type="spellStart"/>
      <w:r w:rsidRPr="00166909">
        <w:rPr>
          <w:rFonts w:ascii="Verdana" w:hAnsi="Verdana"/>
        </w:rPr>
        <w:t>określona</w:t>
      </w:r>
      <w:proofErr w:type="spellEnd"/>
      <w:r w:rsidRPr="00166909">
        <w:rPr>
          <w:rFonts w:ascii="Verdana" w:hAnsi="Verdana"/>
        </w:rPr>
        <w:t xml:space="preserve"> w ust. 2, </w:t>
      </w:r>
      <w:proofErr w:type="spellStart"/>
      <w:r w:rsidRPr="00166909">
        <w:rPr>
          <w:rFonts w:ascii="Verdana" w:hAnsi="Verdana"/>
        </w:rPr>
        <w:t>jeżeli</w:t>
      </w:r>
      <w:proofErr w:type="spellEnd"/>
      <w:r w:rsidRPr="00166909">
        <w:rPr>
          <w:rFonts w:ascii="Verdana" w:hAnsi="Verdana"/>
        </w:rPr>
        <w:t xml:space="preserve"> </w:t>
      </w:r>
      <w:proofErr w:type="spellStart"/>
      <w:r w:rsidRPr="00166909">
        <w:rPr>
          <w:rFonts w:ascii="Verdana" w:hAnsi="Verdana"/>
        </w:rPr>
        <w:t>przemawiaja</w:t>
      </w:r>
      <w:proofErr w:type="spellEnd"/>
      <w:r w:rsidRPr="00166909">
        <w:rPr>
          <w:rFonts w:ascii="Verdana" w:hAnsi="Verdana"/>
        </w:rPr>
        <w:t xml:space="preserve">̨ za tym </w:t>
      </w:r>
      <w:proofErr w:type="spellStart"/>
      <w:r w:rsidRPr="00166909">
        <w:rPr>
          <w:rFonts w:ascii="Verdana" w:hAnsi="Verdana"/>
        </w:rPr>
        <w:t>wyja</w:t>
      </w:r>
      <w:r w:rsidRPr="00166909">
        <w:rPr>
          <w:rFonts w:ascii="Arial" w:hAnsi="Arial" w:cs="Arial"/>
        </w:rPr>
        <w:t>̨</w:t>
      </w:r>
      <w:r w:rsidRPr="00166909">
        <w:rPr>
          <w:rFonts w:ascii="Verdana" w:hAnsi="Verdana"/>
        </w:rPr>
        <w:t>tkowe</w:t>
      </w:r>
      <w:proofErr w:type="spellEnd"/>
      <w:r w:rsidRPr="00166909">
        <w:rPr>
          <w:rFonts w:ascii="Verdana" w:hAnsi="Verdana"/>
        </w:rPr>
        <w:t xml:space="preserve"> </w:t>
      </w:r>
      <w:proofErr w:type="spellStart"/>
      <w:r w:rsidRPr="00166909">
        <w:rPr>
          <w:rFonts w:ascii="Verdana" w:hAnsi="Verdana"/>
        </w:rPr>
        <w:t>okoliczności</w:t>
      </w:r>
      <w:proofErr w:type="spellEnd"/>
      <w:r w:rsidRPr="00166909">
        <w:rPr>
          <w:rFonts w:ascii="Verdana" w:hAnsi="Verdana"/>
        </w:rPr>
        <w:t xml:space="preserve"> </w:t>
      </w:r>
      <w:proofErr w:type="spellStart"/>
      <w:r w:rsidRPr="00166909">
        <w:rPr>
          <w:rFonts w:ascii="Verdana" w:hAnsi="Verdana"/>
        </w:rPr>
        <w:t>dotycza</w:t>
      </w:r>
      <w:r w:rsidRPr="00166909">
        <w:rPr>
          <w:rFonts w:ascii="Arial" w:hAnsi="Arial" w:cs="Arial"/>
        </w:rPr>
        <w:t>̨</w:t>
      </w:r>
      <w:r w:rsidRPr="00166909">
        <w:rPr>
          <w:rFonts w:ascii="Verdana" w:hAnsi="Verdana"/>
        </w:rPr>
        <w:t>ce</w:t>
      </w:r>
      <w:proofErr w:type="spellEnd"/>
      <w:r w:rsidRPr="00166909">
        <w:rPr>
          <w:rFonts w:ascii="Verdana" w:hAnsi="Verdana"/>
        </w:rPr>
        <w:t xml:space="preserve"> sp</w:t>
      </w:r>
      <w:r w:rsidRPr="00166909">
        <w:rPr>
          <w:rFonts w:ascii="Verdana" w:hAnsi="Verdana" w:cs="Verdana"/>
        </w:rPr>
        <w:t>ół</w:t>
      </w:r>
      <w:r w:rsidRPr="00166909">
        <w:rPr>
          <w:rFonts w:ascii="Verdana" w:hAnsi="Verdana"/>
        </w:rPr>
        <w:t>ki albo rynku na kt</w:t>
      </w:r>
      <w:r w:rsidRPr="00166909">
        <w:rPr>
          <w:rFonts w:ascii="Verdana" w:hAnsi="Verdana" w:cs="Verdana"/>
        </w:rPr>
        <w:t>ó</w:t>
      </w:r>
      <w:r w:rsidRPr="00166909">
        <w:rPr>
          <w:rFonts w:ascii="Verdana" w:hAnsi="Verdana"/>
        </w:rPr>
        <w:t>rym dzia</w:t>
      </w:r>
      <w:r w:rsidRPr="00166909">
        <w:rPr>
          <w:rFonts w:ascii="Verdana" w:hAnsi="Verdana" w:cs="Verdana"/>
        </w:rPr>
        <w:t>ł</w:t>
      </w:r>
      <w:r w:rsidRPr="00166909">
        <w:rPr>
          <w:rFonts w:ascii="Verdana" w:hAnsi="Verdana"/>
        </w:rPr>
        <w:t>a.</w:t>
      </w:r>
    </w:p>
    <w:p w14:paraId="630DCC33" w14:textId="0D2E016D" w:rsidR="009B2994" w:rsidRPr="00166909" w:rsidRDefault="009B2994" w:rsidP="00166909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1077"/>
        <w:contextualSpacing w:val="0"/>
        <w:rPr>
          <w:rFonts w:ascii="Verdana" w:hAnsi="Verdana"/>
        </w:rPr>
      </w:pPr>
      <w:r w:rsidRPr="00166909">
        <w:rPr>
          <w:rFonts w:ascii="Verdana" w:hAnsi="Verdana"/>
        </w:rPr>
        <w:t>Otoczenie rynkowe.</w:t>
      </w:r>
    </w:p>
    <w:p w14:paraId="7DADDF5E" w14:textId="3ED095C0" w:rsidR="00D106EA" w:rsidRPr="00166909" w:rsidRDefault="00D106EA" w:rsidP="00166909">
      <w:pPr>
        <w:spacing w:after="0" w:line="360" w:lineRule="auto"/>
        <w:rPr>
          <w:rFonts w:ascii="Verdana" w:hAnsi="Verdana"/>
        </w:rPr>
      </w:pPr>
      <w:r w:rsidRPr="00166909">
        <w:rPr>
          <w:rFonts w:ascii="Verdana" w:hAnsi="Verdana"/>
        </w:rPr>
        <w:t>Nieustanny rozwój Wrocławskiego Parku Wodnego (dalej: WPW S.A.) oraz związana z tym ilość realizowanych zadań uzasadnia zmianę wynagrodzenia Członków Zarządu i aktualizację w przedmiotowym zakresie.</w:t>
      </w:r>
    </w:p>
    <w:p w14:paraId="125F0FC3" w14:textId="77777777" w:rsidR="00D106EA" w:rsidRPr="00166909" w:rsidRDefault="00D106EA" w:rsidP="00166909">
      <w:pPr>
        <w:spacing w:after="0" w:line="360" w:lineRule="auto"/>
        <w:rPr>
          <w:rFonts w:ascii="Verdana" w:hAnsi="Verdana"/>
        </w:rPr>
      </w:pPr>
      <w:r w:rsidRPr="00166909">
        <w:rPr>
          <w:rFonts w:ascii="Verdana" w:hAnsi="Verdana"/>
        </w:rPr>
        <w:t xml:space="preserve">WPW S.A. uczestniczy w konkurencji na bardzo wielu różnych rynkach produktowych, a przy tym konkurencja, z którą Spółka się tam styka i której musi stawić czoła jest wyjątkowo intensywna i silna, pochodząc nie tylko zresztą ze strony innych parków wodnych, a nawet nie tylko ze strony podmiotów prowadzących baseny lub inne obiekty sportowo-rekreacyjne. Przy czym ta relewantna dla Spółki konkurencja gospodarcza istnieje zarówno ze strony </w:t>
      </w:r>
      <w:r w:rsidRPr="00166909">
        <w:rPr>
          <w:rFonts w:ascii="Verdana" w:hAnsi="Verdana"/>
        </w:rPr>
        <w:lastRenderedPageBreak/>
        <w:t xml:space="preserve">przedsiębiorców (podmiotów) działających na terenie Miasta Wrocławia, jak też ze strony przedsiębiorców (podmiotów) prowadzących swoją działalność w innych miejscowościach Dolnego Śląska, a nawet w innych regionach naszego kraju, co dotyczy zwłaszcza parków wodnych z innych regionów kraju. </w:t>
      </w:r>
    </w:p>
    <w:p w14:paraId="63EC73FE" w14:textId="77777777" w:rsidR="00D106EA" w:rsidRPr="00166909" w:rsidRDefault="00D106EA" w:rsidP="00166909">
      <w:pPr>
        <w:spacing w:after="0" w:line="360" w:lineRule="auto"/>
        <w:rPr>
          <w:rFonts w:ascii="Verdana" w:hAnsi="Verdana"/>
        </w:rPr>
      </w:pPr>
      <w:r w:rsidRPr="00166909">
        <w:rPr>
          <w:rFonts w:ascii="Verdana" w:hAnsi="Verdana"/>
        </w:rPr>
        <w:t xml:space="preserve">Co jest przy tym istotne, parki wodne w Polsce stają się coraz większą atrakcją turystyczną i jednym z elementów przyciągających turystów do danej miejscowości , a to z kolei sprawia, że poszczególne parki wodne w Polsce – i nie tylko zresztą w Polsce – muszą ze sobą intensywnie konkurować o turystów i odwiedzających. WPW S.A. uczestniczy w silnej konkurencji rynkowej na bardzo wielu konkurencyjnych rynkach, zarówno związanych z typowymi urządzeniami i usługami wodno-sportowo-rekreacyjnymi, jak też produktami innego rodzaju, w tym gastronomicznymi. Aby przetrwać i osiągnąć sukces na tak konkurencyjnych rynkach, na jakich działa Spółka, musi ona podejmować wiele działań proefektywnościowych, a także musi się starać o występowanie wobec innych przedsiębiorców z możliwie jak najbardziej atrakcyjną i konkurencyjną ofertą. </w:t>
      </w:r>
    </w:p>
    <w:p w14:paraId="3D109D89" w14:textId="077E0A04" w:rsidR="00A51C4A" w:rsidRPr="00166909" w:rsidRDefault="009B2994" w:rsidP="0016690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 w:rsidRPr="00166909">
        <w:rPr>
          <w:rFonts w:ascii="Verdana" w:hAnsi="Verdana"/>
        </w:rPr>
        <w:t>Rozwój Spółki</w:t>
      </w:r>
    </w:p>
    <w:p w14:paraId="50AD0F37" w14:textId="56D734C6" w:rsidR="009B2994" w:rsidRPr="00166909" w:rsidRDefault="003F763A" w:rsidP="00166909">
      <w:pPr>
        <w:spacing w:after="0" w:line="360" w:lineRule="auto"/>
        <w:rPr>
          <w:rFonts w:ascii="Verdana" w:hAnsi="Verdana" w:cs="Arial"/>
        </w:rPr>
      </w:pPr>
      <w:r w:rsidRPr="00166909">
        <w:rPr>
          <w:rFonts w:ascii="Verdana" w:hAnsi="Verdana" w:cs="Arial"/>
        </w:rPr>
        <w:t>Na przestrzeni ostatnich ki</w:t>
      </w:r>
      <w:r w:rsidR="00122D2E" w:rsidRPr="00166909">
        <w:rPr>
          <w:rFonts w:ascii="Verdana" w:hAnsi="Verdana" w:cs="Arial"/>
        </w:rPr>
        <w:t>lku lat nastąpił znaczący rozwój</w:t>
      </w:r>
      <w:r w:rsidRPr="00166909">
        <w:rPr>
          <w:rFonts w:ascii="Verdana" w:hAnsi="Verdana" w:cs="Arial"/>
        </w:rPr>
        <w:t xml:space="preserve"> Spółki. Przede wszystkim zrealizowane zostały dwie duże inwestycje w postaci budowy Aquaparku Brochów i Aquaparku Zakrzów. Ich budowa i oddanie do użytku oznaczają w praktyce zwiększenie wartości przychodów Spółki, a w dalszej kolejności – zwiększenie zysków.</w:t>
      </w:r>
    </w:p>
    <w:p w14:paraId="53308249" w14:textId="7A0466FA" w:rsidR="0078249B" w:rsidRPr="00166909" w:rsidRDefault="003F763A" w:rsidP="00166909">
      <w:pPr>
        <w:spacing w:after="0" w:line="360" w:lineRule="auto"/>
        <w:rPr>
          <w:rFonts w:ascii="Verdana" w:hAnsi="Verdana" w:cs="Arial"/>
        </w:rPr>
      </w:pPr>
      <w:r w:rsidRPr="00166909">
        <w:rPr>
          <w:rFonts w:ascii="Verdana" w:hAnsi="Verdana" w:cs="Arial"/>
        </w:rPr>
        <w:t>Dzięki intensywnej pracy Zarządu na gruncie szeroko pojętych instrumentów marketingowych zwiększyła się coroczna liczba klientów odwiedzających obiekty zarządzane przez W</w:t>
      </w:r>
      <w:r w:rsidR="0078249B" w:rsidRPr="00166909">
        <w:rPr>
          <w:rFonts w:ascii="Verdana" w:hAnsi="Verdana" w:cs="Arial"/>
        </w:rPr>
        <w:t>PW</w:t>
      </w:r>
      <w:r w:rsidRPr="00166909">
        <w:rPr>
          <w:rFonts w:ascii="Verdana" w:hAnsi="Verdana" w:cs="Arial"/>
        </w:rPr>
        <w:t xml:space="preserve"> S.A. co przełożyło się wprost na zwiększenie zysków Spółki. </w:t>
      </w:r>
      <w:r w:rsidR="0078249B" w:rsidRPr="00166909">
        <w:rPr>
          <w:rFonts w:ascii="Verdana" w:hAnsi="Verdana" w:cs="Arial"/>
        </w:rPr>
        <w:t>Na odwiedzanych obiektach zapewniono wysoką frekwencję. Wysokie przychody oraz liczba odwiedzających jest skutkiem utrzymywania wysokiego poziomu świadczonych usług w obiekcie zlokalizowanym przy ul. Borowskiej, jak również obiektu przy ul. Polnej, gdzie klienci korzystają z atrakcji obiektu zarówno w ramach indywidualnych wizyt, jak i korzystają z</w:t>
      </w:r>
      <w:r w:rsidR="00ED6448" w:rsidRPr="00166909">
        <w:rPr>
          <w:rFonts w:ascii="Verdana" w:hAnsi="Verdana" w:cs="Arial"/>
        </w:rPr>
        <w:t>e</w:t>
      </w:r>
      <w:r w:rsidR="0078249B" w:rsidRPr="00166909">
        <w:rPr>
          <w:rFonts w:ascii="Verdana" w:hAnsi="Verdana" w:cs="Arial"/>
        </w:rPr>
        <w:t xml:space="preserve"> świadczonych tam usług grupowych, np. zajęcia nauki pływania, zajęcia w strefie fitness.</w:t>
      </w:r>
    </w:p>
    <w:p w14:paraId="4E34BC8B" w14:textId="0CB3044F" w:rsidR="0078249B" w:rsidRPr="00166909" w:rsidRDefault="0078249B" w:rsidP="00166909">
      <w:pPr>
        <w:spacing w:after="0" w:line="360" w:lineRule="auto"/>
        <w:rPr>
          <w:rFonts w:ascii="Verdana" w:hAnsi="Verdana" w:cs="Arial"/>
        </w:rPr>
      </w:pPr>
      <w:r w:rsidRPr="00166909">
        <w:rPr>
          <w:rFonts w:ascii="Verdana" w:hAnsi="Verdana" w:cs="Arial"/>
        </w:rPr>
        <w:t xml:space="preserve">Spółka rozszerzyła także działalność gastronomiczną, którą prowadzi w nowej lokalizacji we Wrocławiu na ul. Na Grobli 4. Na dzierżawionym od Gminy Wrocław terenie starego Portu Węglowego powstało miejsce do spotkań dla mieszkańców Wrocławia, a WPW S.A. może pozyskać nowych klientów z różnych grup </w:t>
      </w:r>
      <w:r w:rsidRPr="00166909">
        <w:rPr>
          <w:rFonts w:ascii="Verdana" w:hAnsi="Verdana" w:cs="Arial"/>
        </w:rPr>
        <w:lastRenderedPageBreak/>
        <w:t>docelowych (dorośli, dzieci, seniorzy, studenci). Inwestycja została sfinansowana ze środków własnych Spółki.</w:t>
      </w:r>
    </w:p>
    <w:p w14:paraId="5BFAE8D2" w14:textId="3ECF7971" w:rsidR="0078249B" w:rsidRPr="00166909" w:rsidRDefault="0078249B" w:rsidP="00166909">
      <w:pPr>
        <w:spacing w:after="0" w:line="360" w:lineRule="auto"/>
        <w:rPr>
          <w:rFonts w:ascii="Verdana" w:hAnsi="Verdana" w:cs="Arial"/>
        </w:rPr>
      </w:pPr>
      <w:r w:rsidRPr="00166909">
        <w:rPr>
          <w:rFonts w:ascii="Verdana" w:hAnsi="Verdana" w:cs="Arial"/>
        </w:rPr>
        <w:t>Zarząd WPW S.A. z powodzeniem kierował Spółką w okresie pandemii, której skutkiem było jedynie zmniejszenie rocznego bilansu odwiedzających, ponieważ jednocześnie pozyskano bezzwrotne środki finansowe z Polskiego Funduszu Rozwoju S.A.</w:t>
      </w:r>
    </w:p>
    <w:p w14:paraId="31A5DBB5" w14:textId="2466584D" w:rsidR="00756C59" w:rsidRPr="00166909" w:rsidRDefault="00756C59" w:rsidP="00166909">
      <w:pPr>
        <w:spacing w:after="0" w:line="360" w:lineRule="auto"/>
        <w:rPr>
          <w:rFonts w:ascii="Verdana" w:hAnsi="Verdana" w:cs="Arial"/>
        </w:rPr>
      </w:pPr>
      <w:r w:rsidRPr="00166909">
        <w:rPr>
          <w:rFonts w:ascii="Verdana" w:hAnsi="Verdana" w:cs="Arial"/>
        </w:rPr>
        <w:t>Zarówno działania inwestycyjne, jak i wzrost zysku niepodzielonego oznaczają wzrost wartości samej Spółki.</w:t>
      </w:r>
    </w:p>
    <w:p w14:paraId="6701030E" w14:textId="49710D06" w:rsidR="0078249B" w:rsidRPr="00166909" w:rsidRDefault="0078249B" w:rsidP="00166909">
      <w:pPr>
        <w:spacing w:before="100" w:beforeAutospacing="1" w:after="0" w:line="360" w:lineRule="auto"/>
        <w:rPr>
          <w:rFonts w:ascii="Verdana" w:hAnsi="Verdana" w:cs="Arial"/>
        </w:rPr>
      </w:pPr>
      <w:r w:rsidRPr="00166909">
        <w:rPr>
          <w:rFonts w:ascii="Verdana" w:hAnsi="Verdana" w:cs="Arial"/>
        </w:rPr>
        <w:t>Powyższe przemawia za aktualizacją wynagrodzeń Członków Zarządu WPW S.A.</w:t>
      </w:r>
    </w:p>
    <w:p w14:paraId="54840A77" w14:textId="7AE14A07" w:rsidR="000B3575" w:rsidRDefault="000B3575" w:rsidP="00166909">
      <w:pPr>
        <w:tabs>
          <w:tab w:val="left" w:pos="4253"/>
        </w:tabs>
        <w:spacing w:before="100" w:beforeAutospacing="1" w:after="0" w:line="360" w:lineRule="auto"/>
        <w:rPr>
          <w:rFonts w:ascii="Verdana" w:hAnsi="Verdana"/>
        </w:rPr>
      </w:pPr>
      <w:r w:rsidRPr="00166909">
        <w:rPr>
          <w:rFonts w:ascii="Verdana" w:hAnsi="Verdana"/>
        </w:rPr>
        <w:t>Wrocław, 11 lipca 2024 r.</w:t>
      </w:r>
    </w:p>
    <w:p w14:paraId="2FE1F4E4" w14:textId="5B15551B" w:rsidR="00166909" w:rsidRDefault="00166909" w:rsidP="00166909">
      <w:pPr>
        <w:tabs>
          <w:tab w:val="left" w:pos="4253"/>
        </w:tabs>
        <w:spacing w:before="100" w:beforeAutospacing="1" w:after="0" w:line="360" w:lineRule="auto"/>
        <w:rPr>
          <w:rFonts w:ascii="Verdana" w:hAnsi="Verdana"/>
        </w:rPr>
      </w:pPr>
      <w:r>
        <w:rPr>
          <w:rFonts w:ascii="Verdana" w:hAnsi="Verdana"/>
        </w:rPr>
        <w:t>Dokument podpisał:</w:t>
      </w:r>
    </w:p>
    <w:p w14:paraId="5C6ECA18" w14:textId="637260C7" w:rsidR="00166909" w:rsidRPr="00166909" w:rsidRDefault="00166909" w:rsidP="00166909">
      <w:pPr>
        <w:tabs>
          <w:tab w:val="left" w:pos="4253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Prezydent Wrocławia Jacek </w:t>
      </w:r>
      <w:proofErr w:type="spellStart"/>
      <w:r>
        <w:rPr>
          <w:rFonts w:ascii="Verdana" w:hAnsi="Verdana"/>
        </w:rPr>
        <w:t>Sutryk</w:t>
      </w:r>
      <w:proofErr w:type="spellEnd"/>
    </w:p>
    <w:sectPr w:rsidR="00166909" w:rsidRPr="00166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D4303"/>
    <w:multiLevelType w:val="hybridMultilevel"/>
    <w:tmpl w:val="35EE564A"/>
    <w:lvl w:ilvl="0" w:tplc="D90C554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EA"/>
    <w:rsid w:val="000B3575"/>
    <w:rsid w:val="00122D2E"/>
    <w:rsid w:val="00166909"/>
    <w:rsid w:val="001C3884"/>
    <w:rsid w:val="002D74A6"/>
    <w:rsid w:val="00323A4D"/>
    <w:rsid w:val="00385FF8"/>
    <w:rsid w:val="003F763A"/>
    <w:rsid w:val="004E1297"/>
    <w:rsid w:val="00627E9C"/>
    <w:rsid w:val="006823C9"/>
    <w:rsid w:val="006A2457"/>
    <w:rsid w:val="00756C59"/>
    <w:rsid w:val="0078249B"/>
    <w:rsid w:val="009B2994"/>
    <w:rsid w:val="00A51C4A"/>
    <w:rsid w:val="00AD073F"/>
    <w:rsid w:val="00D106EA"/>
    <w:rsid w:val="00E7774C"/>
    <w:rsid w:val="00ED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68BA"/>
  <w15:chartTrackingRefBased/>
  <w15:docId w15:val="{50E03059-9135-4C04-9D5C-467C8E63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0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6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6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6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6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6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6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6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6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6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6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banasik</dc:creator>
  <cp:keywords/>
  <dc:description/>
  <cp:lastModifiedBy>Ochman Elżbieta</cp:lastModifiedBy>
  <cp:revision>9</cp:revision>
  <dcterms:created xsi:type="dcterms:W3CDTF">2024-07-09T06:55:00Z</dcterms:created>
  <dcterms:modified xsi:type="dcterms:W3CDTF">2024-07-17T08:42:00Z</dcterms:modified>
</cp:coreProperties>
</file>