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210" w:rsidRDefault="00FA0210" w:rsidP="00D33D81">
      <w:pPr>
        <w:pStyle w:val="Tekstpodstawowywcity"/>
        <w:spacing w:line="23" w:lineRule="atLeast"/>
        <w:ind w:firstLine="0"/>
        <w:jc w:val="center"/>
      </w:pPr>
      <w:r>
        <w:t>Uzasadnienie</w:t>
      </w:r>
    </w:p>
    <w:p w:rsidR="00FA0210" w:rsidRDefault="00FA0210" w:rsidP="00D33D81">
      <w:pPr>
        <w:pStyle w:val="Tekstpodstawowywcity"/>
        <w:spacing w:line="23" w:lineRule="atLeast"/>
        <w:ind w:firstLine="0"/>
        <w:jc w:val="center"/>
        <w:rPr>
          <w:sz w:val="22"/>
        </w:rPr>
      </w:pPr>
    </w:p>
    <w:p w:rsidR="004E5B7D" w:rsidRDefault="00356DBC" w:rsidP="00160E09">
      <w:pPr>
        <w:pStyle w:val="Tekstpodstawowywcity"/>
        <w:spacing w:line="276" w:lineRule="auto"/>
        <w:ind w:firstLine="0"/>
      </w:pPr>
      <w:r>
        <w:t xml:space="preserve">Niniejszy projekt uchwały uchylającej uchwałę </w:t>
      </w:r>
      <w:bookmarkStart w:id="0" w:name="_Hlk167273984"/>
      <w:r w:rsidRPr="00356DBC">
        <w:rPr>
          <w:bCs/>
          <w:szCs w:val="20"/>
        </w:rPr>
        <w:t xml:space="preserve">nr VI/67/11 Rady Miejskiej Wrocławia </w:t>
      </w:r>
      <w:r w:rsidR="00B80193">
        <w:rPr>
          <w:bCs/>
          <w:szCs w:val="20"/>
        </w:rPr>
        <w:t>z</w:t>
      </w:r>
      <w:r w:rsidR="008975BF">
        <w:rPr>
          <w:bCs/>
          <w:szCs w:val="20"/>
        </w:rPr>
        <w:t> </w:t>
      </w:r>
      <w:r w:rsidR="00B80193">
        <w:rPr>
          <w:bCs/>
          <w:szCs w:val="20"/>
        </w:rPr>
        <w:t xml:space="preserve">dnia 10 lutego 2011 r. </w:t>
      </w:r>
      <w:r w:rsidRPr="00356DBC">
        <w:rPr>
          <w:bCs/>
          <w:szCs w:val="20"/>
        </w:rPr>
        <w:t>w sprawie ustalenia rozkładu godzin pracy aptek ogólnodostępnych na terenie Miasta Wrocławia</w:t>
      </w:r>
      <w:bookmarkEnd w:id="0"/>
      <w:r>
        <w:rPr>
          <w:bCs/>
          <w:szCs w:val="20"/>
        </w:rPr>
        <w:t xml:space="preserve">, </w:t>
      </w:r>
      <w:r w:rsidR="00D359F6">
        <w:rPr>
          <w:bCs/>
          <w:szCs w:val="20"/>
        </w:rPr>
        <w:t>wynika ze zmiany</w:t>
      </w:r>
      <w:r w:rsidR="008975BF">
        <w:rPr>
          <w:bCs/>
          <w:szCs w:val="20"/>
        </w:rPr>
        <w:t xml:space="preserve"> powszechnie obowiązujących przepisów</w:t>
      </w:r>
      <w:r w:rsidR="00D359F6">
        <w:rPr>
          <w:bCs/>
          <w:szCs w:val="20"/>
        </w:rPr>
        <w:t xml:space="preserve"> prawa, tj. ustawy z dnia </w:t>
      </w:r>
      <w:r w:rsidR="00D359F6" w:rsidRPr="00D359F6">
        <w:rPr>
          <w:color w:val="000000"/>
          <w:szCs w:val="20"/>
        </w:rPr>
        <w:t>6 września 2001 r. – Prawo farmaceutyczne</w:t>
      </w:r>
      <w:r w:rsidR="00D359F6">
        <w:rPr>
          <w:color w:val="000000"/>
          <w:szCs w:val="20"/>
        </w:rPr>
        <w:t xml:space="preserve">. </w:t>
      </w:r>
    </w:p>
    <w:p w:rsidR="00620467" w:rsidRDefault="00620467" w:rsidP="00160E09">
      <w:pPr>
        <w:pStyle w:val="Tekstpodstawowywcity"/>
        <w:spacing w:line="276" w:lineRule="auto"/>
        <w:ind w:firstLine="0"/>
      </w:pPr>
    </w:p>
    <w:p w:rsidR="00A3401E" w:rsidRPr="00A3401E" w:rsidRDefault="00AC28F7" w:rsidP="00160E09">
      <w:pPr>
        <w:pStyle w:val="Tekstpodstawowywcity"/>
        <w:spacing w:line="276" w:lineRule="auto"/>
        <w:ind w:firstLine="0"/>
      </w:pPr>
      <w:r>
        <w:t>W</w:t>
      </w:r>
      <w:r w:rsidR="00A3401E" w:rsidRPr="00A3401E">
        <w:t xml:space="preserve"> myśl art. 94 ust. 9 pkt 3 lit. a i b znowelizowanego Prawa farmaceutycznego, w</w:t>
      </w:r>
      <w:r w:rsidR="00D33D81">
        <w:t> </w:t>
      </w:r>
      <w:r w:rsidR="00A3401E" w:rsidRPr="00A3401E">
        <w:t xml:space="preserve">mieście będącym siedzibą powiatu, które liczy więcej niż 40 tys. mieszkańców, </w:t>
      </w:r>
      <w:bookmarkStart w:id="1" w:name="_GoBack"/>
      <w:bookmarkEnd w:id="1"/>
      <w:r w:rsidR="00A3401E" w:rsidRPr="00A3401E">
        <w:t>ustawodawca pozostawia zarządowi powiatu podjęcie ostatecznej decyzji w kwesti</w:t>
      </w:r>
      <w:r w:rsidR="006F11A9">
        <w:t xml:space="preserve">i </w:t>
      </w:r>
      <w:r w:rsidR="00A3401E" w:rsidRPr="00A3401E">
        <w:t>ewentualnego ustalenia dyżurów pełnionych przez wyznaczoną aptekę</w:t>
      </w:r>
      <w:r w:rsidR="00D33D81" w:rsidRPr="00313957">
        <w:t xml:space="preserve">, </w:t>
      </w:r>
      <w:r w:rsidR="00D33D81">
        <w:t>przy czym zgodnie z wolą ustawodawcy w przypadku fakultatywnego wyznaczenia dyżurów wyznaczenie to musi być poprzedzone analizą poziomu zaspok</w:t>
      </w:r>
      <w:r w:rsidR="003D3DF3">
        <w:t>o</w:t>
      </w:r>
      <w:r w:rsidR="00D33D81">
        <w:t>j</w:t>
      </w:r>
      <w:r w:rsidR="003D3DF3">
        <w:t>e</w:t>
      </w:r>
      <w:r w:rsidR="00D33D81">
        <w:t>nia potrzeb w powiecie i musi być uzasadnione</w:t>
      </w:r>
      <w:r w:rsidR="006F11A9">
        <w:t>.</w:t>
      </w:r>
      <w:r w:rsidR="00A3401E" w:rsidRPr="00A3401E">
        <w:t xml:space="preserve"> </w:t>
      </w:r>
    </w:p>
    <w:p w:rsidR="00313957" w:rsidRDefault="00A3401E" w:rsidP="00160E09">
      <w:pPr>
        <w:shd w:val="clear" w:color="auto" w:fill="FFFFFF"/>
        <w:spacing w:line="276" w:lineRule="auto"/>
        <w:jc w:val="both"/>
        <w:textAlignment w:val="baseline"/>
        <w:rPr>
          <w:rFonts w:ascii="Verdana" w:hAnsi="Verdana"/>
          <w:sz w:val="20"/>
        </w:rPr>
      </w:pPr>
      <w:r w:rsidRPr="00313957">
        <w:rPr>
          <w:rFonts w:ascii="Verdana" w:hAnsi="Verdana"/>
          <w:sz w:val="20"/>
        </w:rPr>
        <w:t>Wyznaczenie takich dyżurów ma zatem w przypadku Miasta Wrocławia wyłącznie charakter fakultatywny</w:t>
      </w:r>
      <w:r w:rsidR="00313957">
        <w:rPr>
          <w:rFonts w:ascii="Verdana" w:hAnsi="Verdana"/>
          <w:sz w:val="20"/>
        </w:rPr>
        <w:t>.</w:t>
      </w:r>
    </w:p>
    <w:p w:rsidR="00785F27" w:rsidRDefault="007C03B3" w:rsidP="00160E09">
      <w:pPr>
        <w:pStyle w:val="Tekstpodstawowywcity"/>
        <w:spacing w:line="276" w:lineRule="auto"/>
        <w:ind w:firstLine="0"/>
      </w:pPr>
      <w:r>
        <w:t>Ustawodawca zobowiązał p</w:t>
      </w:r>
      <w:r w:rsidRPr="007C03B3">
        <w:t>odmioty prowadzące aptek</w:t>
      </w:r>
      <w:r>
        <w:t>i</w:t>
      </w:r>
      <w:r w:rsidRPr="007C03B3">
        <w:t xml:space="preserve"> do przekazania prezydentowi miasta na prawach powiatu, w którym znajduje się ta apteka, rozkładu godzin pracy apteki na rok bieżący.</w:t>
      </w:r>
      <w:r w:rsidR="00A06A9B">
        <w:t xml:space="preserve"> Zgodnie z przedstawionymi deklaracjami spośród 237 aptek </w:t>
      </w:r>
      <w:r w:rsidR="00313957">
        <w:t xml:space="preserve">prowadzących działalność </w:t>
      </w:r>
      <w:r w:rsidR="00A06A9B">
        <w:t>na terenie Wrocławia</w:t>
      </w:r>
      <w:r w:rsidR="00313957">
        <w:t xml:space="preserve"> -</w:t>
      </w:r>
      <w:r w:rsidR="00A06A9B">
        <w:t xml:space="preserve"> 113 </w:t>
      </w:r>
      <w:r w:rsidR="00A06A9B" w:rsidRPr="00D76F0F">
        <w:t xml:space="preserve">czynnych jest </w:t>
      </w:r>
      <w:r w:rsidR="00A06A9B">
        <w:t>do godz. 20.00, 59</w:t>
      </w:r>
      <w:r w:rsidR="00D33D81">
        <w:t> </w:t>
      </w:r>
      <w:r w:rsidR="00A06A9B">
        <w:t>aptek kończy pracę pomiędzy godz. 20.30 i 22.00</w:t>
      </w:r>
      <w:r w:rsidR="00313957">
        <w:t>, a w systemie całotygodniowym oraz w porze nocnej czynnych jest 8 aptek.</w:t>
      </w:r>
    </w:p>
    <w:p w:rsidR="007221C7" w:rsidRDefault="007221C7" w:rsidP="00160E09">
      <w:pPr>
        <w:pStyle w:val="Tekstpodstawowywcity"/>
        <w:spacing w:line="276" w:lineRule="auto"/>
        <w:ind w:firstLine="0"/>
      </w:pPr>
      <w:r>
        <w:t xml:space="preserve">W związku z powyższym należy uznać, że </w:t>
      </w:r>
      <w:r w:rsidR="00745FF1">
        <w:t>zabezpieczenie mieszkańców Wrocławia w</w:t>
      </w:r>
      <w:r w:rsidR="008975BF">
        <w:t> </w:t>
      </w:r>
      <w:r w:rsidR="00745FF1">
        <w:t>usługi farmaceutyczne jest wystarczające.</w:t>
      </w:r>
    </w:p>
    <w:p w:rsidR="000E1313" w:rsidRDefault="00245044" w:rsidP="00160E09">
      <w:pPr>
        <w:pStyle w:val="Tekstpodstawowywcity"/>
        <w:spacing w:before="120" w:line="276" w:lineRule="auto"/>
        <w:ind w:firstLine="0"/>
        <w:rPr>
          <w:rFonts w:cs="Arial"/>
          <w:color w:val="1B1B1B"/>
          <w:szCs w:val="20"/>
        </w:rPr>
      </w:pPr>
      <w:r w:rsidRPr="00D25427">
        <w:rPr>
          <w:rFonts w:cs="Arial"/>
          <w:color w:val="1B1B1B"/>
          <w:szCs w:val="20"/>
        </w:rPr>
        <w:t xml:space="preserve">Zgodnie z przepisem przejściowym art. 19 ust. 1 z dnia 17 sierpnia 2023 r. o zmianie ustawy o refundacji leków, środków spożywczych specjalnego przeznaczenia żywieniowego oraz wyrobów medycznych oraz niektórych innych ustaw, </w:t>
      </w:r>
      <w:r w:rsidRPr="00D76F0F">
        <w:rPr>
          <w:rFonts w:cs="Arial"/>
          <w:color w:val="000000"/>
          <w:szCs w:val="20"/>
        </w:rPr>
        <w:t>uchwały w</w:t>
      </w:r>
      <w:r w:rsidR="00D25427" w:rsidRPr="00D76F0F">
        <w:rPr>
          <w:rFonts w:cs="Arial"/>
          <w:color w:val="000000"/>
          <w:szCs w:val="20"/>
        </w:rPr>
        <w:t> </w:t>
      </w:r>
      <w:r w:rsidRPr="00D76F0F">
        <w:rPr>
          <w:rFonts w:cs="Arial"/>
          <w:color w:val="000000"/>
          <w:szCs w:val="20"/>
        </w:rPr>
        <w:t>sprawie rozkładu godzin pracy aptek ogólnodostępnych na danym terenie</w:t>
      </w:r>
      <w:r w:rsidR="003D3DF3">
        <w:rPr>
          <w:rFonts w:cs="Arial"/>
          <w:color w:val="000000"/>
          <w:szCs w:val="20"/>
        </w:rPr>
        <w:t>,</w:t>
      </w:r>
      <w:r w:rsidRPr="00D76F0F">
        <w:rPr>
          <w:rFonts w:cs="Arial"/>
          <w:color w:val="000000"/>
          <w:szCs w:val="20"/>
        </w:rPr>
        <w:t xml:space="preserve"> przyjęte przed dniem wejścia w życie tejże ustawy na podstawie art. 94 ust. 2 Prawa farmaceutycznego w jego „starym” brzmieniu</w:t>
      </w:r>
      <w:r w:rsidR="00D25427" w:rsidRPr="00D76F0F">
        <w:rPr>
          <w:rFonts w:cs="Arial"/>
          <w:color w:val="000000"/>
          <w:szCs w:val="20"/>
        </w:rPr>
        <w:t>,</w:t>
      </w:r>
      <w:r w:rsidRPr="00D76F0F">
        <w:rPr>
          <w:rFonts w:cs="Arial"/>
          <w:color w:val="000000"/>
          <w:szCs w:val="20"/>
        </w:rPr>
        <w:t xml:space="preserve"> obowiązują do ich</w:t>
      </w:r>
      <w:r w:rsidRPr="00D25427">
        <w:rPr>
          <w:rFonts w:cs="Arial"/>
          <w:color w:val="FF0000"/>
          <w:szCs w:val="20"/>
        </w:rPr>
        <w:t> </w:t>
      </w:r>
      <w:r w:rsidRPr="00D25427">
        <w:rPr>
          <w:rFonts w:cs="Arial"/>
          <w:color w:val="1B1B1B"/>
          <w:szCs w:val="20"/>
        </w:rPr>
        <w:t xml:space="preserve">uchylenia. </w:t>
      </w:r>
    </w:p>
    <w:p w:rsidR="00B06AB6" w:rsidRPr="00D25427" w:rsidRDefault="00245044" w:rsidP="00160E09">
      <w:pPr>
        <w:pStyle w:val="Tekstpodstawowywcity"/>
        <w:spacing w:before="120" w:line="276" w:lineRule="auto"/>
        <w:ind w:firstLine="0"/>
        <w:rPr>
          <w:rFonts w:cs="Arial"/>
          <w:color w:val="1B1B1B"/>
          <w:szCs w:val="20"/>
        </w:rPr>
      </w:pPr>
      <w:r w:rsidRPr="00D25427">
        <w:rPr>
          <w:rFonts w:cs="Arial"/>
          <w:color w:val="1B1B1B"/>
          <w:szCs w:val="20"/>
        </w:rPr>
        <w:t xml:space="preserve">Ministerstwo Zdrowia stanęło na stanowisku, zgodnie z którym </w:t>
      </w:r>
      <w:r w:rsidR="006F11A9" w:rsidRPr="00D25427">
        <w:rPr>
          <w:rFonts w:cs="Arial"/>
          <w:color w:val="1B1B1B"/>
          <w:szCs w:val="20"/>
        </w:rPr>
        <w:t>na terenie powiatu, którego władze nie są obowiązane wydawać uchwał na nowych zasadach</w:t>
      </w:r>
      <w:r w:rsidR="00D970D7">
        <w:rPr>
          <w:rFonts w:cs="Arial"/>
          <w:color w:val="1B1B1B"/>
          <w:szCs w:val="20"/>
        </w:rPr>
        <w:t>,</w:t>
      </w:r>
      <w:r w:rsidR="006F11A9" w:rsidRPr="00D25427">
        <w:rPr>
          <w:rFonts w:cs="Arial"/>
          <w:color w:val="1B1B1B"/>
          <w:szCs w:val="20"/>
        </w:rPr>
        <w:t xml:space="preserve"> </w:t>
      </w:r>
      <w:r w:rsidRPr="00D25427">
        <w:rPr>
          <w:rFonts w:cs="Arial"/>
          <w:color w:val="1B1B1B"/>
          <w:szCs w:val="20"/>
        </w:rPr>
        <w:t>utrzymanie bezterminowo w mocy uchwał przyjętych na podstawie art. 94 ust. 2 Prawa farmaceutycznego w</w:t>
      </w:r>
      <w:r w:rsidR="006F11A9" w:rsidRPr="00D25427">
        <w:rPr>
          <w:rFonts w:cs="Arial"/>
          <w:color w:val="1B1B1B"/>
          <w:szCs w:val="20"/>
        </w:rPr>
        <w:t> </w:t>
      </w:r>
      <w:r w:rsidRPr="00D25427">
        <w:rPr>
          <w:rFonts w:cs="Arial"/>
          <w:color w:val="1B1B1B"/>
          <w:szCs w:val="20"/>
        </w:rPr>
        <w:t>jego „starym” brzmieniu nie byłoby racjonalne.</w:t>
      </w:r>
    </w:p>
    <w:p w:rsidR="00230472" w:rsidRDefault="00C11B49" w:rsidP="00160E09">
      <w:pPr>
        <w:pStyle w:val="Tekstpodstawowywcity"/>
        <w:spacing w:before="120" w:line="276" w:lineRule="auto"/>
        <w:ind w:firstLine="0"/>
        <w:rPr>
          <w:szCs w:val="20"/>
        </w:rPr>
      </w:pPr>
      <w:r>
        <w:rPr>
          <w:szCs w:val="20"/>
        </w:rPr>
        <w:t xml:space="preserve">Opisane powyżej i obowiązujące już zmiany w Prawie farmaceutycznym uzasadniają podjęcie </w:t>
      </w:r>
      <w:r w:rsidR="00B80193">
        <w:rPr>
          <w:szCs w:val="20"/>
        </w:rPr>
        <w:t xml:space="preserve">przez Radę Miejską Wrocławia </w:t>
      </w:r>
      <w:r>
        <w:rPr>
          <w:szCs w:val="20"/>
        </w:rPr>
        <w:t xml:space="preserve">uchwały uchylającej uchwałę </w:t>
      </w:r>
      <w:r w:rsidR="00B80193" w:rsidRPr="00356DBC">
        <w:rPr>
          <w:bCs/>
          <w:szCs w:val="20"/>
        </w:rPr>
        <w:t xml:space="preserve">nr VI/67/11 Rady Miejskiej Wrocławia </w:t>
      </w:r>
      <w:r w:rsidR="00B80193">
        <w:rPr>
          <w:bCs/>
          <w:szCs w:val="20"/>
        </w:rPr>
        <w:t xml:space="preserve">z dnia 10 lutego 2011 r. </w:t>
      </w:r>
      <w:r w:rsidR="00B80193" w:rsidRPr="00356DBC">
        <w:rPr>
          <w:bCs/>
          <w:szCs w:val="20"/>
        </w:rPr>
        <w:t>w sprawie ustalenia rozkładu godzin pracy aptek ogólnodostępnych na terenie Miasta Wrocławia</w:t>
      </w:r>
      <w:r w:rsidR="00B80193">
        <w:rPr>
          <w:bCs/>
          <w:szCs w:val="20"/>
        </w:rPr>
        <w:t>.</w:t>
      </w:r>
    </w:p>
    <w:p w:rsidR="00160E09" w:rsidRPr="00D33D81" w:rsidRDefault="00160E09" w:rsidP="00160E09">
      <w:pPr>
        <w:pStyle w:val="Tekstpodstawowywcity"/>
        <w:spacing w:before="120" w:after="120" w:line="276" w:lineRule="auto"/>
        <w:ind w:firstLine="0"/>
        <w:rPr>
          <w:szCs w:val="20"/>
        </w:rPr>
      </w:pPr>
      <w:r>
        <w:rPr>
          <w:szCs w:val="20"/>
        </w:rPr>
        <w:t>U</w:t>
      </w:r>
      <w:r w:rsidRPr="00D33D81">
        <w:rPr>
          <w:szCs w:val="20"/>
        </w:rPr>
        <w:t>chyla</w:t>
      </w:r>
      <w:r>
        <w:rPr>
          <w:szCs w:val="20"/>
        </w:rPr>
        <w:t>na</w:t>
      </w:r>
      <w:r w:rsidRPr="00D33D81">
        <w:rPr>
          <w:szCs w:val="20"/>
        </w:rPr>
        <w:t xml:space="preserve"> uchwał</w:t>
      </w:r>
      <w:r>
        <w:rPr>
          <w:szCs w:val="20"/>
        </w:rPr>
        <w:t>a</w:t>
      </w:r>
      <w:r w:rsidRPr="00D33D81">
        <w:rPr>
          <w:szCs w:val="20"/>
        </w:rPr>
        <w:t xml:space="preserve"> nr VI/67/11 Rady Miejskiej Wrocławia z dnia 10 lutego 2011 r. w</w:t>
      </w:r>
      <w:r>
        <w:rPr>
          <w:szCs w:val="20"/>
        </w:rPr>
        <w:t> </w:t>
      </w:r>
      <w:r w:rsidRPr="00D33D81">
        <w:rPr>
          <w:szCs w:val="20"/>
        </w:rPr>
        <w:t>sprawie ustalenia rozkładu godzin pracy aptek ogólnodostępnych na terenie Miasta Wrocławia stanowi akt prawa miejscowego.</w:t>
      </w:r>
    </w:p>
    <w:p w:rsidR="00FA0210" w:rsidRDefault="00C66719" w:rsidP="00160E09">
      <w:pPr>
        <w:pStyle w:val="Tekstpodstawowywcity"/>
        <w:spacing w:before="120" w:after="120" w:line="276" w:lineRule="auto"/>
        <w:ind w:firstLine="0"/>
        <w:rPr>
          <w:szCs w:val="20"/>
        </w:rPr>
      </w:pPr>
      <w:r w:rsidRPr="00C66719">
        <w:rPr>
          <w:szCs w:val="20"/>
        </w:rPr>
        <w:t>Projekt nie zawiera danych prawnie chronionych.</w:t>
      </w:r>
    </w:p>
    <w:p w:rsidR="000718D0" w:rsidRDefault="00FF48A5" w:rsidP="00160E09">
      <w:pPr>
        <w:pStyle w:val="Tekstpodstawowywcity"/>
        <w:spacing w:after="120" w:line="276" w:lineRule="auto"/>
        <w:ind w:firstLine="0"/>
        <w:rPr>
          <w:szCs w:val="20"/>
        </w:rPr>
      </w:pPr>
      <w:r>
        <w:rPr>
          <w:szCs w:val="20"/>
        </w:rPr>
        <w:t>Przepisy prawa nie nakładają obowiązku dokonania konsultacji, zawiadamiania, zatwierdzania, opiniowania i uzgadniania z innymi organami i podmiotami przedmiotowej uchwały.</w:t>
      </w:r>
    </w:p>
    <w:p w:rsidR="00D33D81" w:rsidRDefault="00D33D81" w:rsidP="00160E09">
      <w:pPr>
        <w:pStyle w:val="Tekstpodstawowywcity"/>
        <w:spacing w:after="120" w:line="276" w:lineRule="auto"/>
        <w:ind w:firstLine="0"/>
        <w:rPr>
          <w:szCs w:val="20"/>
        </w:rPr>
      </w:pPr>
      <w:r>
        <w:rPr>
          <w:szCs w:val="20"/>
        </w:rPr>
        <w:t xml:space="preserve">Niniejszy projekt uchwały został przedstawiony do konsultacji publicznych w dniu 17.06.2024 r.  </w:t>
      </w:r>
    </w:p>
    <w:p w:rsidR="000718D0" w:rsidRDefault="000718D0" w:rsidP="00313957">
      <w:pPr>
        <w:pStyle w:val="Tekstpodstawowywcity"/>
        <w:spacing w:line="312" w:lineRule="auto"/>
        <w:ind w:firstLine="0"/>
        <w:rPr>
          <w:szCs w:val="20"/>
        </w:rPr>
      </w:pPr>
    </w:p>
    <w:p w:rsidR="00FA0210" w:rsidRDefault="00FA0210" w:rsidP="00683E9E">
      <w:pPr>
        <w:pStyle w:val="Tekstpodstawowywcity"/>
        <w:spacing w:line="26" w:lineRule="atLeast"/>
        <w:ind w:firstLine="0"/>
        <w:rPr>
          <w:b/>
          <w:bCs/>
          <w:color w:val="FF0000"/>
          <w:sz w:val="16"/>
        </w:rPr>
      </w:pPr>
    </w:p>
    <w:sectPr w:rsidR="00FA0210" w:rsidSect="00160E09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434"/>
    <w:multiLevelType w:val="multilevel"/>
    <w:tmpl w:val="01C0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7037E"/>
    <w:multiLevelType w:val="hybridMultilevel"/>
    <w:tmpl w:val="329861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293B"/>
    <w:multiLevelType w:val="hybridMultilevel"/>
    <w:tmpl w:val="FE0E2028"/>
    <w:lvl w:ilvl="0" w:tplc="61402B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F25C1"/>
    <w:multiLevelType w:val="hybridMultilevel"/>
    <w:tmpl w:val="F056A8C0"/>
    <w:lvl w:ilvl="0" w:tplc="D82CC5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95AF1"/>
    <w:multiLevelType w:val="hybridMultilevel"/>
    <w:tmpl w:val="63064C40"/>
    <w:lvl w:ilvl="0" w:tplc="1AE2AC6A">
      <w:start w:val="1"/>
      <w:numFmt w:val="decimal"/>
      <w:lvlText w:val="%1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EDF8D708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 w:val="0"/>
        <w:i w:val="0"/>
        <w:sz w:val="22"/>
      </w:rPr>
    </w:lvl>
    <w:lvl w:ilvl="2" w:tplc="C9BA6F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65160"/>
    <w:multiLevelType w:val="hybridMultilevel"/>
    <w:tmpl w:val="14846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B1C"/>
    <w:multiLevelType w:val="hybridMultilevel"/>
    <w:tmpl w:val="F626A7C4"/>
    <w:lvl w:ilvl="0" w:tplc="17D833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2623B"/>
    <w:multiLevelType w:val="hybridMultilevel"/>
    <w:tmpl w:val="44EC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3BE9"/>
    <w:multiLevelType w:val="hybridMultilevel"/>
    <w:tmpl w:val="D60C2480"/>
    <w:lvl w:ilvl="0" w:tplc="1B9A5C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84ADF"/>
    <w:multiLevelType w:val="hybridMultilevel"/>
    <w:tmpl w:val="BD5E6440"/>
    <w:lvl w:ilvl="0" w:tplc="B3483F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248B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0B00DF"/>
    <w:multiLevelType w:val="hybridMultilevel"/>
    <w:tmpl w:val="18E46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00ABC"/>
    <w:multiLevelType w:val="hybridMultilevel"/>
    <w:tmpl w:val="7D862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6708F"/>
    <w:multiLevelType w:val="hybridMultilevel"/>
    <w:tmpl w:val="CA3CEC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DB594F"/>
    <w:multiLevelType w:val="hybridMultilevel"/>
    <w:tmpl w:val="EB7ECA1A"/>
    <w:lvl w:ilvl="0" w:tplc="1B9A5C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9495D"/>
    <w:multiLevelType w:val="hybridMultilevel"/>
    <w:tmpl w:val="59EC27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E52DDF"/>
    <w:multiLevelType w:val="hybridMultilevel"/>
    <w:tmpl w:val="74AA3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4112A"/>
    <w:multiLevelType w:val="hybridMultilevel"/>
    <w:tmpl w:val="178496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5B2F05"/>
    <w:multiLevelType w:val="hybridMultilevel"/>
    <w:tmpl w:val="8EE436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34642A"/>
    <w:multiLevelType w:val="hybridMultilevel"/>
    <w:tmpl w:val="E4FC1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BE4869"/>
    <w:multiLevelType w:val="hybridMultilevel"/>
    <w:tmpl w:val="DE3AE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BC7E02"/>
    <w:multiLevelType w:val="hybridMultilevel"/>
    <w:tmpl w:val="31AE4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12"/>
  </w:num>
  <w:num w:numId="7">
    <w:abstractNumId w:val="14"/>
  </w:num>
  <w:num w:numId="8">
    <w:abstractNumId w:val="6"/>
  </w:num>
  <w:num w:numId="9">
    <w:abstractNumId w:val="16"/>
  </w:num>
  <w:num w:numId="10">
    <w:abstractNumId w:val="19"/>
  </w:num>
  <w:num w:numId="11">
    <w:abstractNumId w:val="18"/>
  </w:num>
  <w:num w:numId="12">
    <w:abstractNumId w:val="20"/>
  </w:num>
  <w:num w:numId="13">
    <w:abstractNumId w:val="17"/>
  </w:num>
  <w:num w:numId="14">
    <w:abstractNumId w:val="11"/>
  </w:num>
  <w:num w:numId="15">
    <w:abstractNumId w:val="15"/>
  </w:num>
  <w:num w:numId="16">
    <w:abstractNumId w:val="7"/>
  </w:num>
  <w:num w:numId="17">
    <w:abstractNumId w:val="8"/>
  </w:num>
  <w:num w:numId="18">
    <w:abstractNumId w:val="10"/>
  </w:num>
  <w:num w:numId="19">
    <w:abstractNumId w:val="5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E79"/>
    <w:rsid w:val="000025F8"/>
    <w:rsid w:val="00005F66"/>
    <w:rsid w:val="00032264"/>
    <w:rsid w:val="00042DDB"/>
    <w:rsid w:val="00051826"/>
    <w:rsid w:val="000575F2"/>
    <w:rsid w:val="00065AF1"/>
    <w:rsid w:val="000718D0"/>
    <w:rsid w:val="00087E32"/>
    <w:rsid w:val="000E1313"/>
    <w:rsid w:val="0011724A"/>
    <w:rsid w:val="001549F3"/>
    <w:rsid w:val="00160E09"/>
    <w:rsid w:val="00165FC8"/>
    <w:rsid w:val="00230472"/>
    <w:rsid w:val="00232893"/>
    <w:rsid w:val="00245044"/>
    <w:rsid w:val="00253140"/>
    <w:rsid w:val="002A4453"/>
    <w:rsid w:val="002E4714"/>
    <w:rsid w:val="00305382"/>
    <w:rsid w:val="00313957"/>
    <w:rsid w:val="00356DBC"/>
    <w:rsid w:val="00397015"/>
    <w:rsid w:val="003D3DF3"/>
    <w:rsid w:val="003F169B"/>
    <w:rsid w:val="00447CFF"/>
    <w:rsid w:val="004520BE"/>
    <w:rsid w:val="004E5B7D"/>
    <w:rsid w:val="004F419D"/>
    <w:rsid w:val="00572DFD"/>
    <w:rsid w:val="005810F3"/>
    <w:rsid w:val="005A1CEF"/>
    <w:rsid w:val="005B5DA0"/>
    <w:rsid w:val="005C2D59"/>
    <w:rsid w:val="006155DA"/>
    <w:rsid w:val="00620467"/>
    <w:rsid w:val="00683E9E"/>
    <w:rsid w:val="00686EAB"/>
    <w:rsid w:val="006B11DB"/>
    <w:rsid w:val="006B288E"/>
    <w:rsid w:val="006C5249"/>
    <w:rsid w:val="006F11A9"/>
    <w:rsid w:val="00703CCC"/>
    <w:rsid w:val="007221C7"/>
    <w:rsid w:val="0072718E"/>
    <w:rsid w:val="00745FF1"/>
    <w:rsid w:val="00785F27"/>
    <w:rsid w:val="007B3BAC"/>
    <w:rsid w:val="007C03B3"/>
    <w:rsid w:val="007E6CEA"/>
    <w:rsid w:val="00800EA8"/>
    <w:rsid w:val="00807CB7"/>
    <w:rsid w:val="00826E83"/>
    <w:rsid w:val="008975BF"/>
    <w:rsid w:val="008D14FC"/>
    <w:rsid w:val="0093320E"/>
    <w:rsid w:val="00963F09"/>
    <w:rsid w:val="009A5276"/>
    <w:rsid w:val="009D2E79"/>
    <w:rsid w:val="009D369F"/>
    <w:rsid w:val="00A06A9B"/>
    <w:rsid w:val="00A12B5A"/>
    <w:rsid w:val="00A3401E"/>
    <w:rsid w:val="00A612B3"/>
    <w:rsid w:val="00A8539B"/>
    <w:rsid w:val="00AA42CD"/>
    <w:rsid w:val="00AA4BFC"/>
    <w:rsid w:val="00AB0956"/>
    <w:rsid w:val="00AC0AFD"/>
    <w:rsid w:val="00AC28F7"/>
    <w:rsid w:val="00AC6CE7"/>
    <w:rsid w:val="00B01F16"/>
    <w:rsid w:val="00B06AB6"/>
    <w:rsid w:val="00B2024E"/>
    <w:rsid w:val="00B337AB"/>
    <w:rsid w:val="00B41261"/>
    <w:rsid w:val="00B56FD7"/>
    <w:rsid w:val="00B80193"/>
    <w:rsid w:val="00BA11EE"/>
    <w:rsid w:val="00BA70D4"/>
    <w:rsid w:val="00BC2209"/>
    <w:rsid w:val="00BD532F"/>
    <w:rsid w:val="00C04970"/>
    <w:rsid w:val="00C11B49"/>
    <w:rsid w:val="00C32D71"/>
    <w:rsid w:val="00C3752D"/>
    <w:rsid w:val="00C42588"/>
    <w:rsid w:val="00C652F8"/>
    <w:rsid w:val="00C66719"/>
    <w:rsid w:val="00C808D2"/>
    <w:rsid w:val="00C91B8D"/>
    <w:rsid w:val="00C9293E"/>
    <w:rsid w:val="00CD58BD"/>
    <w:rsid w:val="00CE533E"/>
    <w:rsid w:val="00D025AC"/>
    <w:rsid w:val="00D25427"/>
    <w:rsid w:val="00D33D81"/>
    <w:rsid w:val="00D359F6"/>
    <w:rsid w:val="00D744D9"/>
    <w:rsid w:val="00D76F0F"/>
    <w:rsid w:val="00D970D7"/>
    <w:rsid w:val="00DB661C"/>
    <w:rsid w:val="00E113B2"/>
    <w:rsid w:val="00EA4AD1"/>
    <w:rsid w:val="00EA6286"/>
    <w:rsid w:val="00ED2A5D"/>
    <w:rsid w:val="00F80503"/>
    <w:rsid w:val="00F834A2"/>
    <w:rsid w:val="00FA0210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A811A"/>
  <w15:chartTrackingRefBased/>
  <w15:docId w15:val="{BD38500B-3F36-41EB-B1B6-B99DB7A0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jc w:val="both"/>
    </w:pPr>
    <w:rPr>
      <w:rFonts w:ascii="Verdana" w:hAnsi="Verdana"/>
      <w:sz w:val="22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semiHidden/>
    <w:pPr>
      <w:jc w:val="both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ind w:firstLine="432"/>
      <w:jc w:val="both"/>
    </w:pPr>
    <w:rPr>
      <w:rFonts w:ascii="Verdana" w:hAnsi="Verdana"/>
      <w:sz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ind w:right="-81"/>
      <w:jc w:val="both"/>
    </w:pPr>
    <w:rPr>
      <w:rFonts w:ascii="Verdana" w:hAnsi="Verdana"/>
      <w:color w:val="000000"/>
      <w:sz w:val="22"/>
      <w:szCs w:val="22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7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WI</dc:creator>
  <cp:keywords/>
  <cp:lastModifiedBy>Kaczmarczyk Małgorzata</cp:lastModifiedBy>
  <cp:revision>3</cp:revision>
  <cp:lastPrinted>2017-10-20T09:04:00Z</cp:lastPrinted>
  <dcterms:created xsi:type="dcterms:W3CDTF">2024-06-17T07:04:00Z</dcterms:created>
  <dcterms:modified xsi:type="dcterms:W3CDTF">2024-06-17T10:11:00Z</dcterms:modified>
</cp:coreProperties>
</file>