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1DF49" w14:textId="20AFCA17" w:rsidR="008B4326" w:rsidRPr="009E4A37" w:rsidRDefault="000F2B2B" w:rsidP="002E60DE">
      <w:pPr>
        <w:pStyle w:val="Nagwek9"/>
        <w:ind w:left="0" w:firstLine="0"/>
        <w:jc w:val="left"/>
        <w:rPr>
          <w:rFonts w:ascii="Arial" w:hAnsi="Arial" w:cs="Arial"/>
          <w:sz w:val="28"/>
          <w:szCs w:val="28"/>
        </w:rPr>
      </w:pPr>
      <w:r w:rsidRPr="009E4A37">
        <w:rPr>
          <w:rFonts w:ascii="Arial" w:hAnsi="Arial" w:cs="Arial"/>
          <w:sz w:val="28"/>
          <w:szCs w:val="28"/>
        </w:rPr>
        <w:t>Załącznik numer</w:t>
      </w:r>
      <w:r w:rsidR="00ED4455" w:rsidRPr="009E4A37">
        <w:rPr>
          <w:rFonts w:ascii="Arial" w:hAnsi="Arial" w:cs="Arial"/>
          <w:sz w:val="28"/>
          <w:szCs w:val="28"/>
        </w:rPr>
        <w:t xml:space="preserve"> 9</w:t>
      </w:r>
      <w:r w:rsidR="007607A0" w:rsidRPr="009E4A37">
        <w:rPr>
          <w:rFonts w:ascii="Arial" w:hAnsi="Arial" w:cs="Arial"/>
          <w:sz w:val="28"/>
          <w:szCs w:val="28"/>
        </w:rPr>
        <w:t xml:space="preserve"> </w:t>
      </w:r>
      <w:r w:rsidR="008B4326" w:rsidRPr="009E4A37">
        <w:rPr>
          <w:rFonts w:ascii="Arial" w:hAnsi="Arial" w:cs="Arial"/>
          <w:sz w:val="28"/>
          <w:szCs w:val="28"/>
        </w:rPr>
        <w:t xml:space="preserve">do </w:t>
      </w:r>
      <w:r w:rsidR="00E075C6" w:rsidRPr="009E4A37">
        <w:rPr>
          <w:rFonts w:ascii="Arial" w:hAnsi="Arial" w:cs="Arial"/>
          <w:sz w:val="28"/>
          <w:szCs w:val="28"/>
        </w:rPr>
        <w:t>U</w:t>
      </w:r>
      <w:r w:rsidR="008B4326" w:rsidRPr="009E4A37">
        <w:rPr>
          <w:rFonts w:ascii="Arial" w:hAnsi="Arial" w:cs="Arial"/>
          <w:sz w:val="28"/>
          <w:szCs w:val="28"/>
        </w:rPr>
        <w:t>mowy n</w:t>
      </w:r>
      <w:r w:rsidRPr="009E4A37">
        <w:rPr>
          <w:rFonts w:ascii="Arial" w:hAnsi="Arial" w:cs="Arial"/>
          <w:sz w:val="28"/>
          <w:szCs w:val="28"/>
        </w:rPr>
        <w:t>ume</w:t>
      </w:r>
      <w:r w:rsidR="008B4326" w:rsidRPr="009E4A37">
        <w:rPr>
          <w:rFonts w:ascii="Arial" w:hAnsi="Arial" w:cs="Arial"/>
          <w:sz w:val="28"/>
          <w:szCs w:val="28"/>
        </w:rPr>
        <w:t>r ……/</w:t>
      </w:r>
      <w:proofErr w:type="spellStart"/>
      <w:r w:rsidR="00026C33" w:rsidRPr="009E4A37">
        <w:rPr>
          <w:rFonts w:ascii="Arial" w:hAnsi="Arial" w:cs="Arial"/>
          <w:sz w:val="28"/>
          <w:szCs w:val="28"/>
        </w:rPr>
        <w:t>wtr</w:t>
      </w:r>
      <w:proofErr w:type="spellEnd"/>
      <w:r w:rsidR="008B4326" w:rsidRPr="009E4A37">
        <w:rPr>
          <w:rFonts w:ascii="Arial" w:hAnsi="Arial" w:cs="Arial"/>
          <w:sz w:val="28"/>
          <w:szCs w:val="28"/>
        </w:rPr>
        <w:t>/20…….</w:t>
      </w:r>
    </w:p>
    <w:p w14:paraId="3DFFD680" w14:textId="77777777" w:rsidR="007607A0" w:rsidRPr="009E4A37" w:rsidRDefault="007607A0" w:rsidP="002E60DE">
      <w:pPr>
        <w:pStyle w:val="Nagwek9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1AD4C452" w14:textId="77777777" w:rsidR="000651E7" w:rsidRPr="009E4A37" w:rsidRDefault="000F2B2B" w:rsidP="002E60DE">
      <w:pPr>
        <w:pStyle w:val="WW-Tekstpodstawowy3"/>
        <w:suppressAutoHyphens w:val="0"/>
        <w:spacing w:line="360" w:lineRule="auto"/>
        <w:jc w:val="left"/>
        <w:rPr>
          <w:rFonts w:ascii="Arial" w:hAnsi="Arial" w:cs="Arial"/>
          <w:iCs/>
          <w:sz w:val="28"/>
          <w:szCs w:val="28"/>
          <w:u w:val="none"/>
        </w:rPr>
      </w:pPr>
      <w:r w:rsidRPr="009E4A37">
        <w:rPr>
          <w:rFonts w:ascii="Arial" w:hAnsi="Arial" w:cs="Arial"/>
          <w:sz w:val="28"/>
          <w:szCs w:val="28"/>
          <w:u w:val="none"/>
        </w:rPr>
        <w:t>Zasady waloryzacji</w:t>
      </w:r>
      <w:r w:rsidR="00AF4FE9" w:rsidRPr="009E4A37">
        <w:rPr>
          <w:rFonts w:ascii="Arial" w:hAnsi="Arial" w:cs="Arial"/>
          <w:sz w:val="28"/>
          <w:szCs w:val="28"/>
          <w:u w:val="none"/>
        </w:rPr>
        <w:t xml:space="preserve"> </w:t>
      </w:r>
      <w:r w:rsidRPr="009E4A37">
        <w:rPr>
          <w:rFonts w:ascii="Arial" w:hAnsi="Arial" w:cs="Arial"/>
          <w:sz w:val="28"/>
          <w:szCs w:val="28"/>
          <w:u w:val="none"/>
        </w:rPr>
        <w:t>wynagrodzenia</w:t>
      </w:r>
    </w:p>
    <w:p w14:paraId="6F7C2CC4" w14:textId="77777777" w:rsidR="00C53368" w:rsidRPr="009E4A37" w:rsidRDefault="0014355E" w:rsidP="00340BC8">
      <w:pPr>
        <w:numPr>
          <w:ilvl w:val="6"/>
          <w:numId w:val="32"/>
        </w:numPr>
        <w:tabs>
          <w:tab w:val="clear" w:pos="5040"/>
        </w:tabs>
        <w:spacing w:line="360" w:lineRule="auto"/>
        <w:ind w:left="284" w:hanging="284"/>
        <w:rPr>
          <w:rFonts w:ascii="Arial" w:hAnsi="Arial" w:cs="Arial"/>
          <w:sz w:val="28"/>
          <w:szCs w:val="28"/>
        </w:rPr>
      </w:pPr>
      <w:bookmarkStart w:id="0" w:name="_Hlk76547395"/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Stawka jednostkowa za wozokilometr</w:t>
      </w:r>
      <w:bookmarkEnd w:id="0"/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, za świadczone usługi przewozu pasażerów</w:t>
      </w:r>
      <w:r w:rsidRPr="009E4A37">
        <w:rPr>
          <w:rFonts w:ascii="Arial" w:hAnsi="Arial" w:cs="Arial"/>
          <w:sz w:val="28"/>
          <w:szCs w:val="28"/>
        </w:rPr>
        <w:t xml:space="preserve"> określona w </w:t>
      </w:r>
      <w:r w:rsidR="00E075C6" w:rsidRPr="009E4A37">
        <w:rPr>
          <w:rFonts w:ascii="Arial" w:hAnsi="Arial" w:cs="Arial"/>
          <w:bCs/>
          <w:sz w:val="28"/>
          <w:szCs w:val="28"/>
        </w:rPr>
        <w:t>Załączniku n</w:t>
      </w:r>
      <w:r w:rsidR="00DB677E" w:rsidRPr="009E4A37">
        <w:rPr>
          <w:rFonts w:ascii="Arial" w:hAnsi="Arial" w:cs="Arial"/>
          <w:bCs/>
          <w:sz w:val="28"/>
          <w:szCs w:val="28"/>
        </w:rPr>
        <w:t>ume</w:t>
      </w:r>
      <w:r w:rsidR="00E075C6" w:rsidRPr="009E4A37">
        <w:rPr>
          <w:rFonts w:ascii="Arial" w:hAnsi="Arial" w:cs="Arial"/>
          <w:bCs/>
          <w:sz w:val="28"/>
          <w:szCs w:val="28"/>
        </w:rPr>
        <w:t>r 8 do U</w:t>
      </w:r>
      <w:r w:rsidR="00AA0FA5" w:rsidRPr="009E4A37">
        <w:rPr>
          <w:rFonts w:ascii="Arial" w:hAnsi="Arial" w:cs="Arial"/>
          <w:bCs/>
          <w:sz w:val="28"/>
          <w:szCs w:val="28"/>
        </w:rPr>
        <w:t>mowy</w:t>
      </w:r>
      <w:r w:rsidRPr="009E4A37">
        <w:rPr>
          <w:rFonts w:ascii="Arial" w:hAnsi="Arial" w:cs="Arial"/>
          <w:sz w:val="28"/>
          <w:szCs w:val="28"/>
        </w:rPr>
        <w:t>, będzie waloryzowana</w:t>
      </w:r>
      <w:r w:rsidR="00424ACA" w:rsidRPr="009E4A37">
        <w:rPr>
          <w:rFonts w:ascii="Arial" w:hAnsi="Arial" w:cs="Arial"/>
          <w:sz w:val="28"/>
          <w:szCs w:val="28"/>
        </w:rPr>
        <w:t xml:space="preserve"> co 6 miesięcy</w:t>
      </w:r>
      <w:r w:rsidRPr="009E4A37">
        <w:rPr>
          <w:rFonts w:ascii="Arial" w:hAnsi="Arial" w:cs="Arial"/>
          <w:sz w:val="28"/>
          <w:szCs w:val="28"/>
        </w:rPr>
        <w:t xml:space="preserve">, </w:t>
      </w:r>
      <w:r w:rsidR="00AA0FA5" w:rsidRPr="009E4A37">
        <w:rPr>
          <w:rFonts w:ascii="Arial" w:hAnsi="Arial" w:cs="Arial"/>
          <w:sz w:val="28"/>
          <w:szCs w:val="28"/>
        </w:rPr>
        <w:t xml:space="preserve">począwszy od </w:t>
      </w:r>
      <w:r w:rsidR="00A61894" w:rsidRPr="009E4A37">
        <w:rPr>
          <w:rFonts w:ascii="Arial" w:hAnsi="Arial" w:cs="Arial"/>
          <w:sz w:val="28"/>
          <w:szCs w:val="28"/>
        </w:rPr>
        <w:t xml:space="preserve">upływu pierwszych 6 miesięcy od momentu otwarcia ofert  </w:t>
      </w:r>
      <w:r w:rsidR="008E6CA8" w:rsidRPr="009E4A37">
        <w:rPr>
          <w:rFonts w:ascii="Arial" w:hAnsi="Arial" w:cs="Arial"/>
          <w:sz w:val="28"/>
          <w:szCs w:val="28"/>
        </w:rPr>
        <w:t>wskaźnikiem obliczonym według następującego wzoru:</w:t>
      </w:r>
      <w:r w:rsidR="00A61894" w:rsidRPr="009E4A37">
        <w:rPr>
          <w:rFonts w:ascii="Arial" w:hAnsi="Arial" w:cs="Arial"/>
          <w:sz w:val="28"/>
          <w:szCs w:val="28"/>
        </w:rPr>
        <w:t xml:space="preserve"> </w:t>
      </w:r>
    </w:p>
    <w:p w14:paraId="09CE5723" w14:textId="43E48552" w:rsidR="0014355E" w:rsidRPr="009E4A37" w:rsidRDefault="008E4622" w:rsidP="002E60DE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9E4A37">
        <w:rPr>
          <w:rFonts w:ascii="Arial" w:hAnsi="Arial" w:cs="Arial"/>
          <w:b/>
          <w:sz w:val="28"/>
          <w:szCs w:val="28"/>
        </w:rPr>
        <w:t>W</w:t>
      </w:r>
      <w:r w:rsidR="005E560D" w:rsidRPr="009E4A37">
        <w:rPr>
          <w:rFonts w:ascii="Arial" w:hAnsi="Arial" w:cs="Arial"/>
          <w:b/>
          <w:sz w:val="28"/>
          <w:szCs w:val="28"/>
        </w:rPr>
        <w:t xml:space="preserve"> = 0,</w:t>
      </w:r>
      <w:r w:rsidR="00970B8A">
        <w:rPr>
          <w:rFonts w:ascii="Arial" w:hAnsi="Arial" w:cs="Arial"/>
          <w:b/>
          <w:sz w:val="28"/>
          <w:szCs w:val="28"/>
        </w:rPr>
        <w:t>4</w:t>
      </w:r>
      <w:r w:rsidR="005E560D" w:rsidRPr="009E4A37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E560D" w:rsidRPr="009E4A37">
        <w:rPr>
          <w:rFonts w:ascii="Arial" w:hAnsi="Arial" w:cs="Arial"/>
          <w:b/>
          <w:sz w:val="28"/>
          <w:szCs w:val="28"/>
        </w:rPr>
        <w:t>w</w:t>
      </w:r>
      <w:r w:rsidR="005E560D" w:rsidRPr="009E4A37">
        <w:rPr>
          <w:rFonts w:ascii="Arial" w:hAnsi="Arial" w:cs="Arial"/>
          <w:b/>
          <w:sz w:val="28"/>
          <w:szCs w:val="28"/>
          <w:vertAlign w:val="subscript"/>
        </w:rPr>
        <w:t>w</w:t>
      </w:r>
      <w:proofErr w:type="spellEnd"/>
      <w:r w:rsidR="005E560D" w:rsidRPr="009E4A37">
        <w:rPr>
          <w:rFonts w:ascii="Arial" w:hAnsi="Arial" w:cs="Arial"/>
          <w:b/>
          <w:sz w:val="28"/>
          <w:szCs w:val="28"/>
        </w:rPr>
        <w:t xml:space="preserve"> + 0</w:t>
      </w:r>
      <w:r w:rsidR="00B074C9" w:rsidRPr="009E4A37">
        <w:rPr>
          <w:rFonts w:ascii="Arial" w:hAnsi="Arial" w:cs="Arial"/>
          <w:b/>
          <w:sz w:val="28"/>
          <w:szCs w:val="28"/>
        </w:rPr>
        <w:t>,</w:t>
      </w:r>
      <w:r w:rsidR="00F83BA7" w:rsidRPr="009E4A37">
        <w:rPr>
          <w:rFonts w:ascii="Arial" w:hAnsi="Arial" w:cs="Arial"/>
          <w:b/>
          <w:sz w:val="28"/>
          <w:szCs w:val="28"/>
        </w:rPr>
        <w:t>3</w:t>
      </w:r>
      <w:r w:rsidR="005E560D" w:rsidRPr="009E4A37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E560D" w:rsidRPr="009E4A37">
        <w:rPr>
          <w:rFonts w:ascii="Arial" w:hAnsi="Arial" w:cs="Arial"/>
          <w:b/>
          <w:sz w:val="28"/>
          <w:szCs w:val="28"/>
        </w:rPr>
        <w:t>w</w:t>
      </w:r>
      <w:r w:rsidR="00944B2D" w:rsidRPr="009E4A37">
        <w:rPr>
          <w:rFonts w:ascii="Arial" w:hAnsi="Arial" w:cs="Arial"/>
          <w:b/>
          <w:sz w:val="28"/>
          <w:szCs w:val="28"/>
          <w:vertAlign w:val="subscript"/>
        </w:rPr>
        <w:t>n</w:t>
      </w:r>
      <w:proofErr w:type="spellEnd"/>
      <w:r w:rsidR="005E560D" w:rsidRPr="009E4A37">
        <w:rPr>
          <w:rFonts w:ascii="Arial" w:hAnsi="Arial" w:cs="Arial"/>
          <w:b/>
          <w:sz w:val="28"/>
          <w:szCs w:val="28"/>
        </w:rPr>
        <w:t xml:space="preserve"> + 0,</w:t>
      </w:r>
      <w:r w:rsidR="00970B8A">
        <w:rPr>
          <w:rFonts w:ascii="Arial" w:hAnsi="Arial" w:cs="Arial"/>
          <w:b/>
          <w:sz w:val="28"/>
          <w:szCs w:val="28"/>
        </w:rPr>
        <w:t>3</w:t>
      </w:r>
      <w:r w:rsidR="005E560D" w:rsidRPr="009E4A37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E560D" w:rsidRPr="009E4A37">
        <w:rPr>
          <w:rFonts w:ascii="Arial" w:hAnsi="Arial" w:cs="Arial"/>
          <w:b/>
          <w:sz w:val="28"/>
          <w:szCs w:val="28"/>
        </w:rPr>
        <w:t>w</w:t>
      </w:r>
      <w:r w:rsidR="005E560D" w:rsidRPr="009E4A37">
        <w:rPr>
          <w:rFonts w:ascii="Arial" w:hAnsi="Arial" w:cs="Arial"/>
          <w:b/>
          <w:sz w:val="28"/>
          <w:szCs w:val="28"/>
          <w:vertAlign w:val="subscript"/>
        </w:rPr>
        <w:t>i</w:t>
      </w:r>
      <w:proofErr w:type="spellEnd"/>
    </w:p>
    <w:p w14:paraId="4BF19DF9" w14:textId="77777777" w:rsidR="0014355E" w:rsidRPr="009E4A37" w:rsidRDefault="005E560D" w:rsidP="002E60DE">
      <w:pPr>
        <w:tabs>
          <w:tab w:val="left" w:pos="284"/>
        </w:tabs>
        <w:spacing w:line="360" w:lineRule="auto"/>
        <w:ind w:left="-142"/>
        <w:rPr>
          <w:rFonts w:ascii="Arial" w:hAnsi="Arial" w:cs="Arial"/>
          <w:sz w:val="28"/>
          <w:szCs w:val="28"/>
          <w:vertAlign w:val="subscript"/>
        </w:rPr>
      </w:pPr>
      <w:r w:rsidRPr="009E4A37">
        <w:rPr>
          <w:rFonts w:ascii="Arial" w:hAnsi="Arial" w:cs="Arial"/>
          <w:sz w:val="28"/>
          <w:szCs w:val="28"/>
        </w:rPr>
        <w:tab/>
        <w:t>gdzie:</w:t>
      </w:r>
    </w:p>
    <w:p w14:paraId="0F464582" w14:textId="77777777" w:rsidR="0014355E" w:rsidRPr="009E4A37" w:rsidRDefault="008E4622" w:rsidP="002E60DE">
      <w:pPr>
        <w:numPr>
          <w:ilvl w:val="0"/>
          <w:numId w:val="31"/>
        </w:numPr>
        <w:tabs>
          <w:tab w:val="clear" w:pos="786"/>
        </w:tabs>
        <w:spacing w:line="360" w:lineRule="auto"/>
        <w:ind w:left="567" w:hanging="283"/>
        <w:rPr>
          <w:rFonts w:ascii="Arial" w:hAnsi="Arial" w:cs="Arial"/>
          <w:sz w:val="28"/>
          <w:szCs w:val="28"/>
        </w:rPr>
      </w:pPr>
      <w:r w:rsidRPr="009E4A37">
        <w:rPr>
          <w:rFonts w:ascii="Arial" w:hAnsi="Arial" w:cs="Arial"/>
          <w:sz w:val="28"/>
          <w:szCs w:val="28"/>
        </w:rPr>
        <w:t>W</w:t>
      </w:r>
      <w:r w:rsidR="005E560D" w:rsidRPr="009E4A37">
        <w:rPr>
          <w:rFonts w:ascii="Arial" w:hAnsi="Arial" w:cs="Arial"/>
          <w:sz w:val="28"/>
          <w:szCs w:val="28"/>
        </w:rPr>
        <w:t xml:space="preserve"> </w:t>
      </w:r>
      <w:bookmarkStart w:id="1" w:name="_Hlk76481432"/>
      <w:r w:rsidR="005E560D" w:rsidRPr="009E4A37">
        <w:rPr>
          <w:rFonts w:ascii="Arial" w:hAnsi="Arial" w:cs="Arial"/>
          <w:sz w:val="28"/>
          <w:szCs w:val="28"/>
        </w:rPr>
        <w:t>- wskaźnik waloryzacji stawki za jeden wozokilometr</w:t>
      </w:r>
      <w:bookmarkEnd w:id="1"/>
      <w:r w:rsidR="00A87845" w:rsidRPr="009E4A37">
        <w:rPr>
          <w:rFonts w:ascii="Arial" w:hAnsi="Arial" w:cs="Arial"/>
          <w:sz w:val="28"/>
          <w:szCs w:val="28"/>
        </w:rPr>
        <w:t>;</w:t>
      </w:r>
    </w:p>
    <w:p w14:paraId="15E53CDC" w14:textId="1049B756" w:rsidR="008E6CA8" w:rsidRPr="009E4A37" w:rsidRDefault="0014355E" w:rsidP="008E6CA8">
      <w:pPr>
        <w:numPr>
          <w:ilvl w:val="0"/>
          <w:numId w:val="31"/>
        </w:numPr>
        <w:tabs>
          <w:tab w:val="clear" w:pos="786"/>
        </w:tabs>
        <w:spacing w:line="360" w:lineRule="auto"/>
        <w:ind w:left="567" w:hanging="283"/>
        <w:rPr>
          <w:rFonts w:ascii="Arial" w:hAnsi="Arial" w:cs="Arial"/>
          <w:sz w:val="28"/>
          <w:szCs w:val="28"/>
        </w:rPr>
      </w:pPr>
      <w:proofErr w:type="spellStart"/>
      <w:r w:rsidRPr="009E4A37">
        <w:rPr>
          <w:rFonts w:ascii="Arial" w:hAnsi="Arial" w:cs="Arial"/>
          <w:sz w:val="28"/>
          <w:szCs w:val="28"/>
        </w:rPr>
        <w:t>w</w:t>
      </w:r>
      <w:r w:rsidRPr="009E4A37">
        <w:rPr>
          <w:rFonts w:ascii="Arial" w:hAnsi="Arial" w:cs="Arial"/>
          <w:sz w:val="28"/>
          <w:szCs w:val="28"/>
          <w:vertAlign w:val="subscript"/>
        </w:rPr>
        <w:t>w</w:t>
      </w:r>
      <w:proofErr w:type="spellEnd"/>
      <w:r w:rsidRPr="009E4A37">
        <w:rPr>
          <w:rFonts w:ascii="Arial" w:hAnsi="Arial" w:cs="Arial"/>
          <w:sz w:val="28"/>
          <w:szCs w:val="28"/>
        </w:rPr>
        <w:t xml:space="preserve"> </w:t>
      </w:r>
      <w:r w:rsidR="005E4B8C" w:rsidRPr="009E4A37">
        <w:rPr>
          <w:rFonts w:ascii="Arial" w:hAnsi="Arial" w:cs="Arial"/>
          <w:sz w:val="28"/>
          <w:szCs w:val="28"/>
        </w:rPr>
        <w:t>–</w:t>
      </w:r>
      <w:r w:rsidRPr="009E4A37">
        <w:rPr>
          <w:rFonts w:ascii="Arial" w:hAnsi="Arial" w:cs="Arial"/>
          <w:sz w:val="28"/>
          <w:szCs w:val="28"/>
        </w:rPr>
        <w:t xml:space="preserve"> </w:t>
      </w:r>
      <w:r w:rsidR="005E4B8C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półroczny (za okres 6-miesięcy)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wskaźnik zmiany przeciętnego miesięcznego wynagrodzenia brutto,</w:t>
      </w:r>
      <w:r w:rsidRPr="009E4A37">
        <w:rPr>
          <w:rFonts w:ascii="Arial" w:hAnsi="Arial" w:cs="Arial"/>
          <w:sz w:val="28"/>
          <w:szCs w:val="28"/>
        </w:rPr>
        <w:t xml:space="preserve">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jako stosunek miesięcznego</w:t>
      </w:r>
      <w:r w:rsidRPr="009E4A37">
        <w:rPr>
          <w:rFonts w:ascii="Arial" w:hAnsi="Arial" w:cs="Arial"/>
          <w:sz w:val="28"/>
          <w:szCs w:val="28"/>
        </w:rPr>
        <w:t xml:space="preserve"> </w:t>
      </w:r>
      <w:r w:rsidR="00A61894" w:rsidRPr="009E4A37">
        <w:rPr>
          <w:rFonts w:ascii="Arial" w:hAnsi="Arial" w:cs="Arial"/>
          <w:sz w:val="28"/>
          <w:szCs w:val="28"/>
        </w:rPr>
        <w:t xml:space="preserve">(miesiąc kalendarzowy) 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wynagrodzenia brutto w sektorze przedsiębiorstw </w:t>
      </w:r>
      <w:r w:rsidR="008E6CA8" w:rsidRPr="009E4A37">
        <w:rPr>
          <w:rFonts w:ascii="Arial" w:eastAsiaTheme="minorHAnsi" w:hAnsi="Arial" w:cs="Arial"/>
          <w:sz w:val="28"/>
          <w:szCs w:val="28"/>
          <w:lang w:eastAsia="en-US"/>
        </w:rPr>
        <w:t xml:space="preserve">za </w:t>
      </w:r>
      <w:r w:rsidR="00891A85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okres 6 miesięcy</w:t>
      </w:r>
      <w:r w:rsidR="0001346F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poprzedzający waloryzację</w:t>
      </w:r>
      <w:r w:rsidR="00891A85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do przeciętnego miesięcznego</w:t>
      </w:r>
      <w:r w:rsidR="003C727C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(miesiąc kalendarzowy)</w:t>
      </w:r>
      <w:r w:rsidRPr="009E4A37">
        <w:rPr>
          <w:rFonts w:ascii="Arial" w:hAnsi="Arial" w:cs="Arial"/>
          <w:sz w:val="28"/>
          <w:szCs w:val="28"/>
        </w:rPr>
        <w:t xml:space="preserve">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wynagrodzenia brutto w sektorze przedsiębiorstw</w:t>
      </w:r>
      <w:bookmarkStart w:id="2" w:name="_Hlk76203497"/>
      <w:r w:rsidR="00083436" w:rsidRPr="009E4A37">
        <w:rPr>
          <w:rFonts w:ascii="Arial" w:eastAsiaTheme="minorHAnsi" w:hAnsi="Arial" w:cs="Arial"/>
          <w:sz w:val="28"/>
          <w:szCs w:val="28"/>
          <w:lang w:eastAsia="en-US"/>
        </w:rPr>
        <w:t xml:space="preserve">, </w:t>
      </w:r>
      <w:r w:rsidR="00EA2CB7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za okres 6 miesięcy poprzedzający </w:t>
      </w:r>
      <w:r w:rsidR="00A6189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okres opisany powyżej (stosunek zmiany dwóch kolejnych </w:t>
      </w:r>
      <w:r w:rsidR="00995156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następujących</w:t>
      </w:r>
      <w:r w:rsidR="00A6189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po sobie 6 </w:t>
      </w:r>
      <w:r w:rsidR="00995156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miesięcznych</w:t>
      </w:r>
      <w:r w:rsidR="00A6189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okresów)   publikowanych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przez</w:t>
      </w:r>
      <w:r w:rsidRPr="009E4A37">
        <w:rPr>
          <w:rFonts w:ascii="Arial" w:hAnsi="Arial" w:cs="Arial"/>
          <w:sz w:val="28"/>
          <w:szCs w:val="28"/>
        </w:rPr>
        <w:t xml:space="preserve">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Główny Urząd Statystyczny (GUS)</w:t>
      </w:r>
      <w:r w:rsidR="008E6CA8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="008E6CA8" w:rsidRPr="009E4A37">
        <w:rPr>
          <w:rFonts w:ascii="Arial" w:hAnsi="Arial" w:cs="Arial"/>
          <w:color w:val="000000"/>
          <w:sz w:val="28"/>
          <w:szCs w:val="28"/>
        </w:rPr>
        <w:t xml:space="preserve">na stronie internetowej: https://stat.gov.pl/wskazniki-makroekonomiczne/;  </w:t>
      </w:r>
    </w:p>
    <w:bookmarkEnd w:id="2"/>
    <w:p w14:paraId="165C72FB" w14:textId="5642D658" w:rsidR="00944B2D" w:rsidRPr="009E4A37" w:rsidRDefault="00944B2D" w:rsidP="002E60DE">
      <w:pPr>
        <w:numPr>
          <w:ilvl w:val="0"/>
          <w:numId w:val="31"/>
        </w:numPr>
        <w:tabs>
          <w:tab w:val="clear" w:pos="786"/>
          <w:tab w:val="left" w:pos="567"/>
        </w:tabs>
        <w:spacing w:line="360" w:lineRule="auto"/>
        <w:ind w:left="567" w:hanging="283"/>
        <w:rPr>
          <w:rFonts w:ascii="Arial" w:hAnsi="Arial" w:cs="Arial"/>
          <w:sz w:val="28"/>
          <w:szCs w:val="28"/>
        </w:rPr>
      </w:pPr>
      <w:proofErr w:type="spellStart"/>
      <w:r w:rsidRPr="009E4A37">
        <w:rPr>
          <w:rFonts w:ascii="Arial" w:hAnsi="Arial" w:cs="Arial"/>
          <w:sz w:val="28"/>
          <w:szCs w:val="28"/>
        </w:rPr>
        <w:t>w</w:t>
      </w:r>
      <w:r w:rsidRPr="009E4A37">
        <w:rPr>
          <w:rFonts w:ascii="Arial" w:hAnsi="Arial" w:cs="Arial"/>
          <w:sz w:val="28"/>
          <w:szCs w:val="28"/>
          <w:vertAlign w:val="subscript"/>
        </w:rPr>
        <w:t>n</w:t>
      </w:r>
      <w:proofErr w:type="spellEnd"/>
      <w:r w:rsidRPr="009E4A37">
        <w:rPr>
          <w:rFonts w:ascii="Arial" w:hAnsi="Arial" w:cs="Arial"/>
          <w:sz w:val="28"/>
          <w:szCs w:val="28"/>
          <w:vertAlign w:val="subscript"/>
        </w:rPr>
        <w:t xml:space="preserve"> </w:t>
      </w:r>
      <w:r w:rsidRPr="009E4A37">
        <w:rPr>
          <w:rFonts w:ascii="Arial" w:hAnsi="Arial" w:cs="Arial"/>
          <w:sz w:val="28"/>
          <w:szCs w:val="28"/>
        </w:rPr>
        <w:t xml:space="preserve"> = 0,7 </w:t>
      </w:r>
      <w:proofErr w:type="spellStart"/>
      <w:r w:rsidRPr="009E4A37">
        <w:rPr>
          <w:rFonts w:ascii="Arial" w:hAnsi="Arial" w:cs="Arial"/>
          <w:sz w:val="28"/>
          <w:szCs w:val="28"/>
        </w:rPr>
        <w:t>w</w:t>
      </w:r>
      <w:r w:rsidRPr="009E4A37">
        <w:rPr>
          <w:rFonts w:ascii="Arial" w:hAnsi="Arial" w:cs="Arial"/>
          <w:sz w:val="28"/>
          <w:szCs w:val="28"/>
          <w:vertAlign w:val="subscript"/>
        </w:rPr>
        <w:t>p</w:t>
      </w:r>
      <w:proofErr w:type="spellEnd"/>
      <w:r w:rsidRPr="009E4A37">
        <w:rPr>
          <w:rFonts w:ascii="Arial" w:hAnsi="Arial" w:cs="Arial"/>
          <w:sz w:val="28"/>
          <w:szCs w:val="28"/>
        </w:rPr>
        <w:t xml:space="preserve"> + 0</w:t>
      </w:r>
      <w:r w:rsidR="006F4C9F" w:rsidRPr="009E4A37">
        <w:rPr>
          <w:rFonts w:ascii="Arial" w:hAnsi="Arial" w:cs="Arial"/>
          <w:sz w:val="28"/>
          <w:szCs w:val="28"/>
        </w:rPr>
        <w:t>,</w:t>
      </w:r>
      <w:r w:rsidR="0078525D" w:rsidRPr="009E4A37">
        <w:rPr>
          <w:rFonts w:ascii="Arial" w:hAnsi="Arial" w:cs="Arial"/>
          <w:sz w:val="28"/>
          <w:szCs w:val="28"/>
        </w:rPr>
        <w:t>3</w:t>
      </w:r>
      <w:r w:rsidRPr="009E4A37">
        <w:rPr>
          <w:rFonts w:ascii="Arial" w:hAnsi="Arial" w:cs="Arial"/>
          <w:sz w:val="28"/>
          <w:szCs w:val="28"/>
        </w:rPr>
        <w:t xml:space="preserve"> w</w:t>
      </w:r>
      <w:r w:rsidRPr="009E4A37">
        <w:rPr>
          <w:rFonts w:ascii="Arial" w:hAnsi="Arial" w:cs="Arial"/>
          <w:sz w:val="28"/>
          <w:szCs w:val="28"/>
          <w:vertAlign w:val="subscript"/>
        </w:rPr>
        <w:t>e</w:t>
      </w:r>
      <w:r w:rsidR="006F4C9F" w:rsidRPr="009E4A37">
        <w:rPr>
          <w:rFonts w:ascii="Arial" w:hAnsi="Arial" w:cs="Arial"/>
          <w:sz w:val="28"/>
          <w:szCs w:val="28"/>
          <w:vertAlign w:val="subscript"/>
        </w:rPr>
        <w:t xml:space="preserve"> </w:t>
      </w:r>
      <w:r w:rsidR="006F4C9F" w:rsidRPr="009E4A37">
        <w:rPr>
          <w:rFonts w:ascii="Arial" w:hAnsi="Arial" w:cs="Arial"/>
          <w:sz w:val="28"/>
          <w:szCs w:val="28"/>
        </w:rPr>
        <w:t xml:space="preserve">(przy założeniu, że procent taboru zasilanego olejem napędowym wynosi 70%, energią elektryczną </w:t>
      </w:r>
      <w:r w:rsidR="0078525D" w:rsidRPr="009E4A37">
        <w:rPr>
          <w:rFonts w:ascii="Arial" w:hAnsi="Arial" w:cs="Arial"/>
          <w:sz w:val="28"/>
          <w:szCs w:val="28"/>
        </w:rPr>
        <w:t>30</w:t>
      </w:r>
      <w:r w:rsidR="006F4C9F" w:rsidRPr="009E4A37">
        <w:rPr>
          <w:rFonts w:ascii="Arial" w:hAnsi="Arial" w:cs="Arial"/>
          <w:sz w:val="28"/>
          <w:szCs w:val="28"/>
        </w:rPr>
        <w:t xml:space="preserve">%, wskaźniki te zostaną dostosowane do liczby </w:t>
      </w:r>
      <w:r w:rsidR="002319E2" w:rsidRPr="009E4A37">
        <w:rPr>
          <w:rFonts w:ascii="Arial" w:hAnsi="Arial" w:cs="Arial"/>
          <w:sz w:val="28"/>
          <w:szCs w:val="28"/>
        </w:rPr>
        <w:t>autobusów</w:t>
      </w:r>
      <w:r w:rsidR="006F4C9F" w:rsidRPr="009E4A37">
        <w:rPr>
          <w:rFonts w:ascii="Arial" w:hAnsi="Arial" w:cs="Arial"/>
          <w:sz w:val="28"/>
          <w:szCs w:val="28"/>
        </w:rPr>
        <w:t xml:space="preserve"> podstawowych danego napędu w ofercie </w:t>
      </w:r>
      <w:r w:rsidR="00FB3E7D">
        <w:rPr>
          <w:rFonts w:ascii="Arial" w:hAnsi="Arial" w:cs="Arial"/>
          <w:sz w:val="28"/>
          <w:szCs w:val="28"/>
        </w:rPr>
        <w:t>Operatora</w:t>
      </w:r>
      <w:r w:rsidR="006F4C9F" w:rsidRPr="009E4A37">
        <w:rPr>
          <w:rFonts w:ascii="Arial" w:hAnsi="Arial" w:cs="Arial"/>
          <w:sz w:val="28"/>
          <w:szCs w:val="28"/>
        </w:rPr>
        <w:t>);</w:t>
      </w:r>
    </w:p>
    <w:p w14:paraId="73B3BD5B" w14:textId="77777777" w:rsidR="00872EE3" w:rsidRPr="009E4A37" w:rsidRDefault="0014355E" w:rsidP="00A83ED6">
      <w:pPr>
        <w:numPr>
          <w:ilvl w:val="0"/>
          <w:numId w:val="31"/>
        </w:numPr>
        <w:tabs>
          <w:tab w:val="clear" w:pos="786"/>
        </w:tabs>
        <w:spacing w:line="360" w:lineRule="auto"/>
        <w:ind w:left="851" w:hanging="284"/>
        <w:rPr>
          <w:rFonts w:ascii="Arial" w:eastAsiaTheme="minorHAnsi" w:hAnsi="Arial" w:cs="Arial"/>
          <w:color w:val="000000"/>
          <w:sz w:val="28"/>
          <w:szCs w:val="28"/>
          <w:lang w:eastAsia="en-US"/>
        </w:rPr>
      </w:pPr>
      <w:proofErr w:type="spellStart"/>
      <w:r w:rsidRPr="009E4A37">
        <w:rPr>
          <w:rFonts w:ascii="Arial" w:hAnsi="Arial" w:cs="Arial"/>
          <w:sz w:val="28"/>
          <w:szCs w:val="28"/>
        </w:rPr>
        <w:t>w</w:t>
      </w:r>
      <w:r w:rsidRPr="009E4A37">
        <w:rPr>
          <w:rFonts w:ascii="Arial" w:hAnsi="Arial" w:cs="Arial"/>
          <w:sz w:val="28"/>
          <w:szCs w:val="28"/>
          <w:vertAlign w:val="subscript"/>
        </w:rPr>
        <w:t>p</w:t>
      </w:r>
      <w:proofErr w:type="spellEnd"/>
      <w:r w:rsidRPr="009E4A37">
        <w:rPr>
          <w:rFonts w:ascii="Arial" w:hAnsi="Arial" w:cs="Arial"/>
          <w:sz w:val="28"/>
          <w:szCs w:val="28"/>
        </w:rPr>
        <w:t xml:space="preserve"> </w:t>
      </w:r>
      <w:r w:rsidR="00990EA8" w:rsidRPr="009E4A37">
        <w:rPr>
          <w:rFonts w:ascii="Arial" w:hAnsi="Arial" w:cs="Arial"/>
          <w:sz w:val="28"/>
          <w:szCs w:val="28"/>
        </w:rPr>
        <w:t>–</w:t>
      </w:r>
      <w:r w:rsidRPr="009E4A37">
        <w:rPr>
          <w:rFonts w:ascii="Arial" w:hAnsi="Arial" w:cs="Arial"/>
          <w:sz w:val="28"/>
          <w:szCs w:val="28"/>
        </w:rPr>
        <w:t xml:space="preserve"> </w:t>
      </w:r>
      <w:r w:rsidR="00990EA8" w:rsidRPr="009E4A37">
        <w:rPr>
          <w:rFonts w:ascii="Arial" w:hAnsi="Arial" w:cs="Arial"/>
          <w:sz w:val="28"/>
          <w:szCs w:val="28"/>
        </w:rPr>
        <w:t xml:space="preserve">półroczny (za okres 6 miesięcy)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wskaźnik zmian</w:t>
      </w:r>
      <w:r w:rsidR="00990EA8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y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cen</w:t>
      </w:r>
      <w:r w:rsidR="00990EA8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y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paliw</w:t>
      </w:r>
      <w:r w:rsidR="00990EA8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a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w </w:t>
      </w:r>
      <w:r w:rsidR="00BB70FC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województwie dolnośląskim </w:t>
      </w:r>
      <w:r w:rsidR="00990EA8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="003C727C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(</w:t>
      </w:r>
      <w:r w:rsidR="001340D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w postaci raportu Polskiej</w:t>
      </w:r>
      <w:r w:rsidR="00543BB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Izby Paliw Płynnych</w:t>
      </w:r>
      <w:r w:rsidR="00BB70FC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lub innej uznanej k</w:t>
      </w:r>
      <w:r w:rsidR="00872EE3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r</w:t>
      </w:r>
      <w:r w:rsidR="00BB70FC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a</w:t>
      </w:r>
      <w:r w:rsidR="00872EE3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jowej instytucji</w:t>
      </w:r>
      <w:r w:rsidR="00BB70FC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monitorującej rynek paliw zaakceptowanej przez Zamawiającego)</w:t>
      </w:r>
      <w:r w:rsidR="00543BB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jako stosunek </w:t>
      </w:r>
      <w:r w:rsidR="006F2D5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średniej arytmetycznej dziennych cen hurtowych za 1000 litrów oleju </w:t>
      </w:r>
      <w:r w:rsidR="006F2D5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lastRenderedPageBreak/>
        <w:t xml:space="preserve">napędowego </w:t>
      </w:r>
      <w:proofErr w:type="spellStart"/>
      <w:r w:rsidR="006F2D5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Ekodiesel</w:t>
      </w:r>
      <w:proofErr w:type="spellEnd"/>
      <w:r w:rsidR="006F2D5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za okres 6 miesięcy </w:t>
      </w:r>
      <w:r w:rsidR="00995156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(kalendarzowych) </w:t>
      </w:r>
      <w:r w:rsidR="0001346F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poprzedzający waloryzację </w:t>
      </w:r>
      <w:r w:rsidR="006F2D5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do średniej arytmetycznej dziennych cen hurtowych za 1000 litrów oleju napędowego </w:t>
      </w:r>
      <w:proofErr w:type="spellStart"/>
      <w:r w:rsidR="006F2D5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Ekodiesel</w:t>
      </w:r>
      <w:proofErr w:type="spellEnd"/>
      <w:r w:rsidR="006F2D5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za okres 6 miesięcy </w:t>
      </w:r>
      <w:r w:rsidR="00995156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(kalendarzowych) </w:t>
      </w:r>
      <w:r w:rsidR="006F2D5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poprzedzający </w:t>
      </w:r>
      <w:r w:rsidR="00995156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okres opisany powyżej </w:t>
      </w:r>
      <w:r w:rsidR="003C727C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(</w:t>
      </w:r>
      <w:r w:rsidR="00995156" w:rsidRPr="009E4A37">
        <w:rPr>
          <w:rFonts w:ascii="Arial" w:eastAsiaTheme="minorHAnsi" w:hAnsi="Arial" w:cs="Arial"/>
          <w:sz w:val="28"/>
          <w:szCs w:val="28"/>
          <w:lang w:eastAsia="en-US"/>
        </w:rPr>
        <w:t xml:space="preserve">stosunek </w:t>
      </w:r>
      <w:r w:rsidR="006F2D5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zmiany dwóch kolejnych następujących po sobie 6-miesięcznych okresów</w:t>
      </w:r>
      <w:r w:rsidR="00995156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)</w:t>
      </w:r>
    </w:p>
    <w:p w14:paraId="51743269" w14:textId="77777777" w:rsidR="008F38F0" w:rsidRPr="009E4A37" w:rsidRDefault="00944B2D" w:rsidP="003E448B">
      <w:pPr>
        <w:numPr>
          <w:ilvl w:val="0"/>
          <w:numId w:val="31"/>
        </w:numPr>
        <w:tabs>
          <w:tab w:val="clear" w:pos="786"/>
        </w:tabs>
        <w:spacing w:line="360" w:lineRule="auto"/>
        <w:ind w:left="851" w:hanging="284"/>
        <w:rPr>
          <w:rFonts w:ascii="Arial" w:eastAsiaTheme="minorHAnsi" w:hAnsi="Arial" w:cs="Arial"/>
          <w:color w:val="000000"/>
          <w:sz w:val="28"/>
          <w:szCs w:val="28"/>
          <w:lang w:eastAsia="en-US"/>
        </w:rPr>
      </w:pPr>
      <w:r w:rsidRPr="009E4A37">
        <w:rPr>
          <w:rFonts w:ascii="Arial" w:hAnsi="Arial" w:cs="Arial"/>
          <w:sz w:val="28"/>
          <w:szCs w:val="28"/>
        </w:rPr>
        <w:t>w</w:t>
      </w:r>
      <w:r w:rsidRPr="009E4A37">
        <w:rPr>
          <w:rFonts w:ascii="Arial" w:hAnsi="Arial" w:cs="Arial"/>
          <w:sz w:val="28"/>
          <w:szCs w:val="28"/>
          <w:vertAlign w:val="subscript"/>
        </w:rPr>
        <w:t>e</w:t>
      </w:r>
      <w:r w:rsidRPr="009E4A37">
        <w:rPr>
          <w:rFonts w:ascii="Arial" w:hAnsi="Arial" w:cs="Arial"/>
          <w:sz w:val="28"/>
          <w:szCs w:val="28"/>
        </w:rPr>
        <w:t xml:space="preserve"> – półroczny (za okres 6 miesięcy)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wskaźnik </w:t>
      </w:r>
      <w:r w:rsidR="007D5312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będący średnią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="004E2645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arytmetyczną miesięcznego</w:t>
      </w:r>
      <w:r w:rsidR="00995156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="00995156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(miesiąc kalendarzowy)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wskaźnika </w:t>
      </w:r>
      <w:r w:rsidR="004E2645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zmiany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ceny obliczony na podstawie danych statystycznych publikowanych przez Towarową Giełdę Energii </w:t>
      </w:r>
      <w:r w:rsidR="004E2645" w:rsidRPr="009E4A37">
        <w:rPr>
          <w:rFonts w:ascii="Arial" w:hAnsi="Arial" w:cs="Arial"/>
          <w:i/>
          <w:color w:val="000000"/>
          <w:sz w:val="28"/>
          <w:szCs w:val="28"/>
        </w:rPr>
        <w:t>(</w:t>
      </w:r>
      <w:proofErr w:type="spellStart"/>
      <w:r w:rsidR="004E2645" w:rsidRPr="009E4A37">
        <w:rPr>
          <w:rFonts w:ascii="Arial" w:hAnsi="Arial" w:cs="Arial"/>
          <w:sz w:val="28"/>
          <w:szCs w:val="28"/>
        </w:rPr>
        <w:t>TGeBASE_Wavg</w:t>
      </w:r>
      <w:proofErr w:type="spellEnd"/>
      <w:r w:rsidR="004E2645" w:rsidRPr="009E4A37">
        <w:rPr>
          <w:rFonts w:ascii="Arial" w:hAnsi="Arial" w:cs="Arial"/>
          <w:sz w:val="28"/>
          <w:szCs w:val="28"/>
        </w:rPr>
        <w:t xml:space="preserve">) na stronie internetowej: </w:t>
      </w:r>
      <w:hyperlink r:id="rId8" w:history="1">
        <w:r w:rsidR="004E2645" w:rsidRPr="009E4A37">
          <w:rPr>
            <w:rStyle w:val="Hipercze"/>
            <w:rFonts w:ascii="Arial" w:hAnsi="Arial" w:cs="Arial"/>
            <w:color w:val="auto"/>
            <w:sz w:val="28"/>
            <w:szCs w:val="28"/>
          </w:rPr>
          <w:t>https://tge.pl/dane-statystyczne</w:t>
        </w:r>
      </w:hyperlink>
      <w:r w:rsidR="004E2645" w:rsidRPr="009E4A37">
        <w:rPr>
          <w:rFonts w:ascii="Arial" w:hAnsi="Arial" w:cs="Arial"/>
          <w:sz w:val="28"/>
          <w:szCs w:val="28"/>
        </w:rPr>
        <w:t xml:space="preserve"> , </w:t>
      </w:r>
      <w:r w:rsidRPr="009E4A37">
        <w:rPr>
          <w:rFonts w:ascii="Arial" w:eastAsiaTheme="minorHAnsi" w:hAnsi="Arial" w:cs="Arial"/>
          <w:sz w:val="28"/>
          <w:szCs w:val="28"/>
          <w:lang w:eastAsia="en-US"/>
        </w:rPr>
        <w:t>z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a okres 6 miesięcy poprzedzający waloryzację w stosunku </w:t>
      </w:r>
      <w:r w:rsidR="004E2645" w:rsidRPr="009E4A37">
        <w:rPr>
          <w:rFonts w:ascii="Arial" w:eastAsiaTheme="minorHAnsi" w:hAnsi="Arial" w:cs="Arial"/>
          <w:sz w:val="28"/>
          <w:szCs w:val="28"/>
          <w:lang w:eastAsia="en-US"/>
        </w:rPr>
        <w:t>średniej arytmetycznej wskaźnika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, o </w:t>
      </w:r>
      <w:r w:rsidR="004E2645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którym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mowa powyżej za okres 6 miesięc</w:t>
      </w:r>
      <w:r w:rsidR="00E075C6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y </w:t>
      </w:r>
      <w:r w:rsidR="00995156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(kalendarzowych) poprzedzający okres opisany powyżej  </w:t>
      </w:r>
      <w:r w:rsidR="008F38F0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(stosunek zmiany dwóch kolejnych następujących po sobie 6 miesięcznych okresów) ;</w:t>
      </w:r>
    </w:p>
    <w:p w14:paraId="71BEC4C7" w14:textId="115736AF" w:rsidR="00C53368" w:rsidRPr="009E4A37" w:rsidRDefault="00E32FD8" w:rsidP="00E32FD8">
      <w:pPr>
        <w:tabs>
          <w:tab w:val="left" w:pos="567"/>
        </w:tabs>
        <w:spacing w:line="360" w:lineRule="auto"/>
        <w:ind w:left="567" w:hanging="283"/>
        <w:rPr>
          <w:rFonts w:ascii="Arial" w:eastAsiaTheme="minorHAnsi" w:hAnsi="Arial" w:cs="Arial"/>
          <w:color w:val="000000"/>
          <w:sz w:val="28"/>
          <w:szCs w:val="28"/>
          <w:lang w:eastAsia="en-US"/>
        </w:rPr>
      </w:pPr>
      <w:r w:rsidRPr="009E4A37">
        <w:rPr>
          <w:rFonts w:ascii="Arial" w:hAnsi="Arial" w:cs="Arial"/>
          <w:sz w:val="28"/>
          <w:szCs w:val="28"/>
        </w:rPr>
        <w:t xml:space="preserve">-  </w:t>
      </w:r>
      <w:proofErr w:type="spellStart"/>
      <w:r w:rsidR="005E560D" w:rsidRPr="009E4A37">
        <w:rPr>
          <w:rFonts w:ascii="Arial" w:hAnsi="Arial" w:cs="Arial"/>
          <w:sz w:val="28"/>
          <w:szCs w:val="28"/>
        </w:rPr>
        <w:t>w</w:t>
      </w:r>
      <w:r w:rsidR="005E560D" w:rsidRPr="003E448B">
        <w:rPr>
          <w:rFonts w:ascii="Arial" w:hAnsi="Arial" w:cs="Arial"/>
          <w:sz w:val="28"/>
          <w:szCs w:val="28"/>
          <w:vertAlign w:val="subscript"/>
        </w:rPr>
        <w:t>i</w:t>
      </w:r>
      <w:proofErr w:type="spellEnd"/>
      <w:r w:rsidR="005E560D" w:rsidRPr="003E448B">
        <w:rPr>
          <w:rFonts w:ascii="Arial" w:hAnsi="Arial" w:cs="Arial"/>
          <w:b/>
          <w:sz w:val="28"/>
          <w:szCs w:val="28"/>
          <w:vertAlign w:val="subscript"/>
        </w:rPr>
        <w:t xml:space="preserve"> </w:t>
      </w:r>
      <w:r w:rsidR="005E560D" w:rsidRPr="003E448B">
        <w:rPr>
          <w:rFonts w:ascii="Arial" w:hAnsi="Arial" w:cs="Arial"/>
          <w:sz w:val="28"/>
          <w:szCs w:val="28"/>
        </w:rPr>
        <w:t>-</w:t>
      </w:r>
      <w:r w:rsidR="005E560D" w:rsidRPr="009E4A37">
        <w:rPr>
          <w:rFonts w:ascii="Arial" w:hAnsi="Arial" w:cs="Arial"/>
          <w:sz w:val="28"/>
          <w:szCs w:val="28"/>
        </w:rPr>
        <w:t xml:space="preserve"> </w:t>
      </w:r>
      <w:bookmarkStart w:id="3" w:name="_Hlk76541297"/>
      <w:r w:rsidR="00872EE3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półroczny (</w:t>
      </w:r>
      <w:r w:rsidR="00067A3F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skumulowany wskaźnik obliczony na podstawie kolejnych </w:t>
      </w:r>
      <w:r w:rsidR="00872EE3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6-miesięc</w:t>
      </w:r>
      <w:r w:rsidR="00067A3F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znych </w:t>
      </w:r>
      <w:r w:rsidR="00067A3F" w:rsidRPr="009E4A37">
        <w:rPr>
          <w:rFonts w:ascii="Arial" w:eastAsiaTheme="minorHAnsi" w:hAnsi="Arial" w:cs="Arial"/>
          <w:color w:val="FF0000"/>
          <w:sz w:val="28"/>
          <w:szCs w:val="28"/>
          <w:lang w:eastAsia="en-US"/>
        </w:rPr>
        <w:t xml:space="preserve">  </w:t>
      </w:r>
      <w:r w:rsidR="00067A3F" w:rsidRPr="009E4A37">
        <w:rPr>
          <w:rFonts w:ascii="Arial" w:eastAsiaTheme="minorHAnsi" w:hAnsi="Arial" w:cs="Arial"/>
          <w:sz w:val="28"/>
          <w:szCs w:val="28"/>
          <w:lang w:eastAsia="en-US"/>
        </w:rPr>
        <w:t>wskaźników</w:t>
      </w:r>
      <w:r w:rsidR="00872EE3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) wskaźnik zmiany cen towarów i usług konsumpcyjnych ogółem</w:t>
      </w:r>
      <w:r w:rsidR="00BB70FC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="003C5150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publikowany przez</w:t>
      </w:r>
      <w:r w:rsidR="003C5150" w:rsidRPr="009E4A37">
        <w:rPr>
          <w:rFonts w:ascii="Arial" w:hAnsi="Arial" w:cs="Arial"/>
          <w:sz w:val="28"/>
          <w:szCs w:val="28"/>
        </w:rPr>
        <w:t xml:space="preserve"> </w:t>
      </w:r>
      <w:r w:rsidR="003C5150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Główny Urząd Statystyczny (GUS) </w:t>
      </w:r>
      <w:r w:rsidR="003C5150" w:rsidRPr="009E4A37">
        <w:rPr>
          <w:rFonts w:ascii="Arial" w:hAnsi="Arial" w:cs="Arial"/>
          <w:color w:val="000000"/>
          <w:sz w:val="28"/>
          <w:szCs w:val="28"/>
        </w:rPr>
        <w:t xml:space="preserve">na stronie: internetowej: </w:t>
      </w:r>
      <w:hyperlink r:id="rId9" w:history="1">
        <w:r w:rsidR="003C5150" w:rsidRPr="009E4A37">
          <w:rPr>
            <w:rStyle w:val="Hipercze"/>
            <w:rFonts w:ascii="Arial" w:hAnsi="Arial" w:cs="Arial"/>
            <w:sz w:val="28"/>
            <w:szCs w:val="28"/>
          </w:rPr>
          <w:t>https://stat.gov.pl/wskazniki-makroekonomiczne</w:t>
        </w:r>
      </w:hyperlink>
      <w:r w:rsidR="003C5150">
        <w:rPr>
          <w:rStyle w:val="Hipercze"/>
          <w:rFonts w:ascii="Arial" w:hAnsi="Arial" w:cs="Arial"/>
          <w:sz w:val="28"/>
          <w:szCs w:val="28"/>
        </w:rPr>
        <w:t xml:space="preserve"> </w:t>
      </w:r>
      <w:r w:rsidR="00BB70FC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za  okres 6 miesięcy </w:t>
      </w:r>
      <w:r w:rsidR="008F38F0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(kalendarzowych) </w:t>
      </w:r>
      <w:r w:rsidR="0001346F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poprzedzający </w:t>
      </w:r>
      <w:r w:rsidR="008F38F0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okres opisany </w:t>
      </w:r>
      <w:bookmarkEnd w:id="3"/>
    </w:p>
    <w:p w14:paraId="3E8FEFF1" w14:textId="60686BC8" w:rsidR="00C53368" w:rsidRPr="009E4A37" w:rsidRDefault="005F3A2B" w:rsidP="002E60DE">
      <w:pPr>
        <w:tabs>
          <w:tab w:val="left" w:pos="0"/>
        </w:tabs>
        <w:spacing w:line="360" w:lineRule="auto"/>
        <w:rPr>
          <w:rFonts w:ascii="Arial" w:hAnsi="Arial" w:cs="Arial"/>
          <w:sz w:val="28"/>
          <w:szCs w:val="28"/>
        </w:rPr>
      </w:pPr>
      <w:r w:rsidRPr="009E4A37">
        <w:rPr>
          <w:rFonts w:ascii="Arial" w:hAnsi="Arial" w:cs="Arial"/>
          <w:sz w:val="28"/>
          <w:szCs w:val="28"/>
        </w:rPr>
        <w:t xml:space="preserve">Wszystkie wymienione powyżej wskaźniki zostaną wyliczone przez Zamawiającego w oparciu o dane dostarczone przez </w:t>
      </w:r>
      <w:r w:rsidR="00FB3E7D">
        <w:rPr>
          <w:rFonts w:ascii="Arial" w:hAnsi="Arial" w:cs="Arial"/>
          <w:sz w:val="28"/>
          <w:szCs w:val="28"/>
        </w:rPr>
        <w:t>Operatora</w:t>
      </w:r>
      <w:r w:rsidRPr="009E4A37">
        <w:rPr>
          <w:rFonts w:ascii="Arial" w:hAnsi="Arial" w:cs="Arial"/>
          <w:sz w:val="28"/>
          <w:szCs w:val="28"/>
        </w:rPr>
        <w:t>.</w:t>
      </w:r>
      <w:r w:rsidR="002B3E96" w:rsidRPr="009E4A37">
        <w:rPr>
          <w:rFonts w:ascii="Arial" w:hAnsi="Arial" w:cs="Arial"/>
          <w:sz w:val="28"/>
          <w:szCs w:val="28"/>
        </w:rPr>
        <w:t xml:space="preserve"> </w:t>
      </w:r>
    </w:p>
    <w:p w14:paraId="32F4CEE3" w14:textId="77777777" w:rsidR="00352C70" w:rsidRPr="009E4A37" w:rsidRDefault="0014355E" w:rsidP="002E60DE">
      <w:pPr>
        <w:numPr>
          <w:ilvl w:val="0"/>
          <w:numId w:val="34"/>
        </w:numPr>
        <w:tabs>
          <w:tab w:val="clear" w:pos="5040"/>
          <w:tab w:val="num" w:pos="4678"/>
        </w:tabs>
        <w:spacing w:line="360" w:lineRule="auto"/>
        <w:ind w:left="709" w:hanging="567"/>
        <w:rPr>
          <w:rFonts w:ascii="Arial" w:eastAsiaTheme="minorHAnsi" w:hAnsi="Arial" w:cs="Arial"/>
          <w:color w:val="000000"/>
          <w:sz w:val="28"/>
          <w:szCs w:val="28"/>
          <w:lang w:eastAsia="en-US"/>
        </w:rPr>
      </w:pP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Nowa stawka </w:t>
      </w:r>
      <w:r w:rsidR="00B328C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(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zwaloryzowana</w:t>
      </w:r>
      <w:r w:rsidR="00B328C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)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obliczana będzie zgodnie z następującą zasadą: stawka nowa (po waloryzacji) = stawka poprzednia (w ostatnim okresie przed waloryzacją) </w:t>
      </w:r>
      <w:r w:rsidR="005B016A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+</w:t>
      </w:r>
      <w:r w:rsidR="00F84E50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="005B016A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0,85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×</w:t>
      </w:r>
      <w:r w:rsidR="005B016A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stawka poprzednia (w ostatnim okresie przed waloryzacją) x</w:t>
      </w:r>
      <w:r w:rsidR="00F84E50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 wskaźnik waloryzacji </w:t>
      </w:r>
      <w:r w:rsidR="008E4622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W</w:t>
      </w:r>
      <w:r w:rsidR="0009265F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.</w:t>
      </w:r>
    </w:p>
    <w:p w14:paraId="74B1A83D" w14:textId="5EB521E6" w:rsidR="00352C70" w:rsidRPr="009E4A37" w:rsidRDefault="0014355E" w:rsidP="002E60DE">
      <w:pPr>
        <w:numPr>
          <w:ilvl w:val="0"/>
          <w:numId w:val="34"/>
        </w:numPr>
        <w:tabs>
          <w:tab w:val="clear" w:pos="5040"/>
          <w:tab w:val="num" w:pos="4678"/>
        </w:tabs>
        <w:spacing w:line="360" w:lineRule="auto"/>
        <w:ind w:left="709" w:hanging="567"/>
        <w:rPr>
          <w:rFonts w:ascii="Arial" w:eastAsiaTheme="minorHAnsi" w:hAnsi="Arial" w:cs="Arial"/>
          <w:color w:val="000000"/>
          <w:sz w:val="28"/>
          <w:szCs w:val="28"/>
          <w:lang w:eastAsia="en-US"/>
        </w:rPr>
      </w:pP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lastRenderedPageBreak/>
        <w:t xml:space="preserve">Cena jednego wozokilometra </w:t>
      </w:r>
      <w:r w:rsidR="00E32FD8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będzie waloryzowana ze skutkiem na </w:t>
      </w:r>
      <w:r w:rsidR="006F365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pierwszy okres rozliczeniowy </w:t>
      </w:r>
      <w:r w:rsidR="00FF3A48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następujący 30 dni</w:t>
      </w:r>
      <w:r w:rsidR="0011320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kalendarzowych</w:t>
      </w:r>
      <w:r w:rsidR="00FF3A48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po dostarczeniu prz</w:t>
      </w:r>
      <w:r w:rsidR="00717BD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ez </w:t>
      </w:r>
      <w:r w:rsidR="00FB3E7D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Operatora</w:t>
      </w:r>
      <w:r w:rsidR="00717BD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danych ujętych w pk</w:t>
      </w:r>
      <w:r w:rsidR="00FF3A48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t. 1.</w:t>
      </w:r>
      <w:bookmarkStart w:id="4" w:name="_Hlk76189292"/>
    </w:p>
    <w:p w14:paraId="5E901AD4" w14:textId="7CF2F76F" w:rsidR="00352C70" w:rsidRPr="009E4A37" w:rsidRDefault="005E560D" w:rsidP="002E60DE">
      <w:pPr>
        <w:numPr>
          <w:ilvl w:val="0"/>
          <w:numId w:val="34"/>
        </w:numPr>
        <w:tabs>
          <w:tab w:val="clear" w:pos="5040"/>
          <w:tab w:val="num" w:pos="4678"/>
        </w:tabs>
        <w:spacing w:line="360" w:lineRule="auto"/>
        <w:ind w:left="709" w:hanging="567"/>
        <w:rPr>
          <w:rFonts w:ascii="Arial" w:eastAsiaTheme="minorHAnsi" w:hAnsi="Arial" w:cs="Arial"/>
          <w:color w:val="000000"/>
          <w:sz w:val="28"/>
          <w:szCs w:val="28"/>
          <w:lang w:eastAsia="en-US"/>
        </w:rPr>
      </w:pP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W przypadku braku publikacji wskaźników</w:t>
      </w:r>
      <w:r w:rsidR="0035146A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,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="00DB3AE7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o których mowa</w:t>
      </w:r>
      <w:r w:rsidR="0035146A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w niniejszym załączniku</w:t>
      </w:r>
      <w:r w:rsidR="00DB3AE7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za wymagany okres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do momentu wystawienia faktur VAT</w:t>
      </w:r>
      <w:r w:rsidR="004E49D1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przez </w:t>
      </w:r>
      <w:r w:rsidR="00013861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Operatora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za Usługi świadczone w danym </w:t>
      </w:r>
      <w:r w:rsidR="00DB3AE7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okresie rozliczeniowym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, wynagrodzenie za ten okres zostanie obliczone na podstawie stawki obowiązującej </w:t>
      </w:r>
      <w:r w:rsidR="0035146A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w </w:t>
      </w:r>
      <w:r w:rsidR="00A471E7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poprzednim okresie rozliczeniowym.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Rozliczenie powstałej różnicy nastąpi na podstawie kolejnej faktury VAT, wystawionej przez </w:t>
      </w:r>
      <w:r w:rsidR="00013861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Operatora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po dniu publikacji </w:t>
      </w:r>
      <w:r w:rsidR="00A471E7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tych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wskaźników  obejmującej pozycję pod tytułem Zaległa waloryzacja, obliczaną zgodnie z następującą zasadą: zaległa waloryzacja = suma wozokilometrów (z faktur wystawionych w danym roku kalendarzowym przed dniem publikacji wskaźników) x [stawka nowa (p</w:t>
      </w:r>
      <w:bookmarkEnd w:id="4"/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o waloryzacji) – stawka poprzednia (w ostatnim okresie przed waloryzacją)].</w:t>
      </w:r>
    </w:p>
    <w:p w14:paraId="59621BCB" w14:textId="772660CC" w:rsidR="00352C70" w:rsidRPr="009E4A37" w:rsidRDefault="00E32FD8" w:rsidP="002E60DE">
      <w:pPr>
        <w:numPr>
          <w:ilvl w:val="0"/>
          <w:numId w:val="34"/>
        </w:numPr>
        <w:tabs>
          <w:tab w:val="clear" w:pos="5040"/>
          <w:tab w:val="num" w:pos="4678"/>
        </w:tabs>
        <w:spacing w:line="360" w:lineRule="auto"/>
        <w:ind w:left="709" w:hanging="567"/>
        <w:rPr>
          <w:rFonts w:ascii="Arial" w:eastAsiaTheme="minorHAnsi" w:hAnsi="Arial" w:cs="Arial"/>
          <w:color w:val="FF0000"/>
          <w:sz w:val="28"/>
          <w:szCs w:val="28"/>
          <w:lang w:eastAsia="en-US"/>
        </w:rPr>
      </w:pP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="00B468D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W przypadku niedostarczenia przez </w:t>
      </w:r>
      <w:r w:rsidR="00013861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Operatora</w:t>
      </w:r>
      <w:bookmarkStart w:id="5" w:name="_GoBack"/>
      <w:bookmarkEnd w:id="5"/>
      <w:r w:rsidR="00B468D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="0060745F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wymaganych </w:t>
      </w:r>
      <w:r w:rsidR="00B468D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danych w ciągu 30 dni </w:t>
      </w:r>
      <w:r w:rsidR="0011320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kalendarzowych </w:t>
      </w:r>
      <w:r w:rsidR="00B468D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od publikacj</w:t>
      </w:r>
      <w:r w:rsidR="00717BD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i wskaźników o których mowa w pk</w:t>
      </w:r>
      <w:r w:rsidR="00B468D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t. 1</w:t>
      </w:r>
      <w:r w:rsidR="00DA67A2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Zamawiający </w:t>
      </w:r>
      <w:r w:rsidR="002E7607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pomniejszy wynagrodzenie do czasu otrzymania ich otrzymania zgodnie z zapisami Załącznika n</w:t>
      </w:r>
      <w:r w:rsidR="00DB677E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ume</w:t>
      </w:r>
      <w:r w:rsidR="002E7607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r 8</w:t>
      </w:r>
      <w:r w:rsidR="00C53D27" w:rsidRPr="009E4A37">
        <w:rPr>
          <w:rFonts w:ascii="Arial" w:eastAsiaTheme="minorHAnsi" w:hAnsi="Arial" w:cs="Arial"/>
          <w:bCs/>
          <w:iCs/>
          <w:color w:val="FF0000"/>
          <w:sz w:val="28"/>
          <w:szCs w:val="28"/>
          <w:lang w:eastAsia="en-US"/>
        </w:rPr>
        <w:t>.</w:t>
      </w:r>
      <w:r w:rsidR="0009657D" w:rsidRPr="009E4A37">
        <w:rPr>
          <w:rFonts w:ascii="Arial" w:eastAsiaTheme="minorHAnsi" w:hAnsi="Arial" w:cs="Arial"/>
          <w:color w:val="FF0000"/>
          <w:sz w:val="28"/>
          <w:szCs w:val="28"/>
          <w:highlight w:val="yellow"/>
          <w:lang w:eastAsia="en-US"/>
        </w:rPr>
        <w:t xml:space="preserve"> </w:t>
      </w:r>
    </w:p>
    <w:p w14:paraId="23D1205A" w14:textId="77777777" w:rsidR="00352C70" w:rsidRPr="009E4A37" w:rsidRDefault="005E560D" w:rsidP="002E60DE">
      <w:pPr>
        <w:numPr>
          <w:ilvl w:val="0"/>
          <w:numId w:val="34"/>
        </w:numPr>
        <w:tabs>
          <w:tab w:val="clear" w:pos="5040"/>
          <w:tab w:val="num" w:pos="4678"/>
        </w:tabs>
        <w:spacing w:line="360" w:lineRule="auto"/>
        <w:ind w:left="709" w:hanging="567"/>
        <w:rPr>
          <w:rFonts w:ascii="Arial" w:eastAsiaTheme="minorHAnsi" w:hAnsi="Arial" w:cs="Arial"/>
          <w:color w:val="000000"/>
          <w:sz w:val="28"/>
          <w:szCs w:val="28"/>
          <w:lang w:eastAsia="en-US"/>
        </w:rPr>
      </w:pP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W zależności od ustalonego w danym roku wskaźnika waloryzacji </w:t>
      </w:r>
      <w:r w:rsidR="008E4622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W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, </w:t>
      </w:r>
      <w:bookmarkStart w:id="6" w:name="_Hlk76479394"/>
      <w:r w:rsidR="00717BD4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określonego pk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t. 1,</w:t>
      </w:r>
      <w:bookmarkEnd w:id="6"/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waloryzacja stawki może powodować zarówno wzrost, jak i zmniejszenie stawki jednostkowej. Waloryzowana stawka obliczana będzie</w:t>
      </w:r>
      <w:r w:rsidR="00352C70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z dokładnością do dwóch</w:t>
      </w:r>
      <w:r w:rsidR="00000BE2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miejsc</w:t>
      </w:r>
      <w:r w:rsidR="00000BE2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po</w:t>
      </w:r>
      <w:r w:rsidR="00000BE2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przecinku.</w:t>
      </w:r>
    </w:p>
    <w:p w14:paraId="28D2DBDD" w14:textId="77777777" w:rsidR="000651E7" w:rsidRPr="009E4A37" w:rsidRDefault="005E560D" w:rsidP="002E60DE">
      <w:pPr>
        <w:numPr>
          <w:ilvl w:val="0"/>
          <w:numId w:val="34"/>
        </w:numPr>
        <w:tabs>
          <w:tab w:val="clear" w:pos="5040"/>
          <w:tab w:val="num" w:pos="4678"/>
        </w:tabs>
        <w:spacing w:line="360" w:lineRule="auto"/>
        <w:ind w:left="709" w:hanging="567"/>
        <w:rPr>
          <w:rFonts w:ascii="Arial" w:eastAsiaTheme="minorHAnsi" w:hAnsi="Arial" w:cs="Arial"/>
          <w:color w:val="000000"/>
          <w:sz w:val="28"/>
          <w:szCs w:val="28"/>
          <w:lang w:eastAsia="en-US"/>
        </w:rPr>
      </w:pP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Maksymalny wskaźnik waloryzacji stawki za jeden wozokilometr</w:t>
      </w:r>
      <w:r w:rsidR="00B2053B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w danym roku</w:t>
      </w:r>
      <w:r w:rsidR="000363C3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(licząc 2 okresy waloryzacyjne łącznie w jednym roku)</w:t>
      </w:r>
      <w:r w:rsidR="00B2053B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 w:rsidR="00405D6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zawiera się w przedziale &lt;-1</w:t>
      </w:r>
      <w:r w:rsidR="00B22DF6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2,5</w:t>
      </w:r>
      <w:r w:rsidR="00405D6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%;+1</w:t>
      </w:r>
      <w:r w:rsidR="00B22DF6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2,5</w:t>
      </w:r>
      <w:r w:rsidR="00405D6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%&gt;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. W przypadku, gdy wartość wskaźnika waloryzacji stawki za jeden wozokilometr, obliczona według wzoru określonego w </w:t>
      </w:r>
      <w:r w:rsidR="00405D6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pk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t. 1, przekracza </w:t>
      </w:r>
      <w:r w:rsidR="00405D6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1</w:t>
      </w:r>
      <w:r w:rsidR="00B22DF6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2,5</w:t>
      </w:r>
      <w:r w:rsidR="00405D6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%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, w danym roku przyjmuje się wartoś</w:t>
      </w:r>
      <w:r w:rsidR="00B2053B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ć wskaźnika waloryzacji równą 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1</w:t>
      </w:r>
      <w:r w:rsidR="00B22DF6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2,5</w:t>
      </w:r>
      <w:r w:rsidR="00B2053B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%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. W przypadku, gdy wartość wskaźnika waloryzacji stawki za 1 wozokilometr obliczona wg. </w:t>
      </w:r>
      <w:r w:rsidR="00691620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lastRenderedPageBreak/>
        <w:t>w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zoru określonego w </w:t>
      </w:r>
      <w:r w:rsidR="00405D6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pk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t. 1 jest mniejsza niż </w:t>
      </w:r>
      <w:r w:rsidR="00405D6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-</w:t>
      </w:r>
      <w:r w:rsidR="00AA0FA5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1</w:t>
      </w:r>
      <w:r w:rsidR="00B22DF6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2,5</w:t>
      </w:r>
      <w:r w:rsidR="00B2053B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%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, w danym roku przyjmuje się wartość wskaźnika waloryzacji równą </w:t>
      </w:r>
      <w:r w:rsidR="00405D69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-</w:t>
      </w:r>
      <w:r w:rsidR="00000BE2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1</w:t>
      </w:r>
      <w:r w:rsidR="00B22DF6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2,5</w:t>
      </w:r>
      <w:r w:rsidR="00B2053B"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%</w:t>
      </w:r>
      <w:r w:rsidRPr="009E4A37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.</w:t>
      </w:r>
    </w:p>
    <w:sectPr w:rsidR="000651E7" w:rsidRPr="009E4A37" w:rsidSect="00E22410">
      <w:footerReference w:type="default" r:id="rId10"/>
      <w:pgSz w:w="11906" w:h="16838"/>
      <w:pgMar w:top="709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FC338" w14:textId="77777777" w:rsidR="0092163D" w:rsidRDefault="0092163D" w:rsidP="000D0990">
      <w:r>
        <w:separator/>
      </w:r>
    </w:p>
  </w:endnote>
  <w:endnote w:type="continuationSeparator" w:id="0">
    <w:p w14:paraId="0F4C9EEA" w14:textId="77777777" w:rsidR="0092163D" w:rsidRDefault="0092163D" w:rsidP="000D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157622"/>
      <w:docPartObj>
        <w:docPartGallery w:val="Page Numbers (Bottom of Page)"/>
        <w:docPartUnique/>
      </w:docPartObj>
    </w:sdtPr>
    <w:sdtEndPr/>
    <w:sdtContent>
      <w:p w14:paraId="081D8BB2" w14:textId="77777777" w:rsidR="000F2B2B" w:rsidRDefault="00A15681">
        <w:pPr>
          <w:pStyle w:val="Stopka"/>
          <w:jc w:val="right"/>
        </w:pPr>
        <w:r>
          <w:fldChar w:fldCharType="begin"/>
        </w:r>
        <w:r w:rsidR="000F2B2B">
          <w:instrText>PAGE   \* MERGEFORMAT</w:instrText>
        </w:r>
        <w:r>
          <w:fldChar w:fldCharType="separate"/>
        </w:r>
        <w:r w:rsidR="00E32FD8">
          <w:rPr>
            <w:noProof/>
          </w:rPr>
          <w:t>2</w:t>
        </w:r>
        <w:r>
          <w:fldChar w:fldCharType="end"/>
        </w:r>
      </w:p>
    </w:sdtContent>
  </w:sdt>
  <w:p w14:paraId="7084F0BF" w14:textId="77777777" w:rsidR="008B4326" w:rsidRDefault="008B43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9657B" w14:textId="77777777" w:rsidR="0092163D" w:rsidRDefault="0092163D" w:rsidP="000D0990">
      <w:r>
        <w:separator/>
      </w:r>
    </w:p>
  </w:footnote>
  <w:footnote w:type="continuationSeparator" w:id="0">
    <w:p w14:paraId="7BB28C16" w14:textId="77777777" w:rsidR="0092163D" w:rsidRDefault="0092163D" w:rsidP="000D0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22244F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B04E2"/>
    <w:multiLevelType w:val="multilevel"/>
    <w:tmpl w:val="7BE8D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1613909"/>
    <w:multiLevelType w:val="multilevel"/>
    <w:tmpl w:val="471A2196"/>
    <w:lvl w:ilvl="0">
      <w:start w:val="5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3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3F63AEE"/>
    <w:multiLevelType w:val="hybridMultilevel"/>
    <w:tmpl w:val="117C0452"/>
    <w:lvl w:ilvl="0" w:tplc="F9025D7E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82B2471E">
      <w:start w:val="1"/>
      <w:numFmt w:val="none"/>
      <w:lvlText w:val="7."/>
      <w:lvlJc w:val="left"/>
      <w:pPr>
        <w:tabs>
          <w:tab w:val="num" w:pos="1440"/>
        </w:tabs>
        <w:ind w:left="1440" w:hanging="360"/>
      </w:pPr>
    </w:lvl>
    <w:lvl w:ilvl="2" w:tplc="06683A54">
      <w:start w:val="1"/>
      <w:numFmt w:val="lowerLetter"/>
      <w:lvlText w:val="%3."/>
      <w:lvlJc w:val="left"/>
      <w:pPr>
        <w:tabs>
          <w:tab w:val="num" w:pos="964"/>
        </w:tabs>
        <w:ind w:left="964" w:hanging="510"/>
      </w:pPr>
      <w:rPr>
        <w:rFonts w:ascii="Arial" w:hAnsi="Arial" w:cs="Arial" w:hint="default"/>
        <w:b w:val="0"/>
        <w:i w:val="0"/>
        <w:sz w:val="20"/>
        <w:szCs w:val="20"/>
      </w:rPr>
    </w:lvl>
    <w:lvl w:ilvl="3" w:tplc="5AD4E61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94CCE8B0">
      <w:start w:val="7"/>
      <w:numFmt w:val="decimal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472AE"/>
    <w:multiLevelType w:val="hybridMultilevel"/>
    <w:tmpl w:val="F48424EE"/>
    <w:lvl w:ilvl="0" w:tplc="62FA94D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9" w15:restartNumberingAfterBreak="0">
    <w:nsid w:val="2DC778C1"/>
    <w:multiLevelType w:val="multilevel"/>
    <w:tmpl w:val="69D2F74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0" w15:restartNumberingAfterBreak="0">
    <w:nsid w:val="335161D2"/>
    <w:multiLevelType w:val="multilevel"/>
    <w:tmpl w:val="A668951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1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3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F2E38"/>
    <w:multiLevelType w:val="multilevel"/>
    <w:tmpl w:val="F87692B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8" w15:restartNumberingAfterBreak="0">
    <w:nsid w:val="499B086F"/>
    <w:multiLevelType w:val="hybridMultilevel"/>
    <w:tmpl w:val="C36C950A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19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0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1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23" w15:restartNumberingAfterBreak="0">
    <w:nsid w:val="5671708F"/>
    <w:multiLevelType w:val="hybridMultilevel"/>
    <w:tmpl w:val="D4DA5D3C"/>
    <w:lvl w:ilvl="0" w:tplc="4E14BFA6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D1005E"/>
    <w:multiLevelType w:val="multilevel"/>
    <w:tmpl w:val="B5F05E0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E715EFA"/>
    <w:multiLevelType w:val="multilevel"/>
    <w:tmpl w:val="6A8AC3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ordinal"/>
      <w:lvlText w:val="9.%2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64E1532F"/>
    <w:multiLevelType w:val="multilevel"/>
    <w:tmpl w:val="6B226A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%2."/>
      <w:lvlJc w:val="left"/>
      <w:pPr>
        <w:ind w:left="79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50303BD"/>
    <w:multiLevelType w:val="hybridMultilevel"/>
    <w:tmpl w:val="8C38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334CC6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792F4BC3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29"/>
  </w:num>
  <w:num w:numId="5">
    <w:abstractNumId w:val="33"/>
  </w:num>
  <w:num w:numId="6">
    <w:abstractNumId w:val="22"/>
  </w:num>
  <w:num w:numId="7">
    <w:abstractNumId w:val="17"/>
  </w:num>
  <w:num w:numId="8">
    <w:abstractNumId w:val="11"/>
  </w:num>
  <w:num w:numId="9">
    <w:abstractNumId w:val="14"/>
  </w:num>
  <w:num w:numId="10">
    <w:abstractNumId w:val="21"/>
  </w:num>
  <w:num w:numId="11">
    <w:abstractNumId w:val="27"/>
  </w:num>
  <w:num w:numId="12">
    <w:abstractNumId w:val="20"/>
  </w:num>
  <w:num w:numId="13">
    <w:abstractNumId w:val="15"/>
  </w:num>
  <w:num w:numId="14">
    <w:abstractNumId w:val="5"/>
  </w:num>
  <w:num w:numId="15">
    <w:abstractNumId w:val="1"/>
  </w:num>
  <w:num w:numId="16">
    <w:abstractNumId w:val="31"/>
  </w:num>
  <w:num w:numId="17">
    <w:abstractNumId w:val="12"/>
  </w:num>
  <w:num w:numId="18">
    <w:abstractNumId w:val="19"/>
  </w:num>
  <w:num w:numId="19">
    <w:abstractNumId w:val="24"/>
  </w:num>
  <w:num w:numId="20">
    <w:abstractNumId w:val="13"/>
  </w:num>
  <w:num w:numId="21">
    <w:abstractNumId w:val="26"/>
  </w:num>
  <w:num w:numId="22">
    <w:abstractNumId w:val="10"/>
  </w:num>
  <w:num w:numId="23">
    <w:abstractNumId w:val="28"/>
  </w:num>
  <w:num w:numId="24">
    <w:abstractNumId w:val="25"/>
  </w:num>
  <w:num w:numId="25">
    <w:abstractNumId w:val="30"/>
  </w:num>
  <w:num w:numId="26">
    <w:abstractNumId w:val="4"/>
  </w:num>
  <w:num w:numId="27">
    <w:abstractNumId w:val="2"/>
  </w:num>
  <w:num w:numId="28">
    <w:abstractNumId w:val="32"/>
  </w:num>
  <w:num w:numId="29">
    <w:abstractNumId w:val="6"/>
  </w:num>
  <w:num w:numId="30">
    <w:abstractNumId w:val="9"/>
  </w:num>
  <w:num w:numId="31">
    <w:abstractNumId w:val="8"/>
  </w:num>
  <w:num w:numId="32">
    <w:abstractNumId w:val="7"/>
  </w:num>
  <w:num w:numId="33">
    <w:abstractNumId w:val="18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7A0"/>
    <w:rsid w:val="00000854"/>
    <w:rsid w:val="00000BE2"/>
    <w:rsid w:val="00011881"/>
    <w:rsid w:val="0001346F"/>
    <w:rsid w:val="00013861"/>
    <w:rsid w:val="00023AE7"/>
    <w:rsid w:val="0002528B"/>
    <w:rsid w:val="00025FAC"/>
    <w:rsid w:val="00026C33"/>
    <w:rsid w:val="000363C3"/>
    <w:rsid w:val="00037FEB"/>
    <w:rsid w:val="000412D2"/>
    <w:rsid w:val="00051A67"/>
    <w:rsid w:val="00057BD9"/>
    <w:rsid w:val="000651E7"/>
    <w:rsid w:val="00067A3F"/>
    <w:rsid w:val="0007669A"/>
    <w:rsid w:val="00081945"/>
    <w:rsid w:val="00083436"/>
    <w:rsid w:val="0009265F"/>
    <w:rsid w:val="0009382E"/>
    <w:rsid w:val="00093DC3"/>
    <w:rsid w:val="0009657D"/>
    <w:rsid w:val="000A1E77"/>
    <w:rsid w:val="000A326E"/>
    <w:rsid w:val="000A79D3"/>
    <w:rsid w:val="000B0E34"/>
    <w:rsid w:val="000D0990"/>
    <w:rsid w:val="000F2B2B"/>
    <w:rsid w:val="000F3599"/>
    <w:rsid w:val="00113209"/>
    <w:rsid w:val="00115374"/>
    <w:rsid w:val="00120BBB"/>
    <w:rsid w:val="00131FA4"/>
    <w:rsid w:val="001340D9"/>
    <w:rsid w:val="0014355E"/>
    <w:rsid w:val="00174341"/>
    <w:rsid w:val="00180605"/>
    <w:rsid w:val="00181B02"/>
    <w:rsid w:val="00187EDB"/>
    <w:rsid w:val="00190275"/>
    <w:rsid w:val="00192625"/>
    <w:rsid w:val="001B6DE9"/>
    <w:rsid w:val="001B77B6"/>
    <w:rsid w:val="001C0530"/>
    <w:rsid w:val="001C1D0C"/>
    <w:rsid w:val="001C54EB"/>
    <w:rsid w:val="001C6C1A"/>
    <w:rsid w:val="001D3395"/>
    <w:rsid w:val="001E2A20"/>
    <w:rsid w:val="001E4CFC"/>
    <w:rsid w:val="00222B4B"/>
    <w:rsid w:val="002319E2"/>
    <w:rsid w:val="00253AF9"/>
    <w:rsid w:val="0025578D"/>
    <w:rsid w:val="002744D3"/>
    <w:rsid w:val="0028222C"/>
    <w:rsid w:val="00282BAB"/>
    <w:rsid w:val="002852BD"/>
    <w:rsid w:val="00292343"/>
    <w:rsid w:val="00295129"/>
    <w:rsid w:val="002A52D0"/>
    <w:rsid w:val="002B3E96"/>
    <w:rsid w:val="002D4E0F"/>
    <w:rsid w:val="002E21C2"/>
    <w:rsid w:val="002E3BC0"/>
    <w:rsid w:val="002E60DE"/>
    <w:rsid w:val="002E7607"/>
    <w:rsid w:val="002F6FC4"/>
    <w:rsid w:val="00304CF5"/>
    <w:rsid w:val="00305C5A"/>
    <w:rsid w:val="003153B4"/>
    <w:rsid w:val="00321E14"/>
    <w:rsid w:val="0032333D"/>
    <w:rsid w:val="0032720C"/>
    <w:rsid w:val="0033043E"/>
    <w:rsid w:val="0035146A"/>
    <w:rsid w:val="00352C70"/>
    <w:rsid w:val="00365260"/>
    <w:rsid w:val="0037325D"/>
    <w:rsid w:val="00376FF7"/>
    <w:rsid w:val="00390B21"/>
    <w:rsid w:val="003932A1"/>
    <w:rsid w:val="003C5150"/>
    <w:rsid w:val="003C727C"/>
    <w:rsid w:val="003D29C1"/>
    <w:rsid w:val="003D3890"/>
    <w:rsid w:val="003E448B"/>
    <w:rsid w:val="003F7764"/>
    <w:rsid w:val="00405D69"/>
    <w:rsid w:val="00424ACA"/>
    <w:rsid w:val="004313EA"/>
    <w:rsid w:val="004426BE"/>
    <w:rsid w:val="00445F4B"/>
    <w:rsid w:val="00447A8A"/>
    <w:rsid w:val="00452FA2"/>
    <w:rsid w:val="004559AE"/>
    <w:rsid w:val="004616E0"/>
    <w:rsid w:val="004655A1"/>
    <w:rsid w:val="004726DD"/>
    <w:rsid w:val="004726E1"/>
    <w:rsid w:val="00485F33"/>
    <w:rsid w:val="00494785"/>
    <w:rsid w:val="004A3F67"/>
    <w:rsid w:val="004A4E84"/>
    <w:rsid w:val="004C2655"/>
    <w:rsid w:val="004C7FDD"/>
    <w:rsid w:val="004D2C81"/>
    <w:rsid w:val="004E2645"/>
    <w:rsid w:val="004E49D1"/>
    <w:rsid w:val="004E754C"/>
    <w:rsid w:val="00502D64"/>
    <w:rsid w:val="00504842"/>
    <w:rsid w:val="005334A3"/>
    <w:rsid w:val="00543BB4"/>
    <w:rsid w:val="00545BD6"/>
    <w:rsid w:val="005513CB"/>
    <w:rsid w:val="0056412C"/>
    <w:rsid w:val="00586B49"/>
    <w:rsid w:val="005906FF"/>
    <w:rsid w:val="0059270C"/>
    <w:rsid w:val="0059530B"/>
    <w:rsid w:val="005A062F"/>
    <w:rsid w:val="005A0821"/>
    <w:rsid w:val="005B016A"/>
    <w:rsid w:val="005C4F5A"/>
    <w:rsid w:val="005D47E6"/>
    <w:rsid w:val="005E4B8C"/>
    <w:rsid w:val="005E560D"/>
    <w:rsid w:val="005F3A2B"/>
    <w:rsid w:val="00602247"/>
    <w:rsid w:val="0060745F"/>
    <w:rsid w:val="00644D59"/>
    <w:rsid w:val="006608D7"/>
    <w:rsid w:val="006653D6"/>
    <w:rsid w:val="00667A23"/>
    <w:rsid w:val="00676746"/>
    <w:rsid w:val="00691620"/>
    <w:rsid w:val="006B6FCA"/>
    <w:rsid w:val="006B7DD3"/>
    <w:rsid w:val="006C1940"/>
    <w:rsid w:val="006D0969"/>
    <w:rsid w:val="006E15B6"/>
    <w:rsid w:val="006E7A70"/>
    <w:rsid w:val="006F2D54"/>
    <w:rsid w:val="006F3659"/>
    <w:rsid w:val="006F4C9F"/>
    <w:rsid w:val="00712E59"/>
    <w:rsid w:val="00715723"/>
    <w:rsid w:val="00717BD4"/>
    <w:rsid w:val="0074090B"/>
    <w:rsid w:val="00745364"/>
    <w:rsid w:val="00754349"/>
    <w:rsid w:val="00755693"/>
    <w:rsid w:val="00756927"/>
    <w:rsid w:val="007607A0"/>
    <w:rsid w:val="007663D1"/>
    <w:rsid w:val="007703FF"/>
    <w:rsid w:val="00772FC4"/>
    <w:rsid w:val="00775426"/>
    <w:rsid w:val="00781B87"/>
    <w:rsid w:val="00784D3E"/>
    <w:rsid w:val="0078525D"/>
    <w:rsid w:val="00787AD3"/>
    <w:rsid w:val="007B1AB3"/>
    <w:rsid w:val="007B6D6B"/>
    <w:rsid w:val="007C09BD"/>
    <w:rsid w:val="007C1CF5"/>
    <w:rsid w:val="007D5312"/>
    <w:rsid w:val="007E19E2"/>
    <w:rsid w:val="007E1AE2"/>
    <w:rsid w:val="007F14FA"/>
    <w:rsid w:val="007F498D"/>
    <w:rsid w:val="00810180"/>
    <w:rsid w:val="00812552"/>
    <w:rsid w:val="00856F6C"/>
    <w:rsid w:val="00866EEC"/>
    <w:rsid w:val="00872EE3"/>
    <w:rsid w:val="00891A85"/>
    <w:rsid w:val="00893639"/>
    <w:rsid w:val="008A4E5D"/>
    <w:rsid w:val="008A7A2E"/>
    <w:rsid w:val="008B1A0E"/>
    <w:rsid w:val="008B2544"/>
    <w:rsid w:val="008B4326"/>
    <w:rsid w:val="008B4BCD"/>
    <w:rsid w:val="008D2CBF"/>
    <w:rsid w:val="008D598F"/>
    <w:rsid w:val="008E3EA9"/>
    <w:rsid w:val="008E4622"/>
    <w:rsid w:val="008E6CA8"/>
    <w:rsid w:val="008F38F0"/>
    <w:rsid w:val="008F4493"/>
    <w:rsid w:val="008F50C4"/>
    <w:rsid w:val="0090404E"/>
    <w:rsid w:val="009144F4"/>
    <w:rsid w:val="00920E75"/>
    <w:rsid w:val="0092163D"/>
    <w:rsid w:val="00926772"/>
    <w:rsid w:val="00930E56"/>
    <w:rsid w:val="009340F0"/>
    <w:rsid w:val="00935EB1"/>
    <w:rsid w:val="0093669A"/>
    <w:rsid w:val="00940555"/>
    <w:rsid w:val="00944B2D"/>
    <w:rsid w:val="00946E71"/>
    <w:rsid w:val="0097027A"/>
    <w:rsid w:val="00970B8A"/>
    <w:rsid w:val="009732B2"/>
    <w:rsid w:val="009850A3"/>
    <w:rsid w:val="00990EA8"/>
    <w:rsid w:val="00995156"/>
    <w:rsid w:val="00997236"/>
    <w:rsid w:val="009A334E"/>
    <w:rsid w:val="009B73B1"/>
    <w:rsid w:val="009C5184"/>
    <w:rsid w:val="009D6880"/>
    <w:rsid w:val="009E4A37"/>
    <w:rsid w:val="00A1362E"/>
    <w:rsid w:val="00A15681"/>
    <w:rsid w:val="00A225ED"/>
    <w:rsid w:val="00A418F4"/>
    <w:rsid w:val="00A471E7"/>
    <w:rsid w:val="00A61894"/>
    <w:rsid w:val="00A63027"/>
    <w:rsid w:val="00A65EC5"/>
    <w:rsid w:val="00A70AD4"/>
    <w:rsid w:val="00A819FC"/>
    <w:rsid w:val="00A82AA0"/>
    <w:rsid w:val="00A83ED6"/>
    <w:rsid w:val="00A87845"/>
    <w:rsid w:val="00AA0FA5"/>
    <w:rsid w:val="00AA24A9"/>
    <w:rsid w:val="00AB6DDC"/>
    <w:rsid w:val="00AC3FAF"/>
    <w:rsid w:val="00AD3382"/>
    <w:rsid w:val="00AD3438"/>
    <w:rsid w:val="00AD5E48"/>
    <w:rsid w:val="00AF4FE9"/>
    <w:rsid w:val="00AF664C"/>
    <w:rsid w:val="00B00618"/>
    <w:rsid w:val="00B074C9"/>
    <w:rsid w:val="00B1014F"/>
    <w:rsid w:val="00B2053B"/>
    <w:rsid w:val="00B22DF6"/>
    <w:rsid w:val="00B24EA6"/>
    <w:rsid w:val="00B328C4"/>
    <w:rsid w:val="00B33BF9"/>
    <w:rsid w:val="00B345F6"/>
    <w:rsid w:val="00B45D50"/>
    <w:rsid w:val="00B468D9"/>
    <w:rsid w:val="00B67328"/>
    <w:rsid w:val="00B6754F"/>
    <w:rsid w:val="00B6761D"/>
    <w:rsid w:val="00B71F04"/>
    <w:rsid w:val="00B779DE"/>
    <w:rsid w:val="00B818A7"/>
    <w:rsid w:val="00B8400B"/>
    <w:rsid w:val="00B90940"/>
    <w:rsid w:val="00B91C52"/>
    <w:rsid w:val="00BB213A"/>
    <w:rsid w:val="00BB70FC"/>
    <w:rsid w:val="00BC0EC2"/>
    <w:rsid w:val="00BD21D0"/>
    <w:rsid w:val="00BE4FBF"/>
    <w:rsid w:val="00BF7029"/>
    <w:rsid w:val="00C0326B"/>
    <w:rsid w:val="00C240E1"/>
    <w:rsid w:val="00C32887"/>
    <w:rsid w:val="00C332C9"/>
    <w:rsid w:val="00C33C71"/>
    <w:rsid w:val="00C53368"/>
    <w:rsid w:val="00C53D27"/>
    <w:rsid w:val="00C616CE"/>
    <w:rsid w:val="00C64332"/>
    <w:rsid w:val="00C64E63"/>
    <w:rsid w:val="00C67738"/>
    <w:rsid w:val="00C724C7"/>
    <w:rsid w:val="00C80483"/>
    <w:rsid w:val="00CC0FE0"/>
    <w:rsid w:val="00CC47E8"/>
    <w:rsid w:val="00CC7E29"/>
    <w:rsid w:val="00CD6793"/>
    <w:rsid w:val="00CE7102"/>
    <w:rsid w:val="00CF0C79"/>
    <w:rsid w:val="00CF7B9B"/>
    <w:rsid w:val="00D0654E"/>
    <w:rsid w:val="00D13AE2"/>
    <w:rsid w:val="00D16961"/>
    <w:rsid w:val="00D27C98"/>
    <w:rsid w:val="00D27D31"/>
    <w:rsid w:val="00D47E2A"/>
    <w:rsid w:val="00D70428"/>
    <w:rsid w:val="00D7779C"/>
    <w:rsid w:val="00DA1FF4"/>
    <w:rsid w:val="00DA67A2"/>
    <w:rsid w:val="00DB3AE7"/>
    <w:rsid w:val="00DB677E"/>
    <w:rsid w:val="00DC35C9"/>
    <w:rsid w:val="00DE60A8"/>
    <w:rsid w:val="00DE783E"/>
    <w:rsid w:val="00DE7F72"/>
    <w:rsid w:val="00DF1767"/>
    <w:rsid w:val="00E075C6"/>
    <w:rsid w:val="00E13F9D"/>
    <w:rsid w:val="00E22410"/>
    <w:rsid w:val="00E32FD8"/>
    <w:rsid w:val="00E703B9"/>
    <w:rsid w:val="00E7291F"/>
    <w:rsid w:val="00E81A7C"/>
    <w:rsid w:val="00E86D59"/>
    <w:rsid w:val="00E91F55"/>
    <w:rsid w:val="00EA2CB7"/>
    <w:rsid w:val="00EB30C5"/>
    <w:rsid w:val="00EB359A"/>
    <w:rsid w:val="00EC098C"/>
    <w:rsid w:val="00EC68D6"/>
    <w:rsid w:val="00ED4455"/>
    <w:rsid w:val="00ED5173"/>
    <w:rsid w:val="00ED5B1C"/>
    <w:rsid w:val="00ED7839"/>
    <w:rsid w:val="00F15190"/>
    <w:rsid w:val="00F26801"/>
    <w:rsid w:val="00F44850"/>
    <w:rsid w:val="00F50096"/>
    <w:rsid w:val="00F50BA1"/>
    <w:rsid w:val="00F50BA6"/>
    <w:rsid w:val="00F61696"/>
    <w:rsid w:val="00F626EA"/>
    <w:rsid w:val="00F73E43"/>
    <w:rsid w:val="00F83BA7"/>
    <w:rsid w:val="00F84E50"/>
    <w:rsid w:val="00F961F2"/>
    <w:rsid w:val="00FA7759"/>
    <w:rsid w:val="00FB379C"/>
    <w:rsid w:val="00FB3E7D"/>
    <w:rsid w:val="00FD2085"/>
    <w:rsid w:val="00FF3A48"/>
    <w:rsid w:val="00FF3F66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214B1"/>
  <w15:docId w15:val="{DC396BA0-E632-4810-A18E-33125D13B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09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0990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09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43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4326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43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326"/>
    <w:rPr>
      <w:rFonts w:ascii="Times New Roman" w:eastAsiaTheme="minorEastAsia" w:hAnsi="Times New Roman"/>
      <w:sz w:val="20"/>
      <w:szCs w:val="20"/>
      <w:lang w:eastAsia="pl-PL"/>
    </w:rPr>
  </w:style>
  <w:style w:type="character" w:styleId="Hipercze">
    <w:name w:val="Hyperlink"/>
    <w:unhideWhenUsed/>
    <w:rsid w:val="004E26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8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ge.pl/dane-statystycz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tat.gov.pl/wskazniki-makroekonomicz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42B8FE-DCCB-4F88-B713-B134A0BB5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770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Kmieć Mariola</cp:lastModifiedBy>
  <cp:revision>20</cp:revision>
  <cp:lastPrinted>2023-07-07T09:30:00Z</cp:lastPrinted>
  <dcterms:created xsi:type="dcterms:W3CDTF">2023-10-17T05:48:00Z</dcterms:created>
  <dcterms:modified xsi:type="dcterms:W3CDTF">2024-04-22T09:31:00Z</dcterms:modified>
</cp:coreProperties>
</file>