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 xml:space="preserve">poziomie polityk miejskich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 xml:space="preserve">Partnerstwo lokalne jest jednym z podstawowych narzędzi sieciowania lokalnych interesariuszy. Tworzenie sprawnych i silnych partnerstw lokalnych jest pożądanym celem działalności </w:t>
      </w:r>
      <w:proofErr w:type="spellStart"/>
      <w:r w:rsidRPr="00B24A2C">
        <w:rPr>
          <w:rFonts w:ascii="Verdana" w:eastAsia="Montserrat" w:hAnsi="Verdana" w:cs="Montserrat"/>
          <w:sz w:val="24"/>
          <w:szCs w:val="24"/>
        </w:rPr>
        <w:t>CALi</w:t>
      </w:r>
      <w:proofErr w:type="spellEnd"/>
      <w:r w:rsidRPr="00B24A2C">
        <w:rPr>
          <w:rFonts w:ascii="Verdana" w:eastAsia="Montserrat" w:hAnsi="Verdana" w:cs="Montserrat"/>
          <w:sz w:val="24"/>
          <w:szCs w:val="24"/>
        </w:rPr>
        <w:t>.</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7D7861">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241617"/>
    <w:rsid w:val="003B65A5"/>
    <w:rsid w:val="004874F9"/>
    <w:rsid w:val="00532A32"/>
    <w:rsid w:val="005D3B72"/>
    <w:rsid w:val="00616344"/>
    <w:rsid w:val="007A683C"/>
    <w:rsid w:val="007D7861"/>
    <w:rsid w:val="0082196F"/>
    <w:rsid w:val="008402AE"/>
    <w:rsid w:val="0084263C"/>
    <w:rsid w:val="0086390A"/>
    <w:rsid w:val="00884D12"/>
    <w:rsid w:val="009711A5"/>
    <w:rsid w:val="009738E3"/>
    <w:rsid w:val="00A908B1"/>
    <w:rsid w:val="00B24A2C"/>
    <w:rsid w:val="00C02A24"/>
    <w:rsid w:val="00CD6E00"/>
    <w:rsid w:val="00E719B9"/>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9C9D-B75E-4C55-B2AE-4B7E73B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Markowska Aneta</cp:lastModifiedBy>
  <cp:revision>2</cp:revision>
  <dcterms:created xsi:type="dcterms:W3CDTF">2024-03-21T13:27:00Z</dcterms:created>
  <dcterms:modified xsi:type="dcterms:W3CDTF">2024-03-21T13:27:00Z</dcterms:modified>
</cp:coreProperties>
</file>