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A2" w:rsidRPr="008B1E95" w:rsidRDefault="00C679A2" w:rsidP="00C679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Zaproszenie dla </w:t>
      </w:r>
      <w:r w:rsidRPr="008B1E95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dolnośląskich </w:t>
      </w:r>
      <w:r w:rsidR="007A331A" w:rsidRPr="008B1E95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podmiotów</w:t>
      </w:r>
      <w:r w:rsidR="003A4559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  <w:r w:rsidR="00874C72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producentów </w:t>
      </w:r>
      <w:r w:rsidR="007A331A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spożywczych produktów </w:t>
      </w:r>
      <w:r w:rsidR="00166CDB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regionalnych</w:t>
      </w:r>
      <w:r w:rsidR="00874C72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manufaktur rodzinnych</w:t>
      </w:r>
      <w:r w:rsidR="007A331A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rękodzielników</w:t>
      </w:r>
      <w:r w:rsidR="00874C72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oraz </w:t>
      </w:r>
      <w:r w:rsidR="005B356C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organizacji pozarządowych i 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podmiot</w:t>
      </w:r>
      <w:r w:rsidR="00874C72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ów ekonomii</w:t>
      </w:r>
      <w:r w:rsidR="00166CDB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społecznej</w:t>
      </w:r>
      <w:r w:rsidR="00874C72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do zaprezentowania swojej oferty na Jarmarku Bożonarodzeniowym 202</w:t>
      </w:r>
      <w:r w:rsidR="00874C72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3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Oferty mogą składać:</w:t>
      </w:r>
    </w:p>
    <w:p w:rsidR="00FD00FF" w:rsidRPr="008B1E95" w:rsidRDefault="00FD00FF" w:rsidP="00FD00FF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FD00FF" w:rsidRPr="008B1E95" w:rsidRDefault="00FD00FF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producenci spożywczych produktów regionalnych,</w:t>
      </w:r>
    </w:p>
    <w:p w:rsidR="00BA7B68" w:rsidRPr="008B1E95" w:rsidRDefault="00C679A2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rzemieślnicy/rękodzielnicy </w:t>
      </w:r>
    </w:p>
    <w:p w:rsidR="00C679A2" w:rsidRPr="008B1E95" w:rsidRDefault="00C679A2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organizacje pozarządowe/podmioty ekonomii społecznej, których działalność statutowa wspiera osoby </w:t>
      </w:r>
      <w:proofErr w:type="spellStart"/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defaworyzowane</w:t>
      </w:r>
      <w:proofErr w:type="spellEnd"/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(tj. osoby bezrobotne, bezdomne, uzależnione od alkoholu, narkotyków i innych środków odurzających, z niepełnosprawnością psychiczną lub fizyczną, zwalnianych z zakładów karnych, uchodźców realizujących indywidualny program integracji itp.).</w:t>
      </w:r>
    </w:p>
    <w:p w:rsidR="00D45FF9" w:rsidRPr="008B1E95" w:rsidRDefault="00D45FF9" w:rsidP="00166CDB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45FF9" w:rsidRPr="008B1E95" w:rsidRDefault="004730E2" w:rsidP="00166CDB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Przez produkt regionalny rozumie się </w:t>
      </w:r>
      <w:r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wyrób</w:t>
      </w:r>
      <w:r w:rsidR="00BB706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produkowany</w:t>
      </w:r>
      <w:r w:rsidR="00A908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w sposób </w:t>
      </w:r>
      <w:proofErr w:type="spellStart"/>
      <w:r w:rsidR="00A908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niemasowy</w:t>
      </w:r>
      <w:proofErr w:type="spellEnd"/>
      <w:r w:rsidR="00A908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i przyjazny dla środowiska z surowców lokalnie dostępnych.</w:t>
      </w:r>
      <w:r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Ma on wysoką jakość i swoimi atrybutami zdecydowanie przewyższa inne standardowe wyroby</w:t>
      </w:r>
      <w:r w:rsidR="00A908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2B563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Najczęściej w</w:t>
      </w:r>
      <w:r w:rsidR="00A908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ytwarzany w niewielkich gospodarst</w:t>
      </w:r>
      <w:r w:rsidR="002B563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wach i manufakturach rodzinnych</w:t>
      </w:r>
      <w:r w:rsidR="00A9337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 w:rsidR="002B563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w oparciu o tradycyjne procedury. </w:t>
      </w:r>
    </w:p>
    <w:p w:rsidR="00A9086E" w:rsidRDefault="00A9086E" w:rsidP="00166CDB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:rsidR="00166CDB" w:rsidRPr="008B1E95" w:rsidRDefault="000C5AEA" w:rsidP="00166CDB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Rękodziełem </w:t>
      </w:r>
      <w:r w:rsidR="00AD1B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nazywamy</w:t>
      </w:r>
      <w:r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wyroby powstałe w sposób nieprzemysłowy</w:t>
      </w:r>
      <w:r w:rsidR="00365081"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65081" w:rsidRPr="008B1E95">
        <w:rPr>
          <w:rFonts w:ascii="Arial" w:hAnsi="Arial" w:cs="Arial"/>
          <w:color w:val="000000" w:themeColor="text1"/>
          <w:sz w:val="21"/>
          <w:szCs w:val="21"/>
        </w:rPr>
        <w:t>najczęściej bez użycia maszyn, przy pomocy rąk i prostych narzędzi</w:t>
      </w:r>
      <w:r w:rsidR="00AD1B74">
        <w:rPr>
          <w:rFonts w:ascii="Arial" w:hAnsi="Arial" w:cs="Arial"/>
          <w:color w:val="000000" w:themeColor="text1"/>
          <w:sz w:val="21"/>
          <w:szCs w:val="21"/>
        </w:rPr>
        <w:t>,</w:t>
      </w:r>
      <w:r w:rsidR="00365081" w:rsidRPr="008B1E95">
        <w:rPr>
          <w:rFonts w:ascii="Arial" w:hAnsi="Arial" w:cs="Arial"/>
          <w:color w:val="000000" w:themeColor="text1"/>
          <w:sz w:val="21"/>
          <w:szCs w:val="21"/>
        </w:rPr>
        <w:t xml:space="preserve"> mające w sobie walory artystyczne.</w:t>
      </w:r>
      <w:r w:rsidR="00365081"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B90A3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Kategorie rękodzieła</w:t>
      </w:r>
      <w:r w:rsidR="00365081"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: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garncarstwo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,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tkactwo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,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szydełkowanie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,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rzeźbienie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 </w:t>
      </w:r>
      <w:r w:rsidR="00365081"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(np. w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="00365081" w:rsidRPr="008B1E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drewnie),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wikliniarstwo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,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scrapbooking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,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hafciarstwo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,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bibułkarstwo</w:t>
      </w:r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, </w:t>
      </w:r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 xml:space="preserve">biżuteria artystyczna, </w:t>
      </w:r>
      <w:proofErr w:type="spellStart"/>
      <w:r w:rsidR="00365081" w:rsidRPr="008B1E95">
        <w:rPr>
          <w:rStyle w:val="Pogrubienie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decupage</w:t>
      </w:r>
      <w:proofErr w:type="spellEnd"/>
      <w:r w:rsidR="00365081" w:rsidRPr="008B1E95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.</w:t>
      </w:r>
    </w:p>
    <w:p w:rsidR="00166CDB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Czas trwania Strefy</w:t>
      </w:r>
      <w:r w:rsid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Wrocław Lokalnie </w:t>
      </w: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i Społecznie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 na Wrocławskim Jarmarku </w:t>
      </w:r>
    </w:p>
    <w:p w:rsidR="00C679A2" w:rsidRPr="008B1E95" w:rsidRDefault="00C679A2" w:rsidP="008B1E95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Bożonarodzeniowym </w:t>
      </w:r>
      <w:r w:rsidR="0051734B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od 24 listopada</w:t>
      </w:r>
      <w:r w:rsid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2023</w:t>
      </w:r>
      <w:r w:rsidR="0051734B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do </w:t>
      </w:r>
      <w:r w:rsidR="00874C72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7 </w:t>
      </w:r>
      <w:r w:rsidR="0051734B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stycznia </w:t>
      </w:r>
      <w:r w:rsid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2024</w:t>
      </w: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roku,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 w godzinach </w:t>
      </w:r>
      <w:r w:rsidRPr="00492A84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10:00 – 21:00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Organizacjom/podmiotom zostanie udostępnionych maksymalnie 6 domków w strefie „Wrocław Społecznie i Lokalnie”.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Czas korzystania z miejsca to 1 termin wskazany w karcie zgłoszenia (do pobrania), przy czym w jednym domku mogą znajdować się 2 rotacyjne miejsca wystawiennicze, co oznacza jednoczesne wystawianie się 2 organizacji/podmiotów. Wskazany przez podmiot w karcie zgłoszenia termin nie powoduje jego automatycznej rezerwacji. Ostateczne przydzielenie terminu nastąpi po rozpatrzeniu przez BRG wszystkich zgłoszeń.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Z rotacyjnego miejsca wystawienniczego można skorzystać w następujących terminach:</w:t>
      </w:r>
    </w:p>
    <w:p w:rsidR="00C679A2" w:rsidRPr="004A26A5" w:rsidRDefault="00C679A2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4A26A5">
        <w:rPr>
          <w:rFonts w:ascii="Arial" w:eastAsia="Times New Roman" w:hAnsi="Arial" w:cs="Arial"/>
          <w:sz w:val="21"/>
          <w:szCs w:val="21"/>
          <w:lang w:eastAsia="pl-PL"/>
        </w:rPr>
        <w:t xml:space="preserve">termin I </w:t>
      </w:r>
      <w:r w:rsidR="00157C0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A26A5" w:rsidRPr="004A26A5">
        <w:rPr>
          <w:rFonts w:ascii="Arial" w:hAnsi="Arial" w:cs="Arial"/>
          <w:sz w:val="20"/>
        </w:rPr>
        <w:t>24.11.2023 - 29.11.2023</w:t>
      </w:r>
    </w:p>
    <w:p w:rsidR="00C679A2" w:rsidRPr="004A26A5" w:rsidRDefault="00C679A2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4A26A5">
        <w:rPr>
          <w:rFonts w:ascii="Arial" w:eastAsia="Times New Roman" w:hAnsi="Arial" w:cs="Arial"/>
          <w:sz w:val="21"/>
          <w:szCs w:val="21"/>
          <w:lang w:eastAsia="pl-PL"/>
        </w:rPr>
        <w:t xml:space="preserve">termin II </w:t>
      </w:r>
      <w:r w:rsidR="00157C0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A26A5" w:rsidRPr="004A26A5">
        <w:rPr>
          <w:rFonts w:ascii="Arial" w:hAnsi="Arial" w:cs="Arial"/>
          <w:sz w:val="20"/>
        </w:rPr>
        <w:t>30.11.2023 - 6.12.2023</w:t>
      </w:r>
    </w:p>
    <w:p w:rsidR="00C679A2" w:rsidRPr="004A26A5" w:rsidRDefault="00714A06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4A26A5">
        <w:rPr>
          <w:rFonts w:ascii="Arial" w:eastAsia="Times New Roman" w:hAnsi="Arial" w:cs="Arial"/>
          <w:sz w:val="21"/>
          <w:szCs w:val="21"/>
          <w:lang w:eastAsia="pl-PL"/>
        </w:rPr>
        <w:t xml:space="preserve">termin III </w:t>
      </w:r>
      <w:r w:rsidR="00157C0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A26A5" w:rsidRPr="004A26A5">
        <w:rPr>
          <w:rFonts w:ascii="Arial" w:hAnsi="Arial" w:cs="Arial"/>
          <w:sz w:val="20"/>
        </w:rPr>
        <w:t>07.12.2023 - 13.12.2023</w:t>
      </w:r>
    </w:p>
    <w:p w:rsidR="00C679A2" w:rsidRPr="004A26A5" w:rsidRDefault="00F6636D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4A26A5">
        <w:rPr>
          <w:rFonts w:ascii="Arial" w:eastAsia="Times New Roman" w:hAnsi="Arial" w:cs="Arial"/>
          <w:sz w:val="21"/>
          <w:szCs w:val="21"/>
          <w:lang w:eastAsia="pl-PL"/>
        </w:rPr>
        <w:t xml:space="preserve">termin IV </w:t>
      </w:r>
      <w:r w:rsidR="00157C0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A26A5" w:rsidRPr="004A26A5">
        <w:rPr>
          <w:rFonts w:ascii="Arial" w:hAnsi="Arial" w:cs="Arial"/>
          <w:sz w:val="20"/>
        </w:rPr>
        <w:t>14.12.2023 - 23.12.2023</w:t>
      </w:r>
    </w:p>
    <w:p w:rsidR="00C679A2" w:rsidRPr="004A26A5" w:rsidRDefault="00C679A2" w:rsidP="00C679A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4A26A5">
        <w:rPr>
          <w:rFonts w:ascii="Arial" w:eastAsia="Times New Roman" w:hAnsi="Arial" w:cs="Arial"/>
          <w:sz w:val="21"/>
          <w:szCs w:val="21"/>
          <w:lang w:eastAsia="pl-PL"/>
        </w:rPr>
        <w:t xml:space="preserve">termin V </w:t>
      </w:r>
      <w:r w:rsidR="00157C0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A26A5" w:rsidRPr="004A26A5">
        <w:rPr>
          <w:rFonts w:ascii="Arial" w:hAnsi="Arial" w:cs="Arial"/>
          <w:sz w:val="20"/>
        </w:rPr>
        <w:t>28.12.2023 - 7.01.2024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Rotacyjne miejsca wystawiennicze udostępnione są nieodpłatnie, ale każdy wystawca zobowiązany jest wpłacić</w:t>
      </w:r>
      <w:r w:rsidR="0026684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zwrotną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kaucję w wysokości </w:t>
      </w: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500 zł</w:t>
      </w:r>
      <w:r w:rsidR="0026684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za cały okres wystawienniczy.  Wysokość kaucji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jest niezależna od tego, czy w domku jest jeden wystawca czy dwóch; w wypadku niedotrzymania warunków umowy przez organizację/podmiot z kaucji będzie potrącana kwota </w:t>
      </w: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100 zł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za każdy dzień niedotrzymania warunków umowy (np. niedotrzymanie godzin otwarcia domku itp.).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Organizacja/podmiot wybrana/y do korzystania z rotacyjnego miejsca wystawienniczego odpowiada za wszelkie czynności związane z prowadzeniem sprzedaży i obsługi podczas trwania Jarmarku.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Organizacja/podmiot zobowiązana/y jest oznakować swoje stoisko informacją obejmującą nazwę i rodzaj działalności oraz logo (o ile posiada). Sposób oznakowania i zamocowania należy uzgodnić z Organizatorem Jarmarku; nie może on uszkodzić domku.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Domki z rotacyjnymi miejscami wystawienniczymi mają oświetlenie wewnątrz oraz oświetlenie dekoracyjne na zewnątrz.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lastRenderedPageBreak/>
        <w:t>Każdy domek ma przydzieloną standardową moc 2-3 kW (min.2 kW), jeśli wystawca potrzebowałby więcej, musi to ująć w ofercie i uzgodnić z Organizatorem. Za energię elektryczną wystawca wnosi opłatę na podstawie odczytu z</w:t>
      </w:r>
      <w:r w:rsidR="00874C72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 licznika (3</w:t>
      </w:r>
      <w:r w:rsidR="007E6945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,5</w:t>
      </w: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0 zł netto plus 23 % VAT/1kWh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).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 wyborze organizacji/podmiotu zdecyduje atrakcyjność oferty. Preferowane będą oferty wpisujące się w charakter świąt Bożego Narodzenia, szczególnie – w przypadku organizacji pozarządowych i podmiotów ekonomii społecznej – produkty wykonane przez podopiecznych wystawiającej się organizacji.</w:t>
      </w:r>
    </w:p>
    <w:p w:rsidR="002900D4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2900D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Wykluczeniu ze sprzeda</w:t>
      </w:r>
      <w:r w:rsidR="002900D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ży podlegają wyroby alkoholowe oraz gastronomia.</w:t>
      </w:r>
    </w:p>
    <w:p w:rsidR="00C679A2" w:rsidRPr="002900D4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2900D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Sprzedający jest zobowiązany do niewprowadzania do obiegu bezpłatnych „</w:t>
      </w:r>
      <w:proofErr w:type="spellStart"/>
      <w:r w:rsidRPr="002900D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foliówek</w:t>
      </w:r>
      <w:proofErr w:type="spellEnd"/>
      <w:r w:rsidRPr="002900D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” i pakowania towaru wyłącznie w papier, lub torby wykonane z papieru czy tworzyw </w:t>
      </w:r>
      <w:proofErr w:type="spellStart"/>
      <w:r w:rsidRPr="002900D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biodegradowalnych</w:t>
      </w:r>
      <w:proofErr w:type="spellEnd"/>
      <w:r w:rsidRPr="002900D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Zgłoszenia przyjmuje Biuro Rozwoju Gospodarczego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Urzędu Miejskiego Wroc</w:t>
      </w:r>
      <w:r w:rsidR="00874C72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ławia, informacja tel. 71 777 77 83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Umowa zostanie podpisana z Organizatorem Jarmarku Bożonarodzeniowego.</w:t>
      </w:r>
    </w:p>
    <w:p w:rsidR="00C679A2" w:rsidRPr="008B1E95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Załączniki do pobrania: regulamin porządkowy, regulamin </w:t>
      </w:r>
      <w:r w:rsidR="0051734B"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Jarmarku Bożonarodzeniowego 2023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regulamin użytkowania domków Jarmarki Polskie, karta zgłoszenia.</w:t>
      </w:r>
    </w:p>
    <w:p w:rsidR="00C679A2" w:rsidRPr="008B1E95" w:rsidRDefault="00C679A2" w:rsidP="00C679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Prosimy pamiętać, że sprzedaż odbywa się w okresie zimowym – w zróżnicowanej temperaturze, a praca Państwa odbywać się będzie cały dzień na świeżym powietrzu.</w:t>
      </w:r>
    </w:p>
    <w:p w:rsidR="00C679A2" w:rsidRPr="008B1E95" w:rsidRDefault="00C679A2" w:rsidP="00C679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Wypełnione karty zgło</w:t>
      </w:r>
      <w:r w:rsidR="00714A06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s</w:t>
      </w:r>
      <w:r w:rsidR="00BC53A9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zenia</w:t>
      </w:r>
      <w:bookmarkStart w:id="0" w:name="_GoBack"/>
      <w:bookmarkEnd w:id="0"/>
      <w:r w:rsidR="00A80694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oraz zgodę na przetwarzanie danych osobowych</w:t>
      </w:r>
      <w:r w:rsidR="00874C72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</w:t>
      </w:r>
      <w:r w:rsidR="001E5BC8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>należy przesłać do dnia 25</w:t>
      </w:r>
      <w:r w:rsidR="00874C72"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października 2023</w:t>
      </w:r>
      <w:r w:rsidRPr="008B1E9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  <w:lang w:eastAsia="pl-PL"/>
        </w:rPr>
        <w:t xml:space="preserve"> do godz.15:00</w:t>
      </w:r>
      <w:r w:rsidRPr="008B1E9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na adres: </w:t>
      </w:r>
      <w:hyperlink r:id="rId5" w:history="1">
        <w:r w:rsidRPr="008B1E95">
          <w:rPr>
            <w:rFonts w:ascii="Arial" w:eastAsia="Times New Roman" w:hAnsi="Arial" w:cs="Arial"/>
            <w:color w:val="000000" w:themeColor="text1"/>
            <w:sz w:val="21"/>
            <w:szCs w:val="21"/>
            <w:u w:val="single"/>
            <w:lang w:eastAsia="pl-PL"/>
          </w:rPr>
          <w:t>brg@um.wroc.pl</w:t>
        </w:r>
      </w:hyperlink>
    </w:p>
    <w:p w:rsidR="00E11ACD" w:rsidRPr="008B1E95" w:rsidRDefault="0044063C">
      <w:pPr>
        <w:rPr>
          <w:color w:val="000000" w:themeColor="text1"/>
        </w:rPr>
      </w:pPr>
      <w:r w:rsidRPr="008B1E95">
        <w:rPr>
          <w:color w:val="000000" w:themeColor="text1"/>
        </w:rPr>
        <w:t xml:space="preserve">  </w:t>
      </w:r>
    </w:p>
    <w:sectPr w:rsidR="00E11ACD" w:rsidRPr="008B1E95" w:rsidSect="0001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93D"/>
    <w:multiLevelType w:val="multilevel"/>
    <w:tmpl w:val="3AD2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679A2"/>
    <w:rsid w:val="0001525C"/>
    <w:rsid w:val="000C5AEA"/>
    <w:rsid w:val="00157C0F"/>
    <w:rsid w:val="00166CDB"/>
    <w:rsid w:val="001E5BC8"/>
    <w:rsid w:val="0020579F"/>
    <w:rsid w:val="00254435"/>
    <w:rsid w:val="00266846"/>
    <w:rsid w:val="002900D4"/>
    <w:rsid w:val="002B5639"/>
    <w:rsid w:val="002C0FFD"/>
    <w:rsid w:val="003047D6"/>
    <w:rsid w:val="00365081"/>
    <w:rsid w:val="003A4559"/>
    <w:rsid w:val="0042173D"/>
    <w:rsid w:val="0044063C"/>
    <w:rsid w:val="004730E2"/>
    <w:rsid w:val="00492A84"/>
    <w:rsid w:val="004A26A5"/>
    <w:rsid w:val="0051734B"/>
    <w:rsid w:val="005B0D47"/>
    <w:rsid w:val="005B356C"/>
    <w:rsid w:val="00714A06"/>
    <w:rsid w:val="007A331A"/>
    <w:rsid w:val="007E6945"/>
    <w:rsid w:val="00874C72"/>
    <w:rsid w:val="008B1E95"/>
    <w:rsid w:val="00A80694"/>
    <w:rsid w:val="00A828E5"/>
    <w:rsid w:val="00A9086E"/>
    <w:rsid w:val="00A93377"/>
    <w:rsid w:val="00AD1B74"/>
    <w:rsid w:val="00B90A38"/>
    <w:rsid w:val="00BA7B68"/>
    <w:rsid w:val="00BB706A"/>
    <w:rsid w:val="00BC53A9"/>
    <w:rsid w:val="00C03847"/>
    <w:rsid w:val="00C518BE"/>
    <w:rsid w:val="00C570AE"/>
    <w:rsid w:val="00C679A2"/>
    <w:rsid w:val="00C8468E"/>
    <w:rsid w:val="00D45FF9"/>
    <w:rsid w:val="00E11ACD"/>
    <w:rsid w:val="00F6636D"/>
    <w:rsid w:val="00FD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650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Chrobak-Eilmes Katarzyna</dc:creator>
  <cp:lastModifiedBy>umnali01</cp:lastModifiedBy>
  <cp:revision>31</cp:revision>
  <dcterms:created xsi:type="dcterms:W3CDTF">2023-09-26T09:55:00Z</dcterms:created>
  <dcterms:modified xsi:type="dcterms:W3CDTF">2023-10-05T11:19:00Z</dcterms:modified>
</cp:coreProperties>
</file>