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bCs/>
          <w:sz w:val="20"/>
          <w:szCs w:val="20"/>
        </w:rPr>
        <w:t xml:space="preserve">UCHWAŁA NR LXXIII/1875/23 RADY MIEJSKIEJ WROCŁAWIA </w:t>
      </w:r>
      <w:r w:rsidR="004A2C04" w:rsidRPr="004A2C04">
        <w:rPr>
          <w:rFonts w:ascii="Verdana" w:hAnsi="Verdana"/>
          <w:bCs/>
          <w:sz w:val="20"/>
          <w:szCs w:val="20"/>
        </w:rPr>
        <w:t>z dnia 14 września 2023 roku</w:t>
      </w:r>
    </w:p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bCs/>
          <w:sz w:val="20"/>
          <w:szCs w:val="20"/>
        </w:rPr>
        <w:t>w sprawie rozpatrzenia petycji w sprawie zlecenia Komisji Rewizyjnej Rady Miejskiej Wrocławia kontroli dz</w:t>
      </w:r>
      <w:r w:rsidR="004A2C04" w:rsidRPr="004A2C04">
        <w:rPr>
          <w:rFonts w:ascii="Verdana" w:hAnsi="Verdana"/>
          <w:bCs/>
          <w:sz w:val="20"/>
          <w:szCs w:val="20"/>
        </w:rPr>
        <w:t>iałalności Prezydenta Wrocławia</w:t>
      </w:r>
    </w:p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Na podstawie artykułu 18 ustęp 2 punkt 15 ustawy z dnia 8 marca 1990 roku o samorządzie gminnym (Dziennik Ustaw z 2023 roku pozycja 40, 572, 1463 i 1688) oraz artykułu 9 ust</w:t>
      </w:r>
      <w:r w:rsidR="00675455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2 i art</w:t>
      </w:r>
      <w:r w:rsidR="00675455" w:rsidRPr="004A2C04">
        <w:rPr>
          <w:rFonts w:ascii="Verdana" w:hAnsi="Verdana"/>
          <w:sz w:val="20"/>
          <w:szCs w:val="20"/>
        </w:rPr>
        <w:t>ykuł 13 ustęp</w:t>
      </w:r>
      <w:r w:rsidRPr="004A2C04">
        <w:rPr>
          <w:rFonts w:ascii="Verdana" w:hAnsi="Verdana"/>
          <w:sz w:val="20"/>
          <w:szCs w:val="20"/>
        </w:rPr>
        <w:t xml:space="preserve"> 1 ustawy z dnia 11 lipca 2014 r</w:t>
      </w:r>
      <w:r w:rsidR="00675455" w:rsidRPr="004A2C04">
        <w:rPr>
          <w:rFonts w:ascii="Verdana" w:hAnsi="Verdana"/>
          <w:sz w:val="20"/>
          <w:szCs w:val="20"/>
        </w:rPr>
        <w:t>oku</w:t>
      </w:r>
      <w:r w:rsidR="004A2C04" w:rsidRPr="004A2C04">
        <w:rPr>
          <w:rFonts w:ascii="Verdana" w:hAnsi="Verdana"/>
          <w:sz w:val="20"/>
          <w:szCs w:val="20"/>
        </w:rPr>
        <w:t xml:space="preserve"> o petycjach (Dziennik Ustaw z 2018 r. pozycja</w:t>
      </w:r>
      <w:r w:rsidRPr="004A2C04">
        <w:rPr>
          <w:rFonts w:ascii="Verdana" w:hAnsi="Verdana"/>
          <w:sz w:val="20"/>
          <w:szCs w:val="20"/>
        </w:rPr>
        <w:t xml:space="preserve"> 870) Rada Miejska Wroc</w:t>
      </w:r>
      <w:r w:rsidR="004A2C04" w:rsidRPr="004A2C04">
        <w:rPr>
          <w:rFonts w:ascii="Verdana" w:hAnsi="Verdana"/>
          <w:sz w:val="20"/>
          <w:szCs w:val="20"/>
        </w:rPr>
        <w:t>ławia uchwala, co następuje:</w:t>
      </w:r>
    </w:p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bCs/>
          <w:sz w:val="20"/>
          <w:szCs w:val="20"/>
        </w:rPr>
        <w:t xml:space="preserve">§ 1. </w:t>
      </w:r>
      <w:r w:rsidRPr="004A2C04">
        <w:rPr>
          <w:rFonts w:ascii="Verdana" w:hAnsi="Verdana"/>
          <w:sz w:val="20"/>
          <w:szCs w:val="20"/>
        </w:rPr>
        <w:t>1. Nie uwzględnia się petycji Pana Grzegorza Prigana z dnia 23 maja 2023 roku, uzupełnionej pismem z dnia 19 lipca 2023 r</w:t>
      </w:r>
      <w:r w:rsidR="00675455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, w sprawie zlecenia Komisji Rewizyjnej Rady Miejskiej Wrocławia przeprowadzenia kontroli działalności Prezydenta Wrocławia w zakresie zarządzania i gospodarowania środkami publicznymi w związku z zaciągniętym przez Prezydenta Wrocławia zobowiązaniem </w:t>
      </w:r>
      <w:r w:rsidR="004A2C04" w:rsidRPr="004A2C04">
        <w:rPr>
          <w:rFonts w:ascii="Verdana" w:hAnsi="Verdana"/>
          <w:sz w:val="20"/>
          <w:szCs w:val="20"/>
        </w:rPr>
        <w:t>dotyczącym umowy najmu 79/K/22.</w:t>
      </w:r>
    </w:p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2. Uzasadnienie rozstrzygnięcia zawarte zostało w załączniku do ninie</w:t>
      </w:r>
      <w:r w:rsidR="004A2C04" w:rsidRPr="004A2C04">
        <w:rPr>
          <w:rFonts w:ascii="Verdana" w:hAnsi="Verdana"/>
          <w:sz w:val="20"/>
          <w:szCs w:val="20"/>
        </w:rPr>
        <w:t>jszej uchwały.</w:t>
      </w:r>
    </w:p>
    <w:p w:rsidR="00AF3D4C" w:rsidRPr="004A2C04" w:rsidRDefault="00AF3D4C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bCs/>
          <w:sz w:val="20"/>
          <w:szCs w:val="20"/>
        </w:rPr>
        <w:t xml:space="preserve">§ 2. </w:t>
      </w:r>
      <w:r w:rsidRPr="004A2C04">
        <w:rPr>
          <w:rFonts w:ascii="Verdana" w:hAnsi="Verdana"/>
          <w:sz w:val="20"/>
          <w:szCs w:val="20"/>
        </w:rPr>
        <w:t xml:space="preserve">Upoważnia się Przewodniczącego Rady Miejskiej Wrocławia do zawiadomienia składającego petycję o sposobie rozpatrzenia petycji przez Radę. </w:t>
      </w:r>
    </w:p>
    <w:p w:rsidR="002A003D" w:rsidRPr="004A2C04" w:rsidRDefault="00AF3D4C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bCs/>
          <w:sz w:val="20"/>
          <w:szCs w:val="20"/>
        </w:rPr>
        <w:t xml:space="preserve">§ 3. </w:t>
      </w:r>
      <w:r w:rsidRPr="004A2C04">
        <w:rPr>
          <w:rFonts w:ascii="Verdana" w:hAnsi="Verdana"/>
          <w:sz w:val="20"/>
          <w:szCs w:val="20"/>
        </w:rPr>
        <w:t>Uchwała wchodzi w życie z dniem podjęcia.</w:t>
      </w:r>
    </w:p>
    <w:p w:rsidR="00AF3D4C" w:rsidRPr="004A2C04" w:rsidRDefault="00AF3D4C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Dokument podpisał</w:t>
      </w: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Sergiusz Kmiecik</w:t>
      </w:r>
    </w:p>
    <w:p w:rsidR="00AF3D4C" w:rsidRPr="004A2C04" w:rsidRDefault="00AF3D4C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Przewodniczący Rady Miejskiej Wrocławia</w:t>
      </w: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CC3C23" w:rsidRPr="004A2C04" w:rsidRDefault="00CC3C23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4A2C04" w:rsidRPr="004A2C04" w:rsidRDefault="004A2C04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lastRenderedPageBreak/>
        <w:t>Załącznik do uchwały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 xml:space="preserve">r LXXIII/1875/23 Rady Miejskiej Wrocławia z dnia 14 września 2023 roku 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Petycją z dnia 23 maja 2023 roku Pan Grzegorz Prigan (dalej: Wnioskodawca) wystąpił do Rady Miejskiej Wrocławia z petycją, w której domaga się kontroli działalności przez komisję rewizyjną w zakresie zarządzania i gospodarowania środkami publicznymi w związku z zaciągniętym zobowiązaniem przez Prezydenta wynikającym z umowy najmu o numerze 79/K/22, której przedmiotem jest powierzchnia, w skład której wchodzi kino i biuro o łącznej powierzch</w:t>
      </w:r>
      <w:r w:rsidR="004A2C04" w:rsidRPr="004A2C04">
        <w:rPr>
          <w:rFonts w:ascii="Verdana" w:hAnsi="Verdana"/>
          <w:sz w:val="20"/>
          <w:szCs w:val="20"/>
        </w:rPr>
        <w:t>ni 6.732,55 metra kwadratowego.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Uzasadniając petycję, Wnioskodawca przedstawił szereg argumentów, które w jego ocenie decydują o zasadności wprowadzenia w</w:t>
      </w:r>
      <w:r w:rsidR="00CC3C23" w:rsidRPr="004A2C04">
        <w:rPr>
          <w:rFonts w:ascii="Verdana" w:hAnsi="Verdana"/>
          <w:sz w:val="20"/>
          <w:szCs w:val="20"/>
        </w:rPr>
        <w:t xml:space="preserve">yżej </w:t>
      </w:r>
      <w:r w:rsidRPr="004A2C04">
        <w:rPr>
          <w:rFonts w:ascii="Verdana" w:hAnsi="Verdana"/>
          <w:sz w:val="20"/>
          <w:szCs w:val="20"/>
        </w:rPr>
        <w:t>w</w:t>
      </w:r>
      <w:r w:rsidR="00CC3C23" w:rsidRPr="004A2C04">
        <w:rPr>
          <w:rFonts w:ascii="Verdana" w:hAnsi="Verdana"/>
          <w:sz w:val="20"/>
          <w:szCs w:val="20"/>
        </w:rPr>
        <w:t>ymienionej</w:t>
      </w:r>
      <w:r w:rsidR="004A2C04" w:rsidRPr="004A2C04">
        <w:rPr>
          <w:rFonts w:ascii="Verdana" w:hAnsi="Verdana"/>
          <w:sz w:val="20"/>
          <w:szCs w:val="20"/>
        </w:rPr>
        <w:t xml:space="preserve"> kontroli.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 xml:space="preserve">Zgodnie z artykuł 2 ustęp 3 ustawy z dnia 11 lipca 2014 roku o petycjach (Dziennik Ustaw z 2018 roku pozycja 870),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</w:t>
      </w:r>
      <w:r w:rsidR="004A2C04" w:rsidRPr="004A2C04">
        <w:rPr>
          <w:rFonts w:ascii="Verdana" w:hAnsi="Verdana"/>
          <w:sz w:val="20"/>
          <w:szCs w:val="20"/>
        </w:rPr>
        <w:t>i kompetencji adresata petycji.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Przepisy ustawy z dnia 11 lipca 2014 roku o petycjach (Dziennik Ustaw z 2018 roku pozycja 870; dalej: ustawa) w artykule 4 rozstrzygnęły o formie petycji oraz jej treści. Zgodnie z ustępem 2 cytowanego prze</w:t>
      </w:r>
      <w:r w:rsidR="004A2C04" w:rsidRPr="004A2C04">
        <w:rPr>
          <w:rFonts w:ascii="Verdana" w:hAnsi="Verdana"/>
          <w:sz w:val="20"/>
          <w:szCs w:val="20"/>
        </w:rPr>
        <w:t>pisu, petycja powinna zawierać: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1) oznaczenie podmiotu wnoszącego petycję; jeżeli podmiotem wnoszącym petycję jest grupa podmiotów, w petycji należy wskazać oznaczenie każdego z tych podmiotów oraz osobę reprezent</w:t>
      </w:r>
      <w:r w:rsidR="004A2C04" w:rsidRPr="004A2C04">
        <w:rPr>
          <w:rFonts w:ascii="Verdana" w:hAnsi="Verdana"/>
          <w:sz w:val="20"/>
          <w:szCs w:val="20"/>
        </w:rPr>
        <w:t>ującą podmiot wnoszący petycję;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2) wskazanie miejsca zamieszkania albo siedziby podmiotu wnoszącego petycję oraz adresu do korespondencji; jeżeli podmiotem wnoszącym petycję jest grupa podmiotów, w petycji należy wskazać miejsce zamieszkania lub sie</w:t>
      </w:r>
      <w:r w:rsidR="004A2C04" w:rsidRPr="004A2C04">
        <w:rPr>
          <w:rFonts w:ascii="Verdana" w:hAnsi="Verdana"/>
          <w:sz w:val="20"/>
          <w:szCs w:val="20"/>
        </w:rPr>
        <w:t>dzibę każdego z tych podmiotów;</w:t>
      </w:r>
    </w:p>
    <w:p w:rsidR="00675455" w:rsidRPr="004A2C04" w:rsidRDefault="004A2C04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3) oznaczenie adresata petycji;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4</w:t>
      </w:r>
      <w:r w:rsidR="004A2C04" w:rsidRPr="004A2C04">
        <w:rPr>
          <w:rFonts w:ascii="Verdana" w:hAnsi="Verdana"/>
          <w:sz w:val="20"/>
          <w:szCs w:val="20"/>
        </w:rPr>
        <w:t>) wskazanie przedmiotu petycji.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Zgodnie z artykułem 18 ustawy z dnia 8 marca 1990 roku o samorządzie gminnym (Dz</w:t>
      </w:r>
      <w:r w:rsidR="00CC3C23" w:rsidRPr="004A2C04">
        <w:rPr>
          <w:rFonts w:ascii="Verdana" w:hAnsi="Verdana"/>
          <w:sz w:val="20"/>
          <w:szCs w:val="20"/>
        </w:rPr>
        <w:t>iennik</w:t>
      </w:r>
      <w:r w:rsidRPr="004A2C04">
        <w:rPr>
          <w:rFonts w:ascii="Verdana" w:hAnsi="Verdana"/>
          <w:sz w:val="20"/>
          <w:szCs w:val="20"/>
        </w:rPr>
        <w:t xml:space="preserve"> U</w:t>
      </w:r>
      <w:r w:rsidR="00CC3C23" w:rsidRPr="004A2C04">
        <w:rPr>
          <w:rFonts w:ascii="Verdana" w:hAnsi="Verdana"/>
          <w:sz w:val="20"/>
          <w:szCs w:val="20"/>
        </w:rPr>
        <w:t>staw</w:t>
      </w:r>
      <w:r w:rsidRPr="004A2C04">
        <w:rPr>
          <w:rFonts w:ascii="Verdana" w:hAnsi="Verdana"/>
          <w:sz w:val="20"/>
          <w:szCs w:val="20"/>
        </w:rPr>
        <w:t xml:space="preserve"> z 2023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poz</w:t>
      </w:r>
      <w:r w:rsidR="00CC3C23" w:rsidRPr="004A2C04">
        <w:rPr>
          <w:rFonts w:ascii="Verdana" w:hAnsi="Verdana"/>
          <w:sz w:val="20"/>
          <w:szCs w:val="20"/>
        </w:rPr>
        <w:t>ycja</w:t>
      </w:r>
      <w:r w:rsidRPr="004A2C04">
        <w:rPr>
          <w:rFonts w:ascii="Verdana" w:hAnsi="Verdana"/>
          <w:sz w:val="20"/>
          <w:szCs w:val="20"/>
        </w:rPr>
        <w:t xml:space="preserve"> 40), Rada gminy kontroluje działalność wójta, gminnych jednostek organizacyjnych oraz jednostek pomocniczych gminy; w tym celu powołuje komisję rewizyjną (ust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="004A2C04" w:rsidRPr="004A2C04">
        <w:rPr>
          <w:rFonts w:ascii="Verdana" w:hAnsi="Verdana"/>
          <w:sz w:val="20"/>
          <w:szCs w:val="20"/>
        </w:rPr>
        <w:t xml:space="preserve"> 1).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W skład komisji rewizyjnej wchodzą radni, w tym przedstawiciele wszystkich klubów, z wyjątkiem radnych pełniących funkcje, o których mowa w art</w:t>
      </w:r>
      <w:r w:rsidR="00CC3C23" w:rsidRPr="004A2C04">
        <w:rPr>
          <w:rFonts w:ascii="Verdana" w:hAnsi="Verdana"/>
          <w:sz w:val="20"/>
          <w:szCs w:val="20"/>
        </w:rPr>
        <w:t>ykule</w:t>
      </w:r>
      <w:r w:rsidRPr="004A2C04">
        <w:rPr>
          <w:rFonts w:ascii="Verdana" w:hAnsi="Verdana"/>
          <w:sz w:val="20"/>
          <w:szCs w:val="20"/>
        </w:rPr>
        <w:t xml:space="preserve"> 19 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1 (ust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="004A2C04" w:rsidRPr="004A2C04">
        <w:rPr>
          <w:rFonts w:ascii="Verdana" w:hAnsi="Verdana"/>
          <w:sz w:val="20"/>
          <w:szCs w:val="20"/>
        </w:rPr>
        <w:t xml:space="preserve"> 2).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Komisja rewizyjna opiniuje wykonanie budżetu gminy i występuje z wnioskiem do rady gminy w sprawie udzielenia lub nieudzielenia absolutorium wójtowi. Wniosek w sprawie absolutorium podlega zaopiniowaniu przez regionalną izbę obrachunkową (ust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="004A2C04" w:rsidRPr="004A2C04">
        <w:rPr>
          <w:rFonts w:ascii="Verdana" w:hAnsi="Verdana"/>
          <w:sz w:val="20"/>
          <w:szCs w:val="20"/>
        </w:rPr>
        <w:t xml:space="preserve"> 3).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Komisja rewizyjna wykonuje inne zadania zlecone przez radę w zakresie kontroli. Uprawnienie to nie narusza uprawnień kontrolnych innych komisji, powoływanych przez radę</w:t>
      </w:r>
      <w:r w:rsidR="00CC3C23" w:rsidRPr="004A2C04">
        <w:rPr>
          <w:rFonts w:ascii="Verdana" w:hAnsi="Verdana"/>
          <w:sz w:val="20"/>
          <w:szCs w:val="20"/>
        </w:rPr>
        <w:t xml:space="preserve"> gminy na podstawie artykułu 21 ustęp</w:t>
      </w:r>
      <w:r w:rsidRPr="004A2C04">
        <w:rPr>
          <w:rFonts w:ascii="Verdana" w:hAnsi="Verdana"/>
          <w:sz w:val="20"/>
          <w:szCs w:val="20"/>
        </w:rPr>
        <w:t xml:space="preserve"> 1 (ust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="004A2C04" w:rsidRPr="004A2C04">
        <w:rPr>
          <w:rFonts w:ascii="Verdana" w:hAnsi="Verdana"/>
          <w:sz w:val="20"/>
          <w:szCs w:val="20"/>
        </w:rPr>
        <w:t xml:space="preserve"> 4).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Pod względem formalno-prawnym petycja spełnia wymagania stawiane przez ustawę z dnia 11 lipca 2014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o </w:t>
      </w:r>
      <w:r w:rsidR="004A2C04" w:rsidRPr="004A2C04">
        <w:rPr>
          <w:rFonts w:ascii="Verdana" w:hAnsi="Verdana"/>
          <w:sz w:val="20"/>
          <w:szCs w:val="20"/>
        </w:rPr>
        <w:t>petycjach.</w:t>
      </w:r>
    </w:p>
    <w:p w:rsidR="00675455" w:rsidRPr="004A2C04" w:rsidRDefault="0067545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Stanowisko w sprawie przekazał Wydział Księgowości Urzędu Miejskiego (dalej: Wydział Księgowości) pismem z dnia 9 sierpnia 2023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oraz Wydział Kultury Urzędu Miejskiego (dalej: WK) pismem z dnia 1 września 2023 r</w:t>
      </w:r>
      <w:r w:rsidR="00CC3C23" w:rsidRPr="004A2C04">
        <w:rPr>
          <w:rFonts w:ascii="Verdana" w:hAnsi="Verdana"/>
          <w:sz w:val="20"/>
          <w:szCs w:val="20"/>
        </w:rPr>
        <w:t>oku.</w:t>
      </w:r>
    </w:p>
    <w:p w:rsidR="00675455" w:rsidRPr="004A2C04" w:rsidRDefault="0067545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Wydział Księgowości poinformował, że podejmowanie działań weryfikacyjnych, które obejmują analizę tego, czy zobowiązania Miasta są zaciągane w ramach właściwego i wymaganego w tym zakresie upoważnienia finansowego, leży w jego kompetencji (zagadnienie realizowane przez Dział Umów i Rejestracji Zobowiązań).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lastRenderedPageBreak/>
        <w:t>Weryfikacja w szerszym zakresie, która obejmuje aspekty m</w:t>
      </w:r>
      <w:r w:rsidR="00CC3C23" w:rsidRPr="004A2C04">
        <w:rPr>
          <w:rFonts w:ascii="Verdana" w:hAnsi="Verdana"/>
          <w:sz w:val="20"/>
          <w:szCs w:val="20"/>
        </w:rPr>
        <w:t xml:space="preserve">iędzy </w:t>
      </w:r>
      <w:r w:rsidRPr="004A2C04">
        <w:rPr>
          <w:rFonts w:ascii="Verdana" w:hAnsi="Verdana"/>
          <w:sz w:val="20"/>
          <w:szCs w:val="20"/>
        </w:rPr>
        <w:t>in</w:t>
      </w:r>
      <w:r w:rsidR="00CC3C23" w:rsidRPr="004A2C04">
        <w:rPr>
          <w:rFonts w:ascii="Verdana" w:hAnsi="Verdana"/>
          <w:sz w:val="20"/>
          <w:szCs w:val="20"/>
        </w:rPr>
        <w:t>nymi</w:t>
      </w:r>
      <w:r w:rsidRPr="004A2C04">
        <w:rPr>
          <w:rFonts w:ascii="Verdana" w:hAnsi="Verdana"/>
          <w:sz w:val="20"/>
          <w:szCs w:val="20"/>
        </w:rPr>
        <w:t xml:space="preserve"> dot</w:t>
      </w:r>
      <w:r w:rsidR="00CC3C23" w:rsidRPr="004A2C04">
        <w:rPr>
          <w:rFonts w:ascii="Verdana" w:hAnsi="Verdana"/>
          <w:sz w:val="20"/>
          <w:szCs w:val="20"/>
        </w:rPr>
        <w:t>yczące</w:t>
      </w:r>
      <w:r w:rsidRPr="004A2C04">
        <w:rPr>
          <w:rFonts w:ascii="Verdana" w:hAnsi="Verdana"/>
          <w:sz w:val="20"/>
          <w:szCs w:val="20"/>
        </w:rPr>
        <w:t xml:space="preserve"> celowości i gospodarności, t</w:t>
      </w:r>
      <w:r w:rsidR="00CC3C23" w:rsidRPr="004A2C04">
        <w:rPr>
          <w:rFonts w:ascii="Verdana" w:hAnsi="Verdana"/>
          <w:sz w:val="20"/>
          <w:szCs w:val="20"/>
        </w:rPr>
        <w:t xml:space="preserve">o </w:t>
      </w:r>
      <w:r w:rsidRPr="004A2C04">
        <w:rPr>
          <w:rFonts w:ascii="Verdana" w:hAnsi="Verdana"/>
          <w:sz w:val="20"/>
          <w:szCs w:val="20"/>
        </w:rPr>
        <w:t>j</w:t>
      </w:r>
      <w:r w:rsidR="00CC3C23" w:rsidRPr="004A2C04">
        <w:rPr>
          <w:rFonts w:ascii="Verdana" w:hAnsi="Verdana"/>
          <w:sz w:val="20"/>
          <w:szCs w:val="20"/>
        </w:rPr>
        <w:t>est</w:t>
      </w:r>
      <w:r w:rsidRPr="004A2C04">
        <w:rPr>
          <w:rFonts w:ascii="Verdana" w:hAnsi="Verdana"/>
          <w:sz w:val="20"/>
          <w:szCs w:val="20"/>
        </w:rPr>
        <w:t xml:space="preserve"> uzyskania najlepszych efektów z danych nakładów, przy zastosowaniu optymalnego doboru metod i środków służących osiągnięciu założonych celów, jest realizowana przede wszystkim w ramach właściwości i prerogatyw decyzyjnych, które są przypisane poszczególnym Dysponentom środków budżetowych, jak również osób, które, na podstawie stosownego umocowa</w:t>
      </w:r>
      <w:r w:rsidR="004A2C04" w:rsidRPr="004A2C04">
        <w:rPr>
          <w:rFonts w:ascii="Verdana" w:hAnsi="Verdana"/>
          <w:sz w:val="20"/>
          <w:szCs w:val="20"/>
        </w:rPr>
        <w:t>nia, zawierają konkretne umowy.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Natomiast weryfikacja dokonywana w Wydziale Księgowości obejmuje sprawdzenie charakteru i parametrów każdego z zobowiązań pieniężnych oraz jest realizowana na potrzeby uzyskania kontrasygnaty Skarbnika lub osoby upoważnionej oraz dotyczy dokumentów ujmowanych w Centralnym Rejestrze Zobowiązań Urzędu Miejskiego Wrocławia. Działania te mają szczególne znaczenie przede wszystkim w kontekście dbałości o zachowanie wymogów w zakresie d</w:t>
      </w:r>
      <w:r w:rsidR="004A2C04" w:rsidRPr="004A2C04">
        <w:rPr>
          <w:rFonts w:ascii="Verdana" w:hAnsi="Verdana"/>
          <w:sz w:val="20"/>
          <w:szCs w:val="20"/>
        </w:rPr>
        <w:t>yscypliny finansów publicznych.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Szczegółowa analiza każdego z w</w:t>
      </w:r>
      <w:r w:rsidR="004A2C04" w:rsidRPr="004A2C04">
        <w:rPr>
          <w:rFonts w:ascii="Verdana" w:hAnsi="Verdana"/>
          <w:sz w:val="20"/>
          <w:szCs w:val="20"/>
        </w:rPr>
        <w:t>yżej wymienionych</w:t>
      </w:r>
      <w:r w:rsidRPr="004A2C04">
        <w:rPr>
          <w:rFonts w:ascii="Verdana" w:hAnsi="Verdana"/>
          <w:sz w:val="20"/>
          <w:szCs w:val="20"/>
        </w:rPr>
        <w:t xml:space="preserve"> zobowiązań, które ma charakter pieniężny oraz które wykraczają poza dany rok budżetowy (t</w:t>
      </w:r>
      <w:r w:rsidR="00CC3C23" w:rsidRPr="004A2C04">
        <w:rPr>
          <w:rFonts w:ascii="Verdana" w:hAnsi="Verdana"/>
          <w:sz w:val="20"/>
          <w:szCs w:val="20"/>
        </w:rPr>
        <w:t xml:space="preserve">ak </w:t>
      </w:r>
      <w:r w:rsidRPr="004A2C04">
        <w:rPr>
          <w:rFonts w:ascii="Verdana" w:hAnsi="Verdana"/>
          <w:sz w:val="20"/>
          <w:szCs w:val="20"/>
        </w:rPr>
        <w:t>zw</w:t>
      </w:r>
      <w:r w:rsidR="00CC3C23" w:rsidRPr="004A2C04">
        <w:rPr>
          <w:rFonts w:ascii="Verdana" w:hAnsi="Verdana"/>
          <w:sz w:val="20"/>
          <w:szCs w:val="20"/>
        </w:rPr>
        <w:t>ane</w:t>
      </w:r>
      <w:r w:rsidRPr="004A2C04">
        <w:rPr>
          <w:rFonts w:ascii="Verdana" w:hAnsi="Verdana"/>
          <w:sz w:val="20"/>
          <w:szCs w:val="20"/>
        </w:rPr>
        <w:t xml:space="preserve"> „zobowiązania wieloletnie”) jest realizowana z uwzględnieniem wymogów art</w:t>
      </w:r>
      <w:r w:rsidR="00CC3C23" w:rsidRPr="004A2C04">
        <w:rPr>
          <w:rFonts w:ascii="Verdana" w:hAnsi="Verdana"/>
          <w:sz w:val="20"/>
          <w:szCs w:val="20"/>
        </w:rPr>
        <w:t>ykułu</w:t>
      </w:r>
      <w:r w:rsidRPr="004A2C04">
        <w:rPr>
          <w:rFonts w:ascii="Verdana" w:hAnsi="Verdana"/>
          <w:sz w:val="20"/>
          <w:szCs w:val="20"/>
        </w:rPr>
        <w:t xml:space="preserve"> 228 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1 p</w:t>
      </w:r>
      <w:r w:rsidR="00CC3C23" w:rsidRPr="004A2C04">
        <w:rPr>
          <w:rFonts w:ascii="Verdana" w:hAnsi="Verdana"/>
          <w:sz w:val="20"/>
          <w:szCs w:val="20"/>
        </w:rPr>
        <w:t>un</w:t>
      </w:r>
      <w:r w:rsidRPr="004A2C04">
        <w:rPr>
          <w:rFonts w:ascii="Verdana" w:hAnsi="Verdana"/>
          <w:sz w:val="20"/>
          <w:szCs w:val="20"/>
        </w:rPr>
        <w:t>kt 1 ustawy o finansach publicznych. Zgodnie z brzmieniem tego przepisu „</w:t>
      </w:r>
      <w:r w:rsidRPr="004A2C04">
        <w:rPr>
          <w:rFonts w:ascii="Verdana" w:hAnsi="Verdana"/>
          <w:iCs/>
          <w:sz w:val="20"/>
          <w:szCs w:val="20"/>
        </w:rPr>
        <w:t>uchwała w sprawie wieloletniej prognozy finansowej może zawierać upoważnienie dla zarządu jednostki samorządu terytorialnego do zaciągania zobowiązań związanych z realizacją zamieszczonych w niej przedsięwzięć</w:t>
      </w:r>
      <w:r w:rsidR="004A2C04">
        <w:rPr>
          <w:rFonts w:ascii="Verdana" w:hAnsi="Verdana"/>
          <w:sz w:val="20"/>
          <w:szCs w:val="20"/>
        </w:rPr>
        <w:t>”.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Umowa najmu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79/K/22 została zawarta w dniu 13 czerwca 2022 roku. Tym samym aktualne na ówczesną chwilę upoważnienie do jej zawarcia, wyrażone na podstawie w</w:t>
      </w:r>
      <w:r w:rsidR="00CC3C23" w:rsidRPr="004A2C04">
        <w:rPr>
          <w:rFonts w:ascii="Verdana" w:hAnsi="Verdana"/>
          <w:sz w:val="20"/>
          <w:szCs w:val="20"/>
        </w:rPr>
        <w:t xml:space="preserve">yżej </w:t>
      </w:r>
      <w:r w:rsidRPr="004A2C04">
        <w:rPr>
          <w:rFonts w:ascii="Verdana" w:hAnsi="Verdana"/>
          <w:sz w:val="20"/>
          <w:szCs w:val="20"/>
        </w:rPr>
        <w:t>w</w:t>
      </w:r>
      <w:r w:rsidR="00CC3C23" w:rsidRPr="004A2C04">
        <w:rPr>
          <w:rFonts w:ascii="Verdana" w:hAnsi="Verdana"/>
          <w:sz w:val="20"/>
          <w:szCs w:val="20"/>
        </w:rPr>
        <w:t>ymienionego</w:t>
      </w:r>
      <w:r w:rsidRPr="004A2C04">
        <w:rPr>
          <w:rFonts w:ascii="Verdana" w:hAnsi="Verdana"/>
          <w:sz w:val="20"/>
          <w:szCs w:val="20"/>
        </w:rPr>
        <w:t xml:space="preserve"> przepisu ustawowego, zostało udzielone przez Radę Miejską Wrocławia na mocy postanowień § 3 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1 p</w:t>
      </w:r>
      <w:r w:rsidR="00CC3C23" w:rsidRPr="004A2C04">
        <w:rPr>
          <w:rFonts w:ascii="Verdana" w:hAnsi="Verdana"/>
          <w:sz w:val="20"/>
          <w:szCs w:val="20"/>
        </w:rPr>
        <w:t>un</w:t>
      </w:r>
      <w:r w:rsidRPr="004A2C04">
        <w:rPr>
          <w:rFonts w:ascii="Verdana" w:hAnsi="Verdana"/>
          <w:sz w:val="20"/>
          <w:szCs w:val="20"/>
        </w:rPr>
        <w:t>kt 1 uchwały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XLVII/1233/21 z dnia 23</w:t>
      </w:r>
      <w:r w:rsidR="00CC3C23" w:rsidRPr="004A2C04">
        <w:rPr>
          <w:rFonts w:ascii="Verdana" w:hAnsi="Verdana"/>
          <w:sz w:val="20"/>
          <w:szCs w:val="20"/>
        </w:rPr>
        <w:t xml:space="preserve"> grudnia </w:t>
      </w:r>
      <w:r w:rsidRPr="004A2C04">
        <w:rPr>
          <w:rFonts w:ascii="Verdana" w:hAnsi="Verdana"/>
          <w:sz w:val="20"/>
          <w:szCs w:val="20"/>
        </w:rPr>
        <w:t>2021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w sprawie przyjęcia wieloletn</w:t>
      </w:r>
      <w:r w:rsidR="004A2C04">
        <w:rPr>
          <w:rFonts w:ascii="Verdana" w:hAnsi="Verdana"/>
          <w:sz w:val="20"/>
          <w:szCs w:val="20"/>
        </w:rPr>
        <w:t>iej prognozy finansowej Miasta.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Przedmiotowe upoważnienie obejmowało możliwość zaciągnięcia zobowiązania pieniężnego, które kreowała umowa najmu nr 79/K/22, bowiem zostało ono objęte przedsięwzięciem wskazanym pod poz</w:t>
      </w:r>
      <w:r w:rsidR="00CC3C23" w:rsidRPr="004A2C04">
        <w:rPr>
          <w:rFonts w:ascii="Verdana" w:hAnsi="Verdana"/>
          <w:sz w:val="20"/>
          <w:szCs w:val="20"/>
        </w:rPr>
        <w:t>ycją</w:t>
      </w:r>
      <w:r w:rsidRPr="004A2C04">
        <w:rPr>
          <w:rFonts w:ascii="Verdana" w:hAnsi="Verdana"/>
          <w:sz w:val="20"/>
          <w:szCs w:val="20"/>
        </w:rPr>
        <w:t xml:space="preserve">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1.3.1.50 w załączniku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2 do uchwały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XLVII/1233/21 Rady Miejskiej Wrocławia z dnia 23 grudnia 2021 r</w:t>
      </w:r>
      <w:r w:rsidR="00CC3C23" w:rsidRPr="004A2C04">
        <w:rPr>
          <w:rFonts w:ascii="Verdana" w:hAnsi="Verdana"/>
          <w:sz w:val="20"/>
          <w:szCs w:val="20"/>
        </w:rPr>
        <w:t>oku w</w:t>
      </w:r>
      <w:r w:rsidRPr="004A2C04">
        <w:rPr>
          <w:rFonts w:ascii="Verdana" w:hAnsi="Verdana"/>
          <w:sz w:val="20"/>
          <w:szCs w:val="20"/>
        </w:rPr>
        <w:t xml:space="preserve"> sprawie przyjęcia wieloletniej prognozy finansowej Miasta (odpowiednie limity zobowiązań oraz planowanych wydatków w poszczególnych latach zostały uwzględnione przed zawarciem umowy najmu</w:t>
      </w:r>
      <w:r w:rsidR="004A2C04">
        <w:rPr>
          <w:rFonts w:ascii="Verdana" w:hAnsi="Verdana"/>
          <w:sz w:val="20"/>
          <w:szCs w:val="20"/>
        </w:rPr>
        <w:t xml:space="preserve"> na mocy uchwały nowelizującej -</w:t>
      </w:r>
      <w:r w:rsidRPr="004A2C04">
        <w:rPr>
          <w:rFonts w:ascii="Verdana" w:hAnsi="Verdana"/>
          <w:sz w:val="20"/>
          <w:szCs w:val="20"/>
        </w:rPr>
        <w:t xml:space="preserve"> t</w:t>
      </w:r>
      <w:r w:rsidR="00CC3C23" w:rsidRPr="004A2C04">
        <w:rPr>
          <w:rFonts w:ascii="Verdana" w:hAnsi="Verdana"/>
          <w:sz w:val="20"/>
          <w:szCs w:val="20"/>
        </w:rPr>
        <w:t xml:space="preserve">o </w:t>
      </w:r>
      <w:r w:rsidRPr="004A2C04">
        <w:rPr>
          <w:rFonts w:ascii="Verdana" w:hAnsi="Verdana"/>
          <w:sz w:val="20"/>
          <w:szCs w:val="20"/>
        </w:rPr>
        <w:t>j</w:t>
      </w:r>
      <w:r w:rsidR="00CC3C23" w:rsidRPr="004A2C04">
        <w:rPr>
          <w:rFonts w:ascii="Verdana" w:hAnsi="Verdana"/>
          <w:sz w:val="20"/>
          <w:szCs w:val="20"/>
        </w:rPr>
        <w:t>est</w:t>
      </w:r>
      <w:r w:rsidRPr="004A2C04">
        <w:rPr>
          <w:rFonts w:ascii="Verdana" w:hAnsi="Verdana"/>
          <w:sz w:val="20"/>
          <w:szCs w:val="20"/>
        </w:rPr>
        <w:t xml:space="preserve"> uchwały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LIII/1408/22 RMW z dnia 26</w:t>
      </w:r>
      <w:r w:rsidR="00CC3C23" w:rsidRPr="004A2C04">
        <w:rPr>
          <w:rFonts w:ascii="Verdana" w:hAnsi="Verdana"/>
          <w:sz w:val="20"/>
          <w:szCs w:val="20"/>
        </w:rPr>
        <w:t xml:space="preserve"> maja</w:t>
      </w:r>
      <w:r w:rsidR="004A2C04">
        <w:rPr>
          <w:rFonts w:ascii="Verdana" w:hAnsi="Verdana"/>
          <w:sz w:val="20"/>
          <w:szCs w:val="20"/>
        </w:rPr>
        <w:t xml:space="preserve"> </w:t>
      </w:r>
      <w:r w:rsidRPr="004A2C04">
        <w:rPr>
          <w:rFonts w:ascii="Verdana" w:hAnsi="Verdana"/>
          <w:sz w:val="20"/>
          <w:szCs w:val="20"/>
        </w:rPr>
        <w:t>2022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zmieniającej uchwałę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XLVII/1233/21 Rady Miejskiej Wrocławia w sprawie przyjęcia wieloletni</w:t>
      </w:r>
      <w:r w:rsidR="004A2C04">
        <w:rPr>
          <w:rFonts w:ascii="Verdana" w:hAnsi="Verdana"/>
          <w:sz w:val="20"/>
          <w:szCs w:val="20"/>
        </w:rPr>
        <w:t>ej prognozy finansowej Miasta).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Zgodnie z informacjami uwzględnionymi w Centralnym Rejestrze Zobowiązań</w:t>
      </w:r>
      <w:r w:rsidR="004A2C04">
        <w:rPr>
          <w:rFonts w:ascii="Verdana" w:hAnsi="Verdana"/>
          <w:sz w:val="20"/>
          <w:szCs w:val="20"/>
        </w:rPr>
        <w:t xml:space="preserve"> -</w:t>
      </w:r>
      <w:r w:rsidRPr="004A2C04">
        <w:rPr>
          <w:rFonts w:ascii="Verdana" w:hAnsi="Verdana"/>
          <w:sz w:val="20"/>
          <w:szCs w:val="20"/>
        </w:rPr>
        <w:t xml:space="preserve"> wartości, które obrazowały maksymalne założenia płatnicze wynikające z umowy najmu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79/K/22 na lata 2023-2032 pokrywały się z limitami i wartością planowanych wydatków, które zostały ujęte w wieloletniej prognozie finansowej Miasta. Natomiast płatności, które przypadały w pierwszym roku obowiązywania umowy znajdowały zabezpieczenie w budżecie</w:t>
      </w:r>
      <w:r w:rsidR="004A2C04">
        <w:rPr>
          <w:rFonts w:ascii="Verdana" w:hAnsi="Verdana"/>
          <w:sz w:val="20"/>
          <w:szCs w:val="20"/>
        </w:rPr>
        <w:t xml:space="preserve"> Miasta uchwalonym na rok 2022.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W świetle po</w:t>
      </w:r>
      <w:r w:rsidR="004A2C04">
        <w:rPr>
          <w:rFonts w:ascii="Verdana" w:hAnsi="Verdana"/>
          <w:sz w:val="20"/>
          <w:szCs w:val="20"/>
        </w:rPr>
        <w:t>wyższego, dokonana w ramach tutejszego</w:t>
      </w:r>
      <w:r w:rsidRPr="004A2C04">
        <w:rPr>
          <w:rFonts w:ascii="Verdana" w:hAnsi="Verdana"/>
          <w:sz w:val="20"/>
          <w:szCs w:val="20"/>
        </w:rPr>
        <w:t xml:space="preserve"> Wydziału kontrola zobowiązań płatniczych, które wynikały z umowy najmu nr 79/K/22 nie wykazała jakichkolwiek nieprawidłowości. W konsekwencji dokument ten uzyskał kontrasygnatę z upoważnienia Skarbnika – zgodnie z wymogami art</w:t>
      </w:r>
      <w:r w:rsidR="00CC3C23" w:rsidRPr="004A2C04">
        <w:rPr>
          <w:rFonts w:ascii="Verdana" w:hAnsi="Verdana"/>
          <w:sz w:val="20"/>
          <w:szCs w:val="20"/>
        </w:rPr>
        <w:t>ykułu</w:t>
      </w:r>
      <w:r w:rsidRPr="004A2C04">
        <w:rPr>
          <w:rFonts w:ascii="Verdana" w:hAnsi="Verdana"/>
          <w:sz w:val="20"/>
          <w:szCs w:val="20"/>
        </w:rPr>
        <w:t xml:space="preserve"> 46 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3 ustawy o samorządzie gminnym (Dz</w:t>
      </w:r>
      <w:r w:rsidR="00CC3C23" w:rsidRPr="004A2C04">
        <w:rPr>
          <w:rFonts w:ascii="Verdana" w:hAnsi="Verdana"/>
          <w:sz w:val="20"/>
          <w:szCs w:val="20"/>
        </w:rPr>
        <w:t>iennik</w:t>
      </w:r>
      <w:r w:rsidRPr="004A2C04">
        <w:rPr>
          <w:rFonts w:ascii="Verdana" w:hAnsi="Verdana"/>
          <w:sz w:val="20"/>
          <w:szCs w:val="20"/>
        </w:rPr>
        <w:t xml:space="preserve"> U</w:t>
      </w:r>
      <w:r w:rsidR="00CC3C23" w:rsidRPr="004A2C04">
        <w:rPr>
          <w:rFonts w:ascii="Verdana" w:hAnsi="Verdana"/>
          <w:sz w:val="20"/>
          <w:szCs w:val="20"/>
        </w:rPr>
        <w:t>staw</w:t>
      </w:r>
      <w:r w:rsidRPr="004A2C04">
        <w:rPr>
          <w:rFonts w:ascii="Verdana" w:hAnsi="Verdana"/>
          <w:sz w:val="20"/>
          <w:szCs w:val="20"/>
        </w:rPr>
        <w:t xml:space="preserve"> z 2023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poz</w:t>
      </w:r>
      <w:r w:rsidR="00CC3C23" w:rsidRPr="004A2C04">
        <w:rPr>
          <w:rFonts w:ascii="Verdana" w:hAnsi="Verdana"/>
          <w:sz w:val="20"/>
          <w:szCs w:val="20"/>
        </w:rPr>
        <w:t>ycja</w:t>
      </w:r>
      <w:r w:rsidR="004A2C04">
        <w:rPr>
          <w:rFonts w:ascii="Verdana" w:hAnsi="Verdana"/>
          <w:sz w:val="20"/>
          <w:szCs w:val="20"/>
        </w:rPr>
        <w:t xml:space="preserve"> 40).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 xml:space="preserve">Z punktu widzenia kompetencji i procedur realizowanych w Wydziale Księgowości – żądania wskazane w petycji należy uznać za niezasadne i bezprzedmiotowe. Przyjęty </w:t>
      </w:r>
      <w:r w:rsidRPr="004A2C04">
        <w:rPr>
          <w:rFonts w:ascii="Verdana" w:hAnsi="Verdana"/>
          <w:sz w:val="20"/>
          <w:szCs w:val="20"/>
        </w:rPr>
        <w:lastRenderedPageBreak/>
        <w:t>sposób procedowania związany z kontrasygnatą zarówno w tej indywidualnej sprawie, jak również w zakresie wszelkich innych umów, które kreują zobowiązania płatnicze – zapewnia należyte gwarancje prawidłowej weryfikacji tego, czy zaciąganie poszczególnych zobowiązań następuje w ramach wymaganego w tym zak</w:t>
      </w:r>
      <w:r w:rsidR="004A2C04">
        <w:rPr>
          <w:rFonts w:ascii="Verdana" w:hAnsi="Verdana"/>
          <w:sz w:val="20"/>
          <w:szCs w:val="20"/>
        </w:rPr>
        <w:t>resie upoważnienia finansowego.</w:t>
      </w:r>
    </w:p>
    <w:p w:rsidR="00C46B45" w:rsidRPr="004A2C04" w:rsidRDefault="00C46B45" w:rsidP="004A2C04">
      <w:pPr>
        <w:pStyle w:val="Default"/>
        <w:spacing w:line="288" w:lineRule="auto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Wydział Kultury poinformował, że na podstawie umowy n</w:t>
      </w:r>
      <w:r w:rsidR="00CC3C23" w:rsidRPr="004A2C04">
        <w:rPr>
          <w:rFonts w:ascii="Verdana" w:hAnsi="Verdana"/>
          <w:sz w:val="20"/>
          <w:szCs w:val="20"/>
        </w:rPr>
        <w:t>ume</w:t>
      </w:r>
      <w:r w:rsidRPr="004A2C04">
        <w:rPr>
          <w:rFonts w:ascii="Verdana" w:hAnsi="Verdana"/>
          <w:sz w:val="20"/>
          <w:szCs w:val="20"/>
        </w:rPr>
        <w:t>r 79/K/22, której przedmiotem jest najem powierzchni kina i biura o łącznej powierzchni 6.732,55 m</w:t>
      </w:r>
      <w:r w:rsidR="00CC3C23" w:rsidRPr="004A2C04">
        <w:rPr>
          <w:rFonts w:ascii="Verdana" w:hAnsi="Verdana"/>
          <w:sz w:val="20"/>
          <w:szCs w:val="20"/>
        </w:rPr>
        <w:t>etra kwadratowego</w:t>
      </w:r>
      <w:r w:rsidRPr="004A2C04">
        <w:rPr>
          <w:rFonts w:ascii="Verdana" w:hAnsi="Verdana"/>
          <w:sz w:val="20"/>
          <w:szCs w:val="20"/>
        </w:rPr>
        <w:t>, Gmina Wrocław poniosła łączne koszty w wysokości 2.082.538,98 zł</w:t>
      </w:r>
      <w:r w:rsidR="00CC3C23" w:rsidRPr="004A2C04">
        <w:rPr>
          <w:rFonts w:ascii="Verdana" w:hAnsi="Verdana"/>
          <w:sz w:val="20"/>
          <w:szCs w:val="20"/>
        </w:rPr>
        <w:t>otych</w:t>
      </w:r>
      <w:r w:rsidRPr="004A2C04">
        <w:rPr>
          <w:rFonts w:ascii="Verdana" w:hAnsi="Verdana"/>
          <w:sz w:val="20"/>
          <w:szCs w:val="20"/>
        </w:rPr>
        <w:t>, a w pierwszej połowie 2023 r. – 2.903.981,79 zł</w:t>
      </w:r>
      <w:r w:rsidR="00CC3C23" w:rsidRPr="004A2C04">
        <w:rPr>
          <w:rFonts w:ascii="Verdana" w:hAnsi="Verdana"/>
          <w:sz w:val="20"/>
          <w:szCs w:val="20"/>
        </w:rPr>
        <w:t>otych</w:t>
      </w:r>
      <w:r w:rsidR="004A2C04">
        <w:rPr>
          <w:rFonts w:ascii="Verdana" w:hAnsi="Verdana"/>
          <w:sz w:val="20"/>
          <w:szCs w:val="20"/>
        </w:rPr>
        <w:t>.</w:t>
      </w:r>
    </w:p>
    <w:p w:rsidR="00C46B45" w:rsidRPr="004A2C04" w:rsidRDefault="00C46B4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/>
          <w:sz w:val="20"/>
          <w:szCs w:val="20"/>
        </w:rPr>
        <w:t>Umowa ta umożliwia realizację zadania polegającego na wzmacnianiu i promowaniu marki kulturalnej Wrocławia, określonego w Strategii Wrocław 2030 będącej załącznikiem do uchwały n</w:t>
      </w:r>
      <w:r w:rsidR="00CC3C23" w:rsidRPr="004A2C04">
        <w:rPr>
          <w:rFonts w:ascii="Verdana" w:hAnsi="Verdana"/>
          <w:sz w:val="20"/>
          <w:szCs w:val="20"/>
        </w:rPr>
        <w:t>umer</w:t>
      </w:r>
      <w:r w:rsidRPr="004A2C04">
        <w:rPr>
          <w:rFonts w:ascii="Verdana" w:hAnsi="Verdana"/>
          <w:sz w:val="20"/>
          <w:szCs w:val="20"/>
        </w:rPr>
        <w:t xml:space="preserve"> LI/1193/18 Rady Miejskiej Wrocławia z dnia 15 lutego 2018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- rozdz</w:t>
      </w:r>
      <w:r w:rsidR="00CC3C23" w:rsidRPr="004A2C04">
        <w:rPr>
          <w:rFonts w:ascii="Verdana" w:hAnsi="Verdana"/>
          <w:sz w:val="20"/>
          <w:szCs w:val="20"/>
        </w:rPr>
        <w:t>iał</w:t>
      </w:r>
      <w:r w:rsidRPr="004A2C04">
        <w:rPr>
          <w:rFonts w:ascii="Verdana" w:hAnsi="Verdana"/>
          <w:sz w:val="20"/>
          <w:szCs w:val="20"/>
        </w:rPr>
        <w:t xml:space="preserve"> 2 p</w:t>
      </w:r>
      <w:r w:rsidR="00CC3C23" w:rsidRPr="004A2C04">
        <w:rPr>
          <w:rFonts w:ascii="Verdana" w:hAnsi="Verdana"/>
          <w:sz w:val="20"/>
          <w:szCs w:val="20"/>
        </w:rPr>
        <w:t>un</w:t>
      </w:r>
      <w:r w:rsidRPr="004A2C04">
        <w:rPr>
          <w:rFonts w:ascii="Verdana" w:hAnsi="Verdana"/>
          <w:sz w:val="20"/>
          <w:szCs w:val="20"/>
        </w:rPr>
        <w:t>kt 2.3 - Działania/Priorytet 6 Miasto Otwarte. Nadrzędną podstawą tego zadania jest art</w:t>
      </w:r>
      <w:r w:rsidR="00CC3C23" w:rsidRPr="004A2C04">
        <w:rPr>
          <w:rFonts w:ascii="Verdana" w:hAnsi="Verdana"/>
          <w:sz w:val="20"/>
          <w:szCs w:val="20"/>
        </w:rPr>
        <w:t>ykuł</w:t>
      </w:r>
      <w:r w:rsidRPr="004A2C04">
        <w:rPr>
          <w:rFonts w:ascii="Verdana" w:hAnsi="Verdana"/>
          <w:sz w:val="20"/>
          <w:szCs w:val="20"/>
        </w:rPr>
        <w:t xml:space="preserve"> 7 ust</w:t>
      </w:r>
      <w:r w:rsidR="00CC3C23" w:rsidRPr="004A2C04">
        <w:rPr>
          <w:rFonts w:ascii="Verdana" w:hAnsi="Verdana"/>
          <w:sz w:val="20"/>
          <w:szCs w:val="20"/>
        </w:rPr>
        <w:t>ęp</w:t>
      </w:r>
      <w:r w:rsidRPr="004A2C04">
        <w:rPr>
          <w:rFonts w:ascii="Verdana" w:hAnsi="Verdana"/>
          <w:sz w:val="20"/>
          <w:szCs w:val="20"/>
        </w:rPr>
        <w:t xml:space="preserve"> 1 p</w:t>
      </w:r>
      <w:r w:rsidR="00CC3C23" w:rsidRPr="004A2C04">
        <w:rPr>
          <w:rFonts w:ascii="Verdana" w:hAnsi="Verdana"/>
          <w:sz w:val="20"/>
          <w:szCs w:val="20"/>
        </w:rPr>
        <w:t>un</w:t>
      </w:r>
      <w:r w:rsidRPr="004A2C04">
        <w:rPr>
          <w:rFonts w:ascii="Verdana" w:hAnsi="Verdana"/>
          <w:sz w:val="20"/>
          <w:szCs w:val="20"/>
        </w:rPr>
        <w:t>kt 18 ustawy z dnia 8 marca 1990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o samorządzie gminnym (Dz</w:t>
      </w:r>
      <w:r w:rsidR="00CC3C23" w:rsidRPr="004A2C04">
        <w:rPr>
          <w:rFonts w:ascii="Verdana" w:hAnsi="Verdana"/>
          <w:sz w:val="20"/>
          <w:szCs w:val="20"/>
        </w:rPr>
        <w:t>iennik</w:t>
      </w:r>
      <w:r w:rsidRPr="004A2C04">
        <w:rPr>
          <w:rFonts w:ascii="Verdana" w:hAnsi="Verdana"/>
          <w:sz w:val="20"/>
          <w:szCs w:val="20"/>
        </w:rPr>
        <w:t xml:space="preserve"> U</w:t>
      </w:r>
      <w:r w:rsidR="00CC3C23" w:rsidRPr="004A2C04">
        <w:rPr>
          <w:rFonts w:ascii="Verdana" w:hAnsi="Verdana"/>
          <w:sz w:val="20"/>
          <w:szCs w:val="20"/>
        </w:rPr>
        <w:t>staw</w:t>
      </w:r>
      <w:r w:rsidRPr="004A2C04">
        <w:rPr>
          <w:rFonts w:ascii="Verdana" w:hAnsi="Verdana"/>
          <w:sz w:val="20"/>
          <w:szCs w:val="20"/>
        </w:rPr>
        <w:t xml:space="preserve"> z 2023 r</w:t>
      </w:r>
      <w:r w:rsidR="00CC3C23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poz</w:t>
      </w:r>
      <w:r w:rsidR="00CC3C23" w:rsidRPr="004A2C04">
        <w:rPr>
          <w:rFonts w:ascii="Verdana" w:hAnsi="Verdana"/>
          <w:sz w:val="20"/>
          <w:szCs w:val="20"/>
        </w:rPr>
        <w:t>ycja</w:t>
      </w:r>
      <w:r w:rsidRPr="004A2C04">
        <w:rPr>
          <w:rFonts w:ascii="Verdana" w:hAnsi="Verdana"/>
          <w:sz w:val="20"/>
          <w:szCs w:val="20"/>
        </w:rPr>
        <w:t xml:space="preserve"> 40) stanowiący, że zadania własne gminy obejmują sprawy promocji gminy. Promocja ta realizowana była m</w:t>
      </w:r>
      <w:r w:rsidR="00917D55" w:rsidRPr="004A2C04">
        <w:rPr>
          <w:rFonts w:ascii="Verdana" w:hAnsi="Verdana"/>
          <w:sz w:val="20"/>
          <w:szCs w:val="20"/>
        </w:rPr>
        <w:t xml:space="preserve">iędzy </w:t>
      </w:r>
      <w:r w:rsidRPr="004A2C04">
        <w:rPr>
          <w:rFonts w:ascii="Verdana" w:hAnsi="Verdana"/>
          <w:sz w:val="20"/>
          <w:szCs w:val="20"/>
        </w:rPr>
        <w:t>in</w:t>
      </w:r>
      <w:r w:rsidR="00917D55" w:rsidRPr="004A2C04">
        <w:rPr>
          <w:rFonts w:ascii="Verdana" w:hAnsi="Verdana"/>
          <w:sz w:val="20"/>
          <w:szCs w:val="20"/>
        </w:rPr>
        <w:t>nymi</w:t>
      </w:r>
      <w:r w:rsidRPr="004A2C04">
        <w:rPr>
          <w:rFonts w:ascii="Verdana" w:hAnsi="Verdana"/>
          <w:sz w:val="20"/>
          <w:szCs w:val="20"/>
        </w:rPr>
        <w:t xml:space="preserve"> poprzez prowadzenie działalności kina studyjnego na bazie istniejącego kina Helios we Wrocławiu w latach 2019–2023, a następnie poprzez zadanie publiczne pod nazwą Kino Nowe Horyzonty we Wrocławiu w latach 2022-2026 zleconego w trybie uchwały nr XVI/281/11 Rady Miejskiej Wrocławia z 15 września 2011 r</w:t>
      </w:r>
      <w:r w:rsidR="00917D55" w:rsidRPr="004A2C04">
        <w:rPr>
          <w:rFonts w:ascii="Verdana" w:hAnsi="Verdana"/>
          <w:sz w:val="20"/>
          <w:szCs w:val="20"/>
        </w:rPr>
        <w:t>oku</w:t>
      </w:r>
      <w:r w:rsidRPr="004A2C04">
        <w:rPr>
          <w:rFonts w:ascii="Verdana" w:hAnsi="Verdana"/>
          <w:sz w:val="20"/>
          <w:szCs w:val="20"/>
        </w:rPr>
        <w:t xml:space="preserve"> w sprawie określania trybu postępowania o udzielenie dotacji z budżetu</w:t>
      </w:r>
      <w:r w:rsidR="004A2C04">
        <w:rPr>
          <w:rFonts w:ascii="Verdana" w:hAnsi="Verdana"/>
          <w:sz w:val="20"/>
          <w:szCs w:val="20"/>
        </w:rPr>
        <w:t xml:space="preserve"> </w:t>
      </w:r>
      <w:r w:rsidRPr="004A2C04">
        <w:rPr>
          <w:rFonts w:ascii="Verdana" w:hAnsi="Verdana" w:cs="TimesNewRomanPSMT"/>
          <w:sz w:val="20"/>
          <w:szCs w:val="20"/>
        </w:rPr>
        <w:t>Miasta, sposobu jej rozliczania oraz sposobu kontroli wykonania zadań zlecanych podmiotom niezaliczanym do sektora finansów publicznych i niedziałających w celu osiągnięcia zysku na zadania inne niż określone w ustawie z dnia 24.04.2003 r</w:t>
      </w:r>
      <w:r w:rsidR="00917D55" w:rsidRPr="004A2C04">
        <w:rPr>
          <w:rFonts w:ascii="Verdana" w:hAnsi="Verdana" w:cs="TimesNewRomanPSMT"/>
          <w:sz w:val="20"/>
          <w:szCs w:val="20"/>
        </w:rPr>
        <w:t>oku</w:t>
      </w:r>
      <w:r w:rsidRPr="004A2C04">
        <w:rPr>
          <w:rFonts w:ascii="Verdana" w:hAnsi="Verdana" w:cs="TimesNewRomanPSMT"/>
          <w:sz w:val="20"/>
          <w:szCs w:val="20"/>
        </w:rPr>
        <w:t xml:space="preserve"> o działalności pożytku publicznego i o wolontariacie.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Kino Nowe Horyzonty funkcjonuje od 2012 r</w:t>
      </w:r>
      <w:r w:rsidR="00917D55" w:rsidRPr="004A2C04">
        <w:rPr>
          <w:rFonts w:ascii="Verdana" w:hAnsi="Verdana" w:cs="TimesNewRomanPSMT"/>
          <w:sz w:val="20"/>
          <w:szCs w:val="20"/>
        </w:rPr>
        <w:t>oku.</w:t>
      </w:r>
      <w:r w:rsidRPr="004A2C04">
        <w:rPr>
          <w:rFonts w:ascii="Verdana" w:hAnsi="Verdana" w:cs="TimesNewRomanPSMT"/>
          <w:sz w:val="20"/>
          <w:szCs w:val="20"/>
        </w:rPr>
        <w:t xml:space="preserve"> Liczba widzów od początku działalności kina wyniosła 4.693.663 osób. Średnio w jednym roku kino gromadzi 426.700 widzów. Kino Nowe Horyzonty otrzymało nagrodę dla najlepszego kina w Polsce przyznaną przez kapitułę Polskiego Instytutu Sztuki Filmowej za lata 2019-2020.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W ramach prowadzonej działalności pod marką Kino Nowe Horyzonty promowana jest kultura Wrocławia poprzez organizację: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- międzynarodowego Festiwalu Filmowego Nowe Horyzonty. Festiwal organizowany jest we Wrocławiu od 2006 r</w:t>
      </w:r>
      <w:r w:rsidR="00917D55" w:rsidRPr="004A2C04">
        <w:rPr>
          <w:rFonts w:ascii="Verdana" w:hAnsi="Verdana" w:cs="TimesNewRomanPSMT"/>
          <w:sz w:val="20"/>
          <w:szCs w:val="20"/>
        </w:rPr>
        <w:t>oku</w:t>
      </w:r>
      <w:r w:rsidRPr="004A2C04">
        <w:rPr>
          <w:rFonts w:ascii="Verdana" w:hAnsi="Verdana" w:cs="TimesNewRomanPSMT"/>
          <w:sz w:val="20"/>
          <w:szCs w:val="20"/>
        </w:rPr>
        <w:t>. Dotychczas odbyło się 18 edycji festiwalu. Jest to jedno z najważniejszych i największych wydarzeń kulturalnych we Wrocławiu i w Polsce. Tylko w 2023 r</w:t>
      </w:r>
      <w:r w:rsidR="00917D55" w:rsidRPr="004A2C04">
        <w:rPr>
          <w:rFonts w:ascii="Verdana" w:hAnsi="Verdana" w:cs="TimesNewRomanPSMT"/>
          <w:sz w:val="20"/>
          <w:szCs w:val="20"/>
        </w:rPr>
        <w:t>oku</w:t>
      </w:r>
      <w:r w:rsidRPr="004A2C04">
        <w:rPr>
          <w:rFonts w:ascii="Verdana" w:hAnsi="Verdana" w:cs="TimesNewRomanPSMT"/>
          <w:sz w:val="20"/>
          <w:szCs w:val="20"/>
        </w:rPr>
        <w:t xml:space="preserve"> we wszystkich festiwalowych pokazach i wydarzeniach uczestniczyło 141.978 widzów. W czasie festiwalu odbywa się najważniejsze polskie wydarzenie promujące polskie filmy dla zagranicznej branży filmowej </w:t>
      </w:r>
      <w:proofErr w:type="spellStart"/>
      <w:r w:rsidRPr="004A2C04">
        <w:rPr>
          <w:rFonts w:ascii="Verdana" w:hAnsi="Verdana" w:cs="TimesNewRomanPSMT"/>
          <w:sz w:val="20"/>
          <w:szCs w:val="20"/>
        </w:rPr>
        <w:t>Polish</w:t>
      </w:r>
      <w:proofErr w:type="spellEnd"/>
      <w:r w:rsidRPr="004A2C04">
        <w:rPr>
          <w:rFonts w:ascii="Verdana" w:hAnsi="Verdana" w:cs="TimesNewRomanPSMT"/>
          <w:sz w:val="20"/>
          <w:szCs w:val="20"/>
        </w:rPr>
        <w:t xml:space="preserve"> </w:t>
      </w:r>
      <w:proofErr w:type="spellStart"/>
      <w:r w:rsidRPr="004A2C04">
        <w:rPr>
          <w:rFonts w:ascii="Verdana" w:hAnsi="Verdana" w:cs="TimesNewRomanPSMT"/>
          <w:sz w:val="20"/>
          <w:szCs w:val="20"/>
        </w:rPr>
        <w:t>Days</w:t>
      </w:r>
      <w:proofErr w:type="spellEnd"/>
      <w:r w:rsidRPr="004A2C04">
        <w:rPr>
          <w:rFonts w:ascii="Verdana" w:hAnsi="Verdana" w:cs="TimesNewRomanPSMT"/>
          <w:sz w:val="20"/>
          <w:szCs w:val="20"/>
        </w:rPr>
        <w:t>. Festiwal jest ważnym wydarzeniem z punktu widzenia turystyki kulturalnej - około 55% uczestników festiwalu pochodzi spoza Wrocławia, co oznacza, że co roku w lipcu przyjeżdża do miasta kilkanaście tysięcy osób, które we Wrocławiu wydatkują pieniądze na noclegi, posiłki, komunikację miejską, wizyty w instytucjach kultury;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- festiwal uznany został za projekt kulturalny o najwyższym znaczeniu i randze dla Miasta Wrocławia zgodnie z założeniami polityki społeczno-gospodarczej Wrocławia określanymi corocznie w uchwale Rady Miejskiej Wrocławia (Priorytet VI – MIASTO OTWARTE). Europejska Stolica Kultury 2016 potwierdziła atrakcyjność takich marek, jak Festiwal Nowe Horyzonty oraz Kino Nowe Horyzonty;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 xml:space="preserve">- koprodukcyjnych targów filmowych pod nazwą </w:t>
      </w:r>
      <w:proofErr w:type="spellStart"/>
      <w:r w:rsidRPr="004A2C04">
        <w:rPr>
          <w:rFonts w:ascii="Verdana" w:hAnsi="Verdana" w:cs="TimesNewRomanPSMT"/>
          <w:sz w:val="20"/>
          <w:szCs w:val="20"/>
        </w:rPr>
        <w:t>Us</w:t>
      </w:r>
      <w:proofErr w:type="spellEnd"/>
      <w:r w:rsidRPr="004A2C04">
        <w:rPr>
          <w:rFonts w:ascii="Verdana" w:hAnsi="Verdana" w:cs="TimesNewRomanPSMT"/>
          <w:sz w:val="20"/>
          <w:szCs w:val="20"/>
        </w:rPr>
        <w:t xml:space="preserve"> in Progress oraz Festiwalu Filmu Amerykańskiego. Festiwal jest organizowany jest we Wrocławiu od 2010 r</w:t>
      </w:r>
      <w:r w:rsidR="00917D55" w:rsidRPr="004A2C04">
        <w:rPr>
          <w:rFonts w:ascii="Verdana" w:hAnsi="Verdana" w:cs="TimesNewRomanPSMT"/>
          <w:sz w:val="20"/>
          <w:szCs w:val="20"/>
        </w:rPr>
        <w:t>oku.</w:t>
      </w:r>
      <w:r w:rsidRPr="004A2C04">
        <w:rPr>
          <w:rFonts w:ascii="Verdana" w:hAnsi="Verdana" w:cs="TimesNewRomanPSMT"/>
          <w:sz w:val="20"/>
          <w:szCs w:val="20"/>
        </w:rPr>
        <w:t xml:space="preserve"> </w:t>
      </w:r>
      <w:r w:rsidRPr="004A2C04">
        <w:rPr>
          <w:rFonts w:ascii="Verdana" w:hAnsi="Verdana" w:cs="TimesNewRomanPSMT"/>
          <w:sz w:val="20"/>
          <w:szCs w:val="20"/>
        </w:rPr>
        <w:lastRenderedPageBreak/>
        <w:t>Dotychczas odbyło się jego 13 edycji. Jest to jedyny w Polsce festiwal poświęcony w całości amerykańskiemu kinu niezależnemu;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- corocznych retrospektyw wybitnych twórców kina niezależnego oraz projektów Nowe Horyzonty Edukacji Filmowej, Międzynarodowego Festiwalu Kino Dzieci, Akademii Kina Światowego, Nowych Horyzonty dla Seniora.</w:t>
      </w:r>
    </w:p>
    <w:p w:rsidR="00C46B45" w:rsidRPr="004A2C04" w:rsidRDefault="00C46B45" w:rsidP="004A2C04">
      <w:pPr>
        <w:autoSpaceDE w:val="0"/>
        <w:autoSpaceDN w:val="0"/>
        <w:adjustRightInd w:val="0"/>
        <w:spacing w:line="288" w:lineRule="auto"/>
        <w:ind w:left="0"/>
        <w:jc w:val="left"/>
        <w:rPr>
          <w:rFonts w:ascii="Verdana" w:hAnsi="Verdana" w:cs="TimesNewRomanPSMT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Wynajęcie powierzchni kina i biura z dalszym przeznaczeniem na działalność Kina Nowe Horyzonty, prestiżowej marki kulturalnej Wrocławia, przyczynia się dodatkowo do realizacji zadań z zakresu kultury, określonych jako zadanie własne zgodnie z art</w:t>
      </w:r>
      <w:r w:rsidR="00917D55" w:rsidRPr="004A2C04">
        <w:rPr>
          <w:rFonts w:ascii="Verdana" w:hAnsi="Verdana" w:cs="TimesNewRomanPSMT"/>
          <w:sz w:val="20"/>
          <w:szCs w:val="20"/>
        </w:rPr>
        <w:t>ykułem</w:t>
      </w:r>
      <w:r w:rsidRPr="004A2C04">
        <w:rPr>
          <w:rFonts w:ascii="Verdana" w:hAnsi="Verdana" w:cs="TimesNewRomanPSMT"/>
          <w:sz w:val="20"/>
          <w:szCs w:val="20"/>
        </w:rPr>
        <w:t xml:space="preserve"> 7 ust</w:t>
      </w:r>
      <w:r w:rsidR="00917D55" w:rsidRPr="004A2C04">
        <w:rPr>
          <w:rFonts w:ascii="Verdana" w:hAnsi="Verdana" w:cs="TimesNewRomanPSMT"/>
          <w:sz w:val="20"/>
          <w:szCs w:val="20"/>
        </w:rPr>
        <w:t>ęp</w:t>
      </w:r>
      <w:r w:rsidRPr="004A2C04">
        <w:rPr>
          <w:rFonts w:ascii="Verdana" w:hAnsi="Verdana" w:cs="TimesNewRomanPSMT"/>
          <w:sz w:val="20"/>
          <w:szCs w:val="20"/>
        </w:rPr>
        <w:t xml:space="preserve"> 1 p</w:t>
      </w:r>
      <w:r w:rsidR="00917D55" w:rsidRPr="004A2C04">
        <w:rPr>
          <w:rFonts w:ascii="Verdana" w:hAnsi="Verdana" w:cs="TimesNewRomanPSMT"/>
          <w:sz w:val="20"/>
          <w:szCs w:val="20"/>
        </w:rPr>
        <w:t>un</w:t>
      </w:r>
      <w:r w:rsidRPr="004A2C04">
        <w:rPr>
          <w:rFonts w:ascii="Verdana" w:hAnsi="Verdana" w:cs="TimesNewRomanPSMT"/>
          <w:sz w:val="20"/>
          <w:szCs w:val="20"/>
        </w:rPr>
        <w:t>kt 9 ustawy o samorządzie gminnym.</w:t>
      </w:r>
    </w:p>
    <w:p w:rsidR="00C46B45" w:rsidRPr="004A2C04" w:rsidRDefault="00C46B45" w:rsidP="004A2C04">
      <w:pPr>
        <w:spacing w:line="288" w:lineRule="auto"/>
        <w:ind w:left="0"/>
        <w:jc w:val="left"/>
        <w:rPr>
          <w:rFonts w:ascii="Verdana" w:hAnsi="Verdana"/>
          <w:sz w:val="20"/>
          <w:szCs w:val="20"/>
        </w:rPr>
      </w:pPr>
      <w:r w:rsidRPr="004A2C04">
        <w:rPr>
          <w:rFonts w:ascii="Verdana" w:hAnsi="Verdana" w:cs="TimesNewRomanPSMT"/>
          <w:sz w:val="20"/>
          <w:szCs w:val="20"/>
        </w:rPr>
        <w:t>Mając na uwadze powyższe Rada Miejska Wrocławia uznała, że petycja nie zasługuje na uwzględnienie i postanawi</w:t>
      </w:r>
      <w:r w:rsidR="004A2C04">
        <w:rPr>
          <w:rFonts w:ascii="Verdana" w:hAnsi="Verdana" w:cs="TimesNewRomanPSMT"/>
          <w:sz w:val="20"/>
          <w:szCs w:val="20"/>
        </w:rPr>
        <w:t>a jak w § 1 niniejszej uchwały.</w:t>
      </w:r>
    </w:p>
    <w:sectPr w:rsidR="00C46B45" w:rsidRPr="004A2C04" w:rsidSect="002A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3D4C"/>
    <w:rsid w:val="002A003D"/>
    <w:rsid w:val="004A2C04"/>
    <w:rsid w:val="005E4B8D"/>
    <w:rsid w:val="00675455"/>
    <w:rsid w:val="007745BB"/>
    <w:rsid w:val="00777F45"/>
    <w:rsid w:val="00881D30"/>
    <w:rsid w:val="00917D55"/>
    <w:rsid w:val="00AF3D4C"/>
    <w:rsid w:val="00C46B45"/>
    <w:rsid w:val="00C84D36"/>
    <w:rsid w:val="00CC3C23"/>
    <w:rsid w:val="00CD3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0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3D4C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1836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umagwo04</dc:creator>
  <cp:lastModifiedBy>Patrycja Przybylska</cp:lastModifiedBy>
  <cp:revision>3</cp:revision>
  <dcterms:created xsi:type="dcterms:W3CDTF">2023-09-20T13:11:00Z</dcterms:created>
  <dcterms:modified xsi:type="dcterms:W3CDTF">2023-09-20T13:17:00Z</dcterms:modified>
</cp:coreProperties>
</file>