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BC51BE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962CA8">
        <w:rPr>
          <w:rFonts w:ascii="Verdana" w:hAnsi="Verdana"/>
          <w:sz w:val="28"/>
          <w:szCs w:val="28"/>
        </w:rPr>
        <w:t>3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BD3159">
        <w:rPr>
          <w:rFonts w:ascii="Verdana" w:hAnsi="Verdana"/>
        </w:rPr>
        <w:t>57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BD3159">
        <w:rPr>
          <w:rFonts w:ascii="Verdana" w:hAnsi="Verdana"/>
        </w:rPr>
        <w:t>2 marca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proofErr w:type="spellStart"/>
      <w:r w:rsidR="00962CA8">
        <w:rPr>
          <w:rFonts w:ascii="Verdana" w:hAnsi="Verdana"/>
        </w:rPr>
        <w:t>Dodge</w:t>
      </w:r>
      <w:proofErr w:type="spellEnd"/>
      <w:r w:rsidR="00962CA8">
        <w:rPr>
          <w:rFonts w:ascii="Verdana" w:hAnsi="Verdana"/>
        </w:rPr>
        <w:t xml:space="preserve"> </w:t>
      </w:r>
      <w:proofErr w:type="spellStart"/>
      <w:r w:rsidR="00962CA8">
        <w:rPr>
          <w:rFonts w:ascii="Verdana" w:hAnsi="Verdana"/>
        </w:rPr>
        <w:t>Caliber</w:t>
      </w:r>
      <w:proofErr w:type="spellEnd"/>
      <w:r w:rsidR="00831858" w:rsidRPr="008923E0">
        <w:rPr>
          <w:rFonts w:ascii="Verdana" w:hAnsi="Verdana"/>
        </w:rPr>
        <w:t xml:space="preserve">, nr rej. </w:t>
      </w:r>
      <w:r w:rsidR="00962CA8">
        <w:rPr>
          <w:rFonts w:ascii="Verdana" w:hAnsi="Verdana"/>
        </w:rPr>
        <w:t>DW4LF87</w:t>
      </w:r>
      <w:r w:rsidR="00831858" w:rsidRPr="008923E0">
        <w:rPr>
          <w:rFonts w:ascii="Verdana" w:hAnsi="Verdana"/>
        </w:rPr>
        <w:t xml:space="preserve">, rok produkcji: </w:t>
      </w:r>
      <w:r w:rsidR="00962CA8">
        <w:rPr>
          <w:rFonts w:ascii="Verdana" w:hAnsi="Verdana"/>
        </w:rPr>
        <w:t>2006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</w:t>
      </w:r>
      <w:r w:rsidR="00BC51BE">
        <w:rPr>
          <w:rFonts w:ascii="Verdana" w:hAnsi="Verdana"/>
          <w:sz w:val="24"/>
          <w:szCs w:val="24"/>
        </w:rPr>
        <w:t>38 10205226 0000 6702 0723 4281</w:t>
      </w:r>
      <w:r w:rsidRPr="008923E0">
        <w:rPr>
          <w:rFonts w:ascii="Verdana" w:hAnsi="Verdana"/>
          <w:sz w:val="24"/>
          <w:szCs w:val="24"/>
        </w:rPr>
        <w:t xml:space="preserve">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="00BC51BE">
        <w:rPr>
          <w:rFonts w:ascii="Verdana" w:hAnsi="Verdana"/>
          <w:sz w:val="24"/>
          <w:szCs w:val="24"/>
        </w:rPr>
        <w:t xml:space="preserve"> ze zm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53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53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51B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538FC"/>
    <w:rsid w:val="00962CA8"/>
    <w:rsid w:val="009C54D8"/>
    <w:rsid w:val="00A0763D"/>
    <w:rsid w:val="00AD5978"/>
    <w:rsid w:val="00B2789E"/>
    <w:rsid w:val="00B35BE9"/>
    <w:rsid w:val="00B82535"/>
    <w:rsid w:val="00BC51BE"/>
    <w:rsid w:val="00BD0B69"/>
    <w:rsid w:val="00BD3159"/>
    <w:rsid w:val="00BE2DD7"/>
    <w:rsid w:val="00BF1B12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76BA-619E-4DC4-BFDE-4CA15160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2023-05-05T09:50:00Z</dcterms:created>
  <dcterms:modified xsi:type="dcterms:W3CDTF">2023-05-05T09:50:00Z</dcterms:modified>
</cp:coreProperties>
</file>