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FC2BE7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0BE32E3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>ymaganie dotyczy zarówno sytuacji</w:t>
      </w:r>
      <w:r w:rsidR="00A5684B">
        <w:t xml:space="preserve">, </w:t>
      </w:r>
      <w:r w:rsidR="00A939C7" w:rsidRPr="00067DEA">
        <w:t xml:space="preserve">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01C705C1" w14:textId="77777777" w:rsidR="00FC2BE7" w:rsidRPr="00FC2BE7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</w:p>
    <w:p w14:paraId="788B6F32" w14:textId="61BBEEDA" w:rsidR="00D235C7" w:rsidRPr="00067DEA" w:rsidRDefault="00D235C7" w:rsidP="00FC2BE7">
      <w:pPr>
        <w:pStyle w:val="Akapitzlist"/>
        <w:spacing w:before="360" w:line="288" w:lineRule="auto"/>
        <w:ind w:left="357"/>
        <w:contextualSpacing w:val="0"/>
      </w:pP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7B2A61D" w14:textId="77777777" w:rsidR="00FC2BE7" w:rsidRPr="00FC2BE7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FC2BE7">
        <w:rPr>
          <w:rStyle w:val="Nagwek3Znak"/>
        </w:rPr>
        <w:t xml:space="preserve"> </w:t>
      </w:r>
    </w:p>
    <w:p w14:paraId="1835DA49" w14:textId="3B9B5478" w:rsidR="00D235C7" w:rsidRPr="00067DEA" w:rsidRDefault="00D235C7" w:rsidP="00FC2BE7">
      <w:pPr>
        <w:spacing w:line="288" w:lineRule="auto"/>
        <w:ind w:left="360"/>
      </w:pPr>
      <w:r w:rsidRPr="00067DEA">
        <w:t xml:space="preserve">Niektóre osoby z niepełnosprawnością poruszają się w towarzystwie specjalnie wyszkolonego psa </w:t>
      </w:r>
      <w:bookmarkStart w:id="0" w:name="_GoBack"/>
      <w:bookmarkEnd w:id="0"/>
      <w:r w:rsidRPr="00067DEA">
        <w:t xml:space="preserve">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 xml:space="preserve">W </w:t>
      </w:r>
      <w:proofErr w:type="gramStart"/>
      <w:r w:rsidRPr="005F3936">
        <w:rPr>
          <w:lang w:eastAsia="pl-PL"/>
        </w:rPr>
        <w:t>przypadku</w:t>
      </w:r>
      <w:proofErr w:type="gramEnd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lastRenderedPageBreak/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791C15">
      <w:pPr>
        <w:pStyle w:val="Akapitzlist"/>
        <w:numPr>
          <w:ilvl w:val="0"/>
          <w:numId w:val="21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FC2BE7" w:rsidP="00791C15">
      <w:pPr>
        <w:pStyle w:val="Akapitzlist"/>
        <w:numPr>
          <w:ilvl w:val="0"/>
          <w:numId w:val="21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BB03" w14:textId="77777777" w:rsidR="00CB1C81" w:rsidRDefault="00CB1C81" w:rsidP="00994F44">
      <w:pPr>
        <w:spacing w:after="0" w:line="240" w:lineRule="auto"/>
      </w:pPr>
      <w:r>
        <w:separator/>
      </w:r>
    </w:p>
  </w:endnote>
  <w:endnote w:type="continuationSeparator" w:id="0">
    <w:p w14:paraId="538C665D" w14:textId="77777777" w:rsidR="00CB1C81" w:rsidRDefault="00CB1C81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094D" w14:textId="7A254321" w:rsidR="00994F44" w:rsidRDefault="003A3E7E">
    <w:pPr>
      <w:pStyle w:val="Stopka"/>
    </w:pPr>
    <w:r>
      <w:rPr>
        <w:noProof/>
      </w:rPr>
      <w:drawing>
        <wp:inline distT="0" distB="0" distL="0" distR="0" wp14:anchorId="6B417E16" wp14:editId="4A8EFF03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AB99" w14:textId="77777777" w:rsidR="00CB1C81" w:rsidRDefault="00CB1C81" w:rsidP="00994F44">
      <w:pPr>
        <w:spacing w:after="0" w:line="240" w:lineRule="auto"/>
      </w:pPr>
      <w:r>
        <w:separator/>
      </w:r>
    </w:p>
  </w:footnote>
  <w:footnote w:type="continuationSeparator" w:id="0">
    <w:p w14:paraId="1745A39A" w14:textId="77777777" w:rsidR="00CB1C81" w:rsidRDefault="00CB1C81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D5725"/>
    <w:multiLevelType w:val="hybridMultilevel"/>
    <w:tmpl w:val="D0E6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32B8E"/>
    <w:multiLevelType w:val="hybridMultilevel"/>
    <w:tmpl w:val="66D2E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B1ACF"/>
    <w:multiLevelType w:val="hybridMultilevel"/>
    <w:tmpl w:val="665E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4AF5"/>
    <w:multiLevelType w:val="hybridMultilevel"/>
    <w:tmpl w:val="C6BE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23C"/>
    <w:multiLevelType w:val="hybridMultilevel"/>
    <w:tmpl w:val="1DC2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5"/>
  </w:num>
  <w:num w:numId="5">
    <w:abstractNumId w:val="16"/>
  </w:num>
  <w:num w:numId="6">
    <w:abstractNumId w:val="14"/>
  </w:num>
  <w:num w:numId="7">
    <w:abstractNumId w:val="20"/>
  </w:num>
  <w:num w:numId="8">
    <w:abstractNumId w:val="1"/>
  </w:num>
  <w:num w:numId="9">
    <w:abstractNumId w:val="19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91C15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5684B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A4324"/>
    <w:rsid w:val="00CB1C81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C2BE7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2023-04-04T08:40:00Z</dcterms:created>
  <dcterms:modified xsi:type="dcterms:W3CDTF">2023-04-04T08:40:00Z</dcterms:modified>
</cp:coreProperties>
</file>