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5" w:rsidRPr="005113C9" w:rsidRDefault="00D312F5" w:rsidP="00C23835">
      <w:pPr>
        <w:spacing w:after="0" w:line="281" w:lineRule="auto"/>
        <w:outlineLvl w:val="4"/>
        <w:rPr>
          <w:rFonts w:ascii="Verdana" w:hAnsi="Verdana"/>
          <w:b/>
        </w:rPr>
      </w:pPr>
      <w:bookmarkStart w:id="0" w:name="_GoBack"/>
      <w:bookmarkEnd w:id="0"/>
    </w:p>
    <w:p w:rsidR="00295039" w:rsidRPr="005113C9" w:rsidRDefault="00FD39CC" w:rsidP="005336EE">
      <w:pPr>
        <w:rPr>
          <w:rFonts w:ascii="Verdana" w:hAnsi="Verdana"/>
          <w:b/>
        </w:rPr>
      </w:pPr>
      <w:r w:rsidRPr="005113C9">
        <w:rPr>
          <w:rFonts w:ascii="Verdana" w:hAnsi="Verdana"/>
          <w:b/>
        </w:rPr>
        <w:t xml:space="preserve">Uzasadnienie </w:t>
      </w:r>
      <w:r w:rsidR="00876FE4" w:rsidRPr="005113C9">
        <w:rPr>
          <w:rFonts w:ascii="Verdana" w:hAnsi="Verdana"/>
          <w:b/>
        </w:rPr>
        <w:t xml:space="preserve">do uchwały </w:t>
      </w:r>
      <w:r w:rsidR="00DF3DB7" w:rsidRPr="005113C9">
        <w:rPr>
          <w:rFonts w:ascii="Verdana" w:hAnsi="Verdana"/>
          <w:b/>
        </w:rPr>
        <w:t>w sprawie metod ustalenia opłaty za gospodarowanie odpadami komunalnymi i stawek tej opłaty</w:t>
      </w:r>
    </w:p>
    <w:p w:rsidR="005D3ACC" w:rsidRPr="005113C9" w:rsidRDefault="00295039" w:rsidP="005336EE">
      <w:pPr>
        <w:numPr>
          <w:ilvl w:val="0"/>
          <w:numId w:val="21"/>
        </w:numPr>
        <w:spacing w:after="0" w:line="480" w:lineRule="auto"/>
        <w:ind w:left="357" w:hanging="357"/>
        <w:rPr>
          <w:rFonts w:ascii="Verdana" w:hAnsi="Verdana"/>
          <w:b/>
        </w:rPr>
      </w:pPr>
      <w:r w:rsidRPr="005113C9">
        <w:rPr>
          <w:rFonts w:ascii="Verdana" w:hAnsi="Verdana"/>
          <w:b/>
        </w:rPr>
        <w:t>Wyjaśnienie celu podjęcia uchwały wraz z ekonomicznym uzasadnieniem.</w:t>
      </w:r>
    </w:p>
    <w:p w:rsidR="00686E1A" w:rsidRPr="005113C9" w:rsidRDefault="002D33AA" w:rsidP="005336EE">
      <w:pPr>
        <w:pStyle w:val="Akapitzlist"/>
        <w:tabs>
          <w:tab w:val="left" w:pos="567"/>
        </w:tabs>
        <w:spacing w:after="120" w:line="288" w:lineRule="auto"/>
        <w:ind w:left="0"/>
        <w:contextualSpacing w:val="0"/>
        <w:rPr>
          <w:rFonts w:ascii="Verdana" w:hAnsi="Verdana"/>
        </w:rPr>
      </w:pPr>
      <w:r w:rsidRPr="005113C9">
        <w:rPr>
          <w:rFonts w:ascii="Verdana" w:hAnsi="Verdana"/>
        </w:rPr>
        <w:t>Proponowana uchwała ma na celu urealnienie rzeczywistych kosztów zagosp</w:t>
      </w:r>
      <w:r w:rsidR="006300BF" w:rsidRPr="005113C9">
        <w:rPr>
          <w:rFonts w:ascii="Verdana" w:hAnsi="Verdana"/>
        </w:rPr>
        <w:t>odarowania odpadami komunalnymi</w:t>
      </w:r>
      <w:r w:rsidRPr="005113C9">
        <w:rPr>
          <w:rFonts w:ascii="Verdana" w:hAnsi="Verdana"/>
        </w:rPr>
        <w:t xml:space="preserve">, których wysokość spowodowana </w:t>
      </w:r>
      <w:r w:rsidR="00142D60" w:rsidRPr="005113C9">
        <w:rPr>
          <w:rFonts w:ascii="Verdana" w:hAnsi="Verdana"/>
        </w:rPr>
        <w:t xml:space="preserve">jest wzrostem </w:t>
      </w:r>
      <w:r w:rsidR="005D3ACC" w:rsidRPr="005113C9">
        <w:rPr>
          <w:rFonts w:ascii="Verdana" w:hAnsi="Verdana"/>
        </w:rPr>
        <w:t>cen</w:t>
      </w:r>
      <w:r w:rsidR="007852CA" w:rsidRPr="005113C9">
        <w:rPr>
          <w:rFonts w:ascii="Verdana" w:hAnsi="Verdana"/>
        </w:rPr>
        <w:t xml:space="preserve"> energii el</w:t>
      </w:r>
      <w:r w:rsidRPr="005113C9">
        <w:rPr>
          <w:rFonts w:ascii="Verdana" w:hAnsi="Verdana"/>
        </w:rPr>
        <w:t>ektrycz</w:t>
      </w:r>
      <w:r w:rsidR="0035150C" w:rsidRPr="005113C9">
        <w:rPr>
          <w:rFonts w:ascii="Verdana" w:hAnsi="Verdana"/>
        </w:rPr>
        <w:t xml:space="preserve">nej, paliw, znaczącym wzrostem </w:t>
      </w:r>
      <w:r w:rsidRPr="005113C9">
        <w:rPr>
          <w:rFonts w:ascii="Verdana" w:hAnsi="Verdana"/>
        </w:rPr>
        <w:t xml:space="preserve">wynagrodzeń, </w:t>
      </w:r>
      <w:r w:rsidR="007852CA" w:rsidRPr="005113C9">
        <w:rPr>
          <w:rFonts w:ascii="Verdana" w:hAnsi="Verdana"/>
        </w:rPr>
        <w:t>cen usług</w:t>
      </w:r>
      <w:r w:rsidR="001A0D89" w:rsidRPr="005113C9">
        <w:rPr>
          <w:rFonts w:ascii="Verdana" w:hAnsi="Verdana"/>
        </w:rPr>
        <w:t xml:space="preserve"> jak również postępującą</w:t>
      </w:r>
      <w:r w:rsidRPr="005113C9">
        <w:rPr>
          <w:rFonts w:ascii="Verdana" w:hAnsi="Verdana"/>
        </w:rPr>
        <w:t xml:space="preserve"> niezwykle wysoką inflacją</w:t>
      </w:r>
      <w:r w:rsidR="0004206B" w:rsidRPr="005113C9">
        <w:rPr>
          <w:rFonts w:ascii="Verdana" w:hAnsi="Verdana"/>
        </w:rPr>
        <w:t>.</w:t>
      </w:r>
      <w:r w:rsidR="007852CA" w:rsidRPr="005113C9">
        <w:rPr>
          <w:rFonts w:ascii="Verdana" w:hAnsi="Verdana"/>
        </w:rPr>
        <w:t xml:space="preserve"> </w:t>
      </w:r>
      <w:r w:rsidR="005D3ACC" w:rsidRPr="005113C9">
        <w:rPr>
          <w:rFonts w:ascii="Verdana" w:hAnsi="Verdana"/>
        </w:rPr>
        <w:t>Znacząco podwyższona została również stawka opłaty za korzystanie ze środowiska</w:t>
      </w:r>
      <w:r w:rsidR="007852CA" w:rsidRPr="005113C9">
        <w:rPr>
          <w:rFonts w:ascii="Verdana" w:hAnsi="Verdana"/>
        </w:rPr>
        <w:t xml:space="preserve"> </w:t>
      </w:r>
      <w:r w:rsidR="005D3ACC" w:rsidRPr="005113C9">
        <w:rPr>
          <w:rFonts w:ascii="Verdana" w:hAnsi="Verdana"/>
        </w:rPr>
        <w:t>– za umieszczenie odpadów na składowisku (tzw. opłata marszałkowska)</w:t>
      </w:r>
      <w:r w:rsidR="005D5127" w:rsidRPr="005113C9">
        <w:rPr>
          <w:rFonts w:ascii="Verdana" w:hAnsi="Verdana"/>
        </w:rPr>
        <w:t>, której wysokość jest ustalana w drodze rozporządzenia Rady Ministrów i waloryzowana w drodze obwieszczenia Ministra Środowiska</w:t>
      </w:r>
      <w:r w:rsidR="005D3ACC" w:rsidRPr="005113C9">
        <w:rPr>
          <w:rFonts w:ascii="Verdana" w:hAnsi="Verdana"/>
        </w:rPr>
        <w:t xml:space="preserve">. </w:t>
      </w:r>
      <w:r w:rsidR="005D5127" w:rsidRPr="005113C9">
        <w:rPr>
          <w:rFonts w:ascii="Verdana" w:hAnsi="Verdana"/>
        </w:rPr>
        <w:t xml:space="preserve"> Wspomniana stawka wynosiła w roku 2018: 140 zł/Mg</w:t>
      </w:r>
      <w:r w:rsidRPr="005113C9">
        <w:rPr>
          <w:rFonts w:ascii="Verdana" w:hAnsi="Verdana"/>
        </w:rPr>
        <w:t xml:space="preserve"> (</w:t>
      </w:r>
      <w:r w:rsidRPr="005113C9">
        <w:rPr>
          <w:rFonts w:ascii="Verdana" w:hAnsi="Verdana"/>
          <w:i/>
        </w:rPr>
        <w:t>Mg-megagram; 1Mg=1 tona)</w:t>
      </w:r>
      <w:r w:rsidR="005D5127" w:rsidRPr="005113C9">
        <w:rPr>
          <w:rFonts w:ascii="Verdana" w:hAnsi="Verdana"/>
        </w:rPr>
        <w:t xml:space="preserve">, w roku 2019: 170zł/Mg, w roku 2020: 270zł/Mg, w roku: </w:t>
      </w:r>
      <w:r w:rsidR="000231FE">
        <w:rPr>
          <w:rFonts w:ascii="Verdana" w:hAnsi="Verdana"/>
        </w:rPr>
        <w:br/>
      </w:r>
      <w:r w:rsidR="005D5127" w:rsidRPr="005113C9">
        <w:rPr>
          <w:rFonts w:ascii="Verdana" w:hAnsi="Verdana"/>
        </w:rPr>
        <w:t>2021: 301,84zł/Mg, w roku 2022: 312,10zł/Mg. Stawka opłaty za korzystanie środowiska</w:t>
      </w:r>
      <w:r w:rsidR="00B7421E" w:rsidRPr="005113C9">
        <w:rPr>
          <w:rFonts w:ascii="Verdana" w:hAnsi="Verdana"/>
        </w:rPr>
        <w:t xml:space="preserve"> </w:t>
      </w:r>
      <w:r w:rsidR="005D5127" w:rsidRPr="005113C9">
        <w:rPr>
          <w:rFonts w:ascii="Verdana" w:hAnsi="Verdana"/>
        </w:rPr>
        <w:t>na rok 2023 ustalona została w wysokości 328,02zł/Mg.</w:t>
      </w:r>
      <w:r w:rsidR="00B7421E" w:rsidRPr="005113C9">
        <w:rPr>
          <w:rFonts w:ascii="Verdana" w:hAnsi="Verdana"/>
        </w:rPr>
        <w:t xml:space="preserve"> N</w:t>
      </w:r>
      <w:r w:rsidR="0077384F" w:rsidRPr="005113C9">
        <w:rPr>
          <w:rFonts w:ascii="Verdana" w:hAnsi="Verdana"/>
        </w:rPr>
        <w:t>ie bez znaczenia jest</w:t>
      </w:r>
      <w:r w:rsidR="00B7421E" w:rsidRPr="005113C9">
        <w:rPr>
          <w:rFonts w:ascii="Verdana" w:hAnsi="Verdana"/>
        </w:rPr>
        <w:t xml:space="preserve"> również istotny w</w:t>
      </w:r>
      <w:r w:rsidR="00EA5FD2" w:rsidRPr="005113C9">
        <w:rPr>
          <w:rFonts w:ascii="Verdana" w:hAnsi="Verdana"/>
        </w:rPr>
        <w:t>z</w:t>
      </w:r>
      <w:r w:rsidR="00B7421E" w:rsidRPr="005113C9">
        <w:rPr>
          <w:rFonts w:ascii="Verdana" w:hAnsi="Verdana"/>
        </w:rPr>
        <w:t>rost cen za tonę za gospodarowanie zmieszanych odpadów komunalnych w regionalnych instalacjach przetwarzania odpa</w:t>
      </w:r>
      <w:r w:rsidR="00EA5FD2" w:rsidRPr="005113C9">
        <w:rPr>
          <w:rFonts w:ascii="Verdana" w:hAnsi="Verdana"/>
        </w:rPr>
        <w:t>d</w:t>
      </w:r>
      <w:r w:rsidR="00B7421E" w:rsidRPr="005113C9">
        <w:rPr>
          <w:rFonts w:ascii="Verdana" w:hAnsi="Verdana"/>
        </w:rPr>
        <w:t>ów komunalnych (RIPOK), do któ</w:t>
      </w:r>
      <w:r w:rsidR="00EA5FD2" w:rsidRPr="005113C9">
        <w:rPr>
          <w:rFonts w:ascii="Verdana" w:hAnsi="Verdana"/>
        </w:rPr>
        <w:t>rych to instalacji firmy zobowią</w:t>
      </w:r>
      <w:r w:rsidR="00B7421E" w:rsidRPr="005113C9">
        <w:rPr>
          <w:rFonts w:ascii="Verdana" w:hAnsi="Verdana"/>
        </w:rPr>
        <w:t>zane s</w:t>
      </w:r>
      <w:r w:rsidR="0044031D" w:rsidRPr="005113C9">
        <w:rPr>
          <w:rFonts w:ascii="Verdana" w:hAnsi="Verdana"/>
        </w:rPr>
        <w:t>ą</w:t>
      </w:r>
      <w:r w:rsidR="00B7421E" w:rsidRPr="005113C9">
        <w:rPr>
          <w:rFonts w:ascii="Verdana" w:hAnsi="Verdana"/>
        </w:rPr>
        <w:t xml:space="preserve"> ustawowo dostarczyć zebrane odpowiednio odpady.</w:t>
      </w:r>
      <w:r w:rsidR="00C51259" w:rsidRPr="005113C9">
        <w:rPr>
          <w:rFonts w:ascii="Verdana" w:hAnsi="Verdana"/>
        </w:rPr>
        <w:t xml:space="preserve"> </w:t>
      </w:r>
      <w:r w:rsidR="000F47B8" w:rsidRPr="005113C9">
        <w:rPr>
          <w:rFonts w:ascii="Verdana" w:hAnsi="Verdana"/>
        </w:rPr>
        <w:t xml:space="preserve">Wzrost cen w RIPOK-ach obrazuje tabela nr 1, zawierająca informacje o cenach </w:t>
      </w:r>
      <w:r w:rsidR="000231FE">
        <w:rPr>
          <w:rFonts w:ascii="Verdana" w:hAnsi="Verdana"/>
        </w:rPr>
        <w:br/>
      </w:r>
      <w:r w:rsidR="000F47B8" w:rsidRPr="005113C9">
        <w:rPr>
          <w:rFonts w:ascii="Verdana" w:hAnsi="Verdana"/>
        </w:rPr>
        <w:t>w RIPOK-u w miejscowości Gać na terenie Dolnego Śląska.</w:t>
      </w:r>
    </w:p>
    <w:p w:rsidR="00686E1A" w:rsidRPr="005113C9" w:rsidRDefault="00686E1A" w:rsidP="005336EE">
      <w:pPr>
        <w:pStyle w:val="Akapitzlist"/>
        <w:tabs>
          <w:tab w:val="left" w:pos="567"/>
        </w:tabs>
        <w:spacing w:before="120" w:after="0" w:line="281" w:lineRule="auto"/>
        <w:ind w:left="0"/>
        <w:rPr>
          <w:rFonts w:ascii="Verdana" w:hAnsi="Verdana"/>
        </w:rPr>
      </w:pPr>
      <w:r w:rsidRPr="005113C9">
        <w:rPr>
          <w:rFonts w:ascii="Verdana" w:hAnsi="Verdana"/>
        </w:rPr>
        <w:t>Tabela nr 1 – wyrażone w PLN ceny w RIPOK-u/ za 1 Mg (1Mg=1 tona)</w:t>
      </w:r>
    </w:p>
    <w:tbl>
      <w:tblPr>
        <w:tblStyle w:val="Tabela-Siatka"/>
        <w:tblW w:w="0" w:type="auto"/>
        <w:tblLayout w:type="fixed"/>
        <w:tblLook w:val="04A0"/>
      </w:tblPr>
      <w:tblGrid>
        <w:gridCol w:w="1242"/>
        <w:gridCol w:w="813"/>
        <w:gridCol w:w="888"/>
        <w:gridCol w:w="993"/>
        <w:gridCol w:w="992"/>
        <w:gridCol w:w="992"/>
        <w:gridCol w:w="992"/>
        <w:gridCol w:w="1065"/>
        <w:gridCol w:w="964"/>
      </w:tblGrid>
      <w:tr w:rsidR="009D7955" w:rsidRPr="005113C9" w:rsidTr="00163281">
        <w:trPr>
          <w:tblHeader/>
        </w:trPr>
        <w:tc>
          <w:tcPr>
            <w:tcW w:w="124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Frakcja</w:t>
            </w:r>
          </w:p>
        </w:tc>
        <w:tc>
          <w:tcPr>
            <w:tcW w:w="813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888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styczeń </w:t>
            </w:r>
            <w:r w:rsidR="008F0E0F">
              <w:rPr>
                <w:rFonts w:ascii="Verdana" w:hAnsi="Verdana"/>
                <w:sz w:val="20"/>
                <w:szCs w:val="20"/>
              </w:rPr>
              <w:br/>
            </w:r>
            <w:r w:rsidRPr="008F0E0F"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kwiecień 2022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Lipiec 2022</w:t>
            </w:r>
          </w:p>
        </w:tc>
        <w:tc>
          <w:tcPr>
            <w:tcW w:w="1065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Październik 2022</w:t>
            </w:r>
          </w:p>
        </w:tc>
        <w:tc>
          <w:tcPr>
            <w:tcW w:w="964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Styczeń 2023</w:t>
            </w:r>
          </w:p>
        </w:tc>
      </w:tr>
      <w:tr w:rsidR="009D7955" w:rsidRPr="005113C9" w:rsidTr="00163281">
        <w:tc>
          <w:tcPr>
            <w:tcW w:w="124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Papier</w:t>
            </w:r>
          </w:p>
        </w:tc>
        <w:tc>
          <w:tcPr>
            <w:tcW w:w="813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23,76</w:t>
            </w:r>
          </w:p>
        </w:tc>
        <w:tc>
          <w:tcPr>
            <w:tcW w:w="888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43,20</w:t>
            </w:r>
          </w:p>
        </w:tc>
        <w:tc>
          <w:tcPr>
            <w:tcW w:w="993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194,40 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205,20 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540,00 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556,20 </w:t>
            </w:r>
          </w:p>
        </w:tc>
        <w:tc>
          <w:tcPr>
            <w:tcW w:w="1065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567,00 </w:t>
            </w:r>
          </w:p>
        </w:tc>
        <w:tc>
          <w:tcPr>
            <w:tcW w:w="964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601,56 </w:t>
            </w:r>
          </w:p>
        </w:tc>
      </w:tr>
      <w:tr w:rsidR="009D7955" w:rsidRPr="005113C9" w:rsidTr="00163281">
        <w:tc>
          <w:tcPr>
            <w:tcW w:w="124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Tworzywa</w:t>
            </w:r>
          </w:p>
        </w:tc>
        <w:tc>
          <w:tcPr>
            <w:tcW w:w="813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47,52</w:t>
            </w:r>
          </w:p>
        </w:tc>
        <w:tc>
          <w:tcPr>
            <w:tcW w:w="888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162,00 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162,00 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594,00 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610,20 </w:t>
            </w:r>
          </w:p>
        </w:tc>
        <w:tc>
          <w:tcPr>
            <w:tcW w:w="1065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621,00 </w:t>
            </w:r>
          </w:p>
        </w:tc>
        <w:tc>
          <w:tcPr>
            <w:tcW w:w="964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658,80 </w:t>
            </w:r>
          </w:p>
        </w:tc>
      </w:tr>
      <w:tr w:rsidR="009D7955" w:rsidRPr="005113C9" w:rsidTr="00163281">
        <w:tc>
          <w:tcPr>
            <w:tcW w:w="124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Szkło</w:t>
            </w:r>
          </w:p>
        </w:tc>
        <w:tc>
          <w:tcPr>
            <w:tcW w:w="813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23,76</w:t>
            </w:r>
          </w:p>
        </w:tc>
        <w:tc>
          <w:tcPr>
            <w:tcW w:w="888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162,00 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172,80 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421,20 </w:t>
            </w:r>
          </w:p>
        </w:tc>
        <w:tc>
          <w:tcPr>
            <w:tcW w:w="992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432,00 </w:t>
            </w:r>
          </w:p>
        </w:tc>
        <w:tc>
          <w:tcPr>
            <w:tcW w:w="1065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621,00 </w:t>
            </w:r>
          </w:p>
        </w:tc>
        <w:tc>
          <w:tcPr>
            <w:tcW w:w="964" w:type="dxa"/>
          </w:tcPr>
          <w:p w:rsidR="009D7955" w:rsidRPr="008F0E0F" w:rsidRDefault="009D7955" w:rsidP="00686E1A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658,80 </w:t>
            </w:r>
          </w:p>
        </w:tc>
      </w:tr>
      <w:tr w:rsidR="005C0BF4" w:rsidRPr="005113C9" w:rsidTr="00501356">
        <w:tc>
          <w:tcPr>
            <w:tcW w:w="1242" w:type="dxa"/>
          </w:tcPr>
          <w:p w:rsidR="005C0BF4" w:rsidRPr="008F0E0F" w:rsidRDefault="005C0BF4" w:rsidP="00501356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Bio</w:t>
            </w:r>
          </w:p>
        </w:tc>
        <w:tc>
          <w:tcPr>
            <w:tcW w:w="813" w:type="dxa"/>
          </w:tcPr>
          <w:p w:rsidR="005C0BF4" w:rsidRPr="008F0E0F" w:rsidRDefault="005C0BF4" w:rsidP="00501356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102,60</w:t>
            </w:r>
          </w:p>
        </w:tc>
        <w:tc>
          <w:tcPr>
            <w:tcW w:w="888" w:type="dxa"/>
          </w:tcPr>
          <w:p w:rsidR="005C0BF4" w:rsidRPr="008F0E0F" w:rsidRDefault="005C0BF4" w:rsidP="00501356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>151,20</w:t>
            </w:r>
          </w:p>
        </w:tc>
        <w:tc>
          <w:tcPr>
            <w:tcW w:w="993" w:type="dxa"/>
          </w:tcPr>
          <w:p w:rsidR="005C0BF4" w:rsidRPr="008F0E0F" w:rsidRDefault="005C0BF4" w:rsidP="00501356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194,40 </w:t>
            </w:r>
          </w:p>
        </w:tc>
        <w:tc>
          <w:tcPr>
            <w:tcW w:w="992" w:type="dxa"/>
          </w:tcPr>
          <w:p w:rsidR="005C0BF4" w:rsidRPr="008F0E0F" w:rsidRDefault="005C0BF4" w:rsidP="00501356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205,20 </w:t>
            </w:r>
          </w:p>
        </w:tc>
        <w:tc>
          <w:tcPr>
            <w:tcW w:w="992" w:type="dxa"/>
          </w:tcPr>
          <w:p w:rsidR="005C0BF4" w:rsidRPr="008F0E0F" w:rsidRDefault="005C0BF4" w:rsidP="00501356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205,20 </w:t>
            </w:r>
          </w:p>
        </w:tc>
        <w:tc>
          <w:tcPr>
            <w:tcW w:w="992" w:type="dxa"/>
          </w:tcPr>
          <w:p w:rsidR="005C0BF4" w:rsidRPr="008F0E0F" w:rsidRDefault="005C0BF4" w:rsidP="00501356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210,60 </w:t>
            </w:r>
          </w:p>
        </w:tc>
        <w:tc>
          <w:tcPr>
            <w:tcW w:w="1065" w:type="dxa"/>
          </w:tcPr>
          <w:p w:rsidR="005C0BF4" w:rsidRPr="008F0E0F" w:rsidRDefault="005C0BF4" w:rsidP="00501356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214,92 </w:t>
            </w:r>
          </w:p>
        </w:tc>
        <w:tc>
          <w:tcPr>
            <w:tcW w:w="964" w:type="dxa"/>
          </w:tcPr>
          <w:p w:rsidR="005C0BF4" w:rsidRPr="008F0E0F" w:rsidRDefault="005C0BF4" w:rsidP="00501356">
            <w:pPr>
              <w:rPr>
                <w:rFonts w:ascii="Verdana" w:hAnsi="Verdana"/>
                <w:sz w:val="20"/>
                <w:szCs w:val="20"/>
              </w:rPr>
            </w:pPr>
            <w:r w:rsidRPr="008F0E0F">
              <w:rPr>
                <w:rFonts w:ascii="Verdana" w:hAnsi="Verdana"/>
                <w:sz w:val="20"/>
                <w:szCs w:val="20"/>
              </w:rPr>
              <w:t xml:space="preserve">227,88 </w:t>
            </w:r>
          </w:p>
        </w:tc>
      </w:tr>
      <w:tr w:rsidR="009D7955" w:rsidRPr="005113C9" w:rsidTr="00163281">
        <w:tc>
          <w:tcPr>
            <w:tcW w:w="1242" w:type="dxa"/>
          </w:tcPr>
          <w:p w:rsidR="009D7955" w:rsidRPr="008F0E0F" w:rsidRDefault="005C0BF4" w:rsidP="00686E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Zmieszane</w:t>
            </w:r>
          </w:p>
        </w:tc>
        <w:tc>
          <w:tcPr>
            <w:tcW w:w="813" w:type="dxa"/>
          </w:tcPr>
          <w:p w:rsidR="009D7955" w:rsidRPr="008F0E0F" w:rsidRDefault="005C0BF4" w:rsidP="00686E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433,08</w:t>
            </w:r>
          </w:p>
        </w:tc>
        <w:tc>
          <w:tcPr>
            <w:tcW w:w="888" w:type="dxa"/>
          </w:tcPr>
          <w:p w:rsidR="009D7955" w:rsidRPr="008F0E0F" w:rsidRDefault="005C0BF4" w:rsidP="00686E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519,48</w:t>
            </w:r>
          </w:p>
        </w:tc>
        <w:tc>
          <w:tcPr>
            <w:tcW w:w="993" w:type="dxa"/>
          </w:tcPr>
          <w:p w:rsidR="009D7955" w:rsidRPr="008F0E0F" w:rsidRDefault="005C0BF4" w:rsidP="00686E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562,68</w:t>
            </w:r>
            <w:r w:rsidR="009D7955" w:rsidRPr="008F0E0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D7955" w:rsidRPr="008F0E0F" w:rsidRDefault="005C0BF4" w:rsidP="00686E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562,68</w:t>
            </w:r>
            <w:r w:rsidR="009D7955" w:rsidRPr="008F0E0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D7955" w:rsidRPr="008F0E0F" w:rsidRDefault="005C0BF4" w:rsidP="00686E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594,00</w:t>
            </w:r>
            <w:r w:rsidR="009D7955" w:rsidRPr="008F0E0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D7955" w:rsidRPr="008F0E0F" w:rsidRDefault="005C0BF4" w:rsidP="00686E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604,80</w:t>
            </w:r>
            <w:r w:rsidR="009D7955" w:rsidRPr="008F0E0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</w:tcPr>
          <w:p w:rsidR="009D7955" w:rsidRPr="008F0E0F" w:rsidRDefault="005C0BF4" w:rsidP="00686E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615,60</w:t>
            </w:r>
          </w:p>
        </w:tc>
        <w:tc>
          <w:tcPr>
            <w:tcW w:w="964" w:type="dxa"/>
          </w:tcPr>
          <w:p w:rsidR="009D7955" w:rsidRPr="008F0E0F" w:rsidRDefault="005C0BF4" w:rsidP="00686E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653,40</w:t>
            </w:r>
          </w:p>
        </w:tc>
      </w:tr>
    </w:tbl>
    <w:p w:rsidR="00C95E91" w:rsidRPr="005113C9" w:rsidRDefault="007A4624" w:rsidP="005F63D7">
      <w:pPr>
        <w:spacing w:before="120" w:after="120" w:line="288" w:lineRule="auto"/>
        <w:outlineLvl w:val="4"/>
        <w:rPr>
          <w:rFonts w:ascii="Verdana" w:hAnsi="Verdana"/>
        </w:rPr>
      </w:pPr>
      <w:r w:rsidRPr="005113C9">
        <w:rPr>
          <w:rFonts w:ascii="Verdana" w:hAnsi="Verdana"/>
        </w:rPr>
        <w:t>Zgodnie z art. 6k ust. 2 ustawy z dnia 13 września 1996 r. o utrzymaniu czystości i porządku w gminach</w:t>
      </w:r>
      <w:r w:rsidRPr="005113C9">
        <w:rPr>
          <w:rFonts w:ascii="Verdana" w:hAnsi="Verdana"/>
          <w:color w:val="000000"/>
        </w:rPr>
        <w:t xml:space="preserve"> </w:t>
      </w:r>
      <w:r w:rsidRPr="005113C9">
        <w:rPr>
          <w:rFonts w:ascii="Verdana" w:hAnsi="Verdana"/>
        </w:rPr>
        <w:t xml:space="preserve">Rada gminy określając stawki opłaty zagospodarowanie odpadami komunalnymi bierze </w:t>
      </w:r>
      <w:r w:rsidR="00FD0A49" w:rsidRPr="005113C9">
        <w:rPr>
          <w:rFonts w:ascii="Verdana" w:hAnsi="Verdana"/>
        </w:rPr>
        <w:t>p</w:t>
      </w:r>
      <w:r w:rsidRPr="005113C9">
        <w:rPr>
          <w:rFonts w:ascii="Verdana" w:hAnsi="Verdana"/>
        </w:rPr>
        <w:t>od uwagę liczb</w:t>
      </w:r>
      <w:r w:rsidR="00FD0A49" w:rsidRPr="005113C9">
        <w:rPr>
          <w:rFonts w:ascii="Verdana" w:hAnsi="Verdana"/>
        </w:rPr>
        <w:t>ę</w:t>
      </w:r>
      <w:r w:rsidRPr="005113C9">
        <w:rPr>
          <w:rFonts w:ascii="Verdana" w:hAnsi="Verdana"/>
        </w:rPr>
        <w:t xml:space="preserve"> mieszkańców zamieszkujących daną gminę, ilości wytwarzanych na terenie </w:t>
      </w:r>
      <w:r w:rsidRPr="005113C9">
        <w:rPr>
          <w:rFonts w:ascii="Verdana" w:hAnsi="Verdana"/>
        </w:rPr>
        <w:lastRenderedPageBreak/>
        <w:t>gminy odpadów komunalnych oraz kosztów funkcjonowania systemu gospodarowania odpadami komunalnymi.</w:t>
      </w:r>
    </w:p>
    <w:p w:rsidR="00C82A25" w:rsidRPr="005113C9" w:rsidRDefault="007A4624" w:rsidP="005336EE">
      <w:pPr>
        <w:pStyle w:val="Akapitzlist"/>
        <w:tabs>
          <w:tab w:val="left" w:pos="567"/>
        </w:tabs>
        <w:spacing w:after="0" w:line="288" w:lineRule="auto"/>
        <w:ind w:left="0"/>
        <w:rPr>
          <w:rFonts w:ascii="Verdana" w:hAnsi="Verdana"/>
        </w:rPr>
      </w:pPr>
      <w:r w:rsidRPr="005113C9">
        <w:rPr>
          <w:rFonts w:ascii="Verdana" w:hAnsi="Verdana"/>
        </w:rPr>
        <w:t>N</w:t>
      </w:r>
      <w:r w:rsidR="00393E6B" w:rsidRPr="005113C9">
        <w:rPr>
          <w:rFonts w:ascii="Verdana" w:hAnsi="Verdana"/>
        </w:rPr>
        <w:t>a terenie Gminy Wrocław odnotowuje się zwiększenie ilości wytwarzanych odpadów komunalnych. Poniżej przedstawion</w:t>
      </w:r>
      <w:r w:rsidR="00652D4F" w:rsidRPr="005113C9">
        <w:rPr>
          <w:rFonts w:ascii="Verdana" w:hAnsi="Verdana"/>
        </w:rPr>
        <w:t>e</w:t>
      </w:r>
      <w:r w:rsidR="00393E6B" w:rsidRPr="005113C9">
        <w:rPr>
          <w:rFonts w:ascii="Verdana" w:hAnsi="Verdana"/>
        </w:rPr>
        <w:t xml:space="preserve"> tabel</w:t>
      </w:r>
      <w:r w:rsidR="000F47B8" w:rsidRPr="005113C9">
        <w:rPr>
          <w:rFonts w:ascii="Verdana" w:hAnsi="Verdana"/>
        </w:rPr>
        <w:t>e (2 i 3</w:t>
      </w:r>
      <w:r w:rsidR="00652D4F" w:rsidRPr="005113C9">
        <w:rPr>
          <w:rFonts w:ascii="Verdana" w:hAnsi="Verdana"/>
        </w:rPr>
        <w:t>)</w:t>
      </w:r>
      <w:r w:rsidR="00393E6B" w:rsidRPr="005113C9">
        <w:rPr>
          <w:rFonts w:ascii="Verdana" w:hAnsi="Verdana"/>
        </w:rPr>
        <w:t xml:space="preserve"> obrazuj</w:t>
      </w:r>
      <w:r w:rsidR="00652D4F" w:rsidRPr="005113C9">
        <w:rPr>
          <w:rFonts w:ascii="Verdana" w:hAnsi="Verdana"/>
        </w:rPr>
        <w:t>ą</w:t>
      </w:r>
      <w:r w:rsidR="005C4640" w:rsidRPr="005113C9">
        <w:rPr>
          <w:rFonts w:ascii="Verdana" w:hAnsi="Verdana"/>
        </w:rPr>
        <w:t xml:space="preserve"> </w:t>
      </w:r>
      <w:r w:rsidR="00393E6B" w:rsidRPr="005113C9">
        <w:rPr>
          <w:rFonts w:ascii="Verdana" w:hAnsi="Verdana"/>
        </w:rPr>
        <w:t xml:space="preserve">rosnącą tendencję w sferze wytwarzania odpadów we </w:t>
      </w:r>
      <w:r w:rsidR="005C4640" w:rsidRPr="005113C9">
        <w:rPr>
          <w:rFonts w:ascii="Verdana" w:hAnsi="Verdana"/>
        </w:rPr>
        <w:t>W</w:t>
      </w:r>
      <w:r w:rsidR="00393E6B" w:rsidRPr="005113C9">
        <w:rPr>
          <w:rFonts w:ascii="Verdana" w:hAnsi="Verdana"/>
        </w:rPr>
        <w:t>rocławiu oraz rosnących cen za ich odbiór, transport i zagospodarowanie.</w:t>
      </w:r>
    </w:p>
    <w:p w:rsidR="008D1B2F" w:rsidRPr="005113C9" w:rsidRDefault="005C4640" w:rsidP="000231FE">
      <w:pPr>
        <w:pStyle w:val="Akapitzlist"/>
        <w:tabs>
          <w:tab w:val="left" w:pos="567"/>
        </w:tabs>
        <w:spacing w:before="120" w:after="120" w:line="281" w:lineRule="auto"/>
        <w:ind w:left="0"/>
        <w:contextualSpacing w:val="0"/>
        <w:rPr>
          <w:rFonts w:ascii="Verdana" w:hAnsi="Verdana"/>
        </w:rPr>
      </w:pPr>
      <w:r w:rsidRPr="005113C9">
        <w:rPr>
          <w:rFonts w:ascii="Verdana" w:hAnsi="Verdana"/>
        </w:rPr>
        <w:t xml:space="preserve">Tabela </w:t>
      </w:r>
      <w:r w:rsidR="000F47B8" w:rsidRPr="005113C9">
        <w:rPr>
          <w:rFonts w:ascii="Verdana" w:hAnsi="Verdana"/>
        </w:rPr>
        <w:t>2</w:t>
      </w:r>
      <w:r w:rsidR="00652D4F" w:rsidRPr="005113C9">
        <w:rPr>
          <w:rFonts w:ascii="Verdana" w:hAnsi="Verdana"/>
        </w:rPr>
        <w:t xml:space="preserve"> przedstawia ilość</w:t>
      </w:r>
      <w:r w:rsidRPr="005113C9">
        <w:rPr>
          <w:rFonts w:ascii="Verdana" w:hAnsi="Verdana"/>
        </w:rPr>
        <w:t xml:space="preserve"> odbiorów w poszczególnych </w:t>
      </w:r>
      <w:r w:rsidR="00652D4F" w:rsidRPr="005113C9">
        <w:rPr>
          <w:rFonts w:ascii="Verdana" w:hAnsi="Verdana"/>
        </w:rPr>
        <w:t>okresach z podziałem na frakcje, wartości wyrażone są w Mg (Mg- megagram; 1MG=1 tona)</w:t>
      </w:r>
      <w:r w:rsidR="004849E5" w:rsidRPr="005113C9">
        <w:rPr>
          <w:rFonts w:ascii="Verdana" w:hAnsi="Verdana"/>
        </w:rPr>
        <w:t xml:space="preserve"> </w:t>
      </w:r>
    </w:p>
    <w:p w:rsidR="009A0DBF" w:rsidRPr="0042529C" w:rsidRDefault="009A0DBF" w:rsidP="009A0DBF">
      <w:pPr>
        <w:pStyle w:val="Akapitzlist"/>
        <w:numPr>
          <w:ilvl w:val="0"/>
          <w:numId w:val="39"/>
        </w:numPr>
        <w:tabs>
          <w:tab w:val="left" w:pos="567"/>
        </w:tabs>
        <w:spacing w:before="120" w:after="0" w:line="288" w:lineRule="auto"/>
        <w:rPr>
          <w:rFonts w:ascii="Verdana" w:hAnsi="Verdana"/>
        </w:rPr>
      </w:pPr>
      <w:r w:rsidRPr="0042529C">
        <w:rPr>
          <w:rFonts w:ascii="Verdana" w:hAnsi="Verdana"/>
        </w:rPr>
        <w:t>Odpady odebrane zgodnie z fakturami</w:t>
      </w:r>
      <w:r w:rsidR="00351220" w:rsidRPr="0042529C">
        <w:rPr>
          <w:rFonts w:ascii="Verdana" w:hAnsi="Verdana"/>
        </w:rPr>
        <w:t>.</w:t>
      </w:r>
    </w:p>
    <w:tbl>
      <w:tblPr>
        <w:tblStyle w:val="Tabela-Siatka"/>
        <w:tblW w:w="0" w:type="auto"/>
        <w:tblLook w:val="04A0"/>
      </w:tblPr>
      <w:tblGrid>
        <w:gridCol w:w="1773"/>
        <w:gridCol w:w="1773"/>
        <w:gridCol w:w="1773"/>
        <w:gridCol w:w="1773"/>
        <w:gridCol w:w="1773"/>
      </w:tblGrid>
      <w:tr w:rsidR="00351220" w:rsidRPr="0042529C" w:rsidTr="003B40CF">
        <w:trPr>
          <w:tblHeader/>
        </w:trPr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frakcja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2018-2019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 xml:space="preserve"> 2019-2020 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2020-2021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2021-2022</w:t>
            </w:r>
          </w:p>
        </w:tc>
      </w:tr>
      <w:tr w:rsidR="00351220" w:rsidRPr="0042529C" w:rsidTr="00351220"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zmieszane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204 148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193 165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196 963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206 567</w:t>
            </w:r>
          </w:p>
        </w:tc>
      </w:tr>
      <w:tr w:rsidR="00351220" w:rsidRPr="0042529C" w:rsidTr="00351220"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tworzywa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25 696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24 127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24 618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25 724</w:t>
            </w:r>
          </w:p>
        </w:tc>
      </w:tr>
      <w:tr w:rsidR="00351220" w:rsidRPr="0042529C" w:rsidTr="00351220"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papier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23 649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24 691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26 065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28 332</w:t>
            </w:r>
          </w:p>
        </w:tc>
      </w:tr>
      <w:tr w:rsidR="00351220" w:rsidRPr="0042529C" w:rsidTr="00351220"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szkło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15 513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17 182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19 730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21 425</w:t>
            </w:r>
          </w:p>
        </w:tc>
      </w:tr>
      <w:tr w:rsidR="00351220" w:rsidRPr="0042529C" w:rsidTr="00351220"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bioodpady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23 208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26 719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37 814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38 034</w:t>
            </w:r>
          </w:p>
        </w:tc>
      </w:tr>
      <w:tr w:rsidR="00351220" w:rsidRPr="0042529C" w:rsidTr="00351220"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wielkogabaryty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14 448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16 369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16 007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13 973</w:t>
            </w:r>
          </w:p>
        </w:tc>
      </w:tr>
      <w:tr w:rsidR="00351220" w:rsidRPr="0042529C" w:rsidTr="00351220"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Suma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306 663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302 253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321 195</w:t>
            </w:r>
          </w:p>
        </w:tc>
        <w:tc>
          <w:tcPr>
            <w:tcW w:w="1773" w:type="dxa"/>
          </w:tcPr>
          <w:p w:rsidR="00351220" w:rsidRPr="0042529C" w:rsidRDefault="00351220" w:rsidP="00351220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334 055</w:t>
            </w:r>
          </w:p>
        </w:tc>
      </w:tr>
    </w:tbl>
    <w:p w:rsidR="009A0DBF" w:rsidRPr="0042529C" w:rsidRDefault="00351220" w:rsidP="00351220">
      <w:pPr>
        <w:pStyle w:val="Akapitzlist"/>
        <w:numPr>
          <w:ilvl w:val="0"/>
          <w:numId w:val="39"/>
        </w:numPr>
        <w:tabs>
          <w:tab w:val="left" w:pos="567"/>
        </w:tabs>
        <w:spacing w:before="120" w:after="0" w:line="288" w:lineRule="auto"/>
        <w:rPr>
          <w:rFonts w:ascii="Verdana" w:hAnsi="Verdana"/>
        </w:rPr>
      </w:pPr>
      <w:r w:rsidRPr="0042529C">
        <w:rPr>
          <w:rFonts w:ascii="Verdana" w:hAnsi="Verdana"/>
        </w:rPr>
        <w:t>Przewidywana ilość odpadów.</w:t>
      </w:r>
    </w:p>
    <w:tbl>
      <w:tblPr>
        <w:tblStyle w:val="Tabela-Siatka"/>
        <w:tblW w:w="0" w:type="auto"/>
        <w:tblLook w:val="04A0"/>
      </w:tblPr>
      <w:tblGrid>
        <w:gridCol w:w="2216"/>
        <w:gridCol w:w="2216"/>
        <w:gridCol w:w="2216"/>
        <w:gridCol w:w="2217"/>
      </w:tblGrid>
      <w:tr w:rsidR="003B40CF" w:rsidRPr="005113C9" w:rsidTr="003B40CF">
        <w:trPr>
          <w:tblHeader/>
        </w:trPr>
        <w:tc>
          <w:tcPr>
            <w:tcW w:w="2216" w:type="dxa"/>
          </w:tcPr>
          <w:p w:rsidR="003B40CF" w:rsidRPr="0042529C" w:rsidRDefault="003B40CF" w:rsidP="003B40CF">
            <w:pPr>
              <w:tabs>
                <w:tab w:val="left" w:pos="567"/>
              </w:tabs>
              <w:spacing w:before="120" w:after="0" w:line="288" w:lineRule="auto"/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Frakcja</w:t>
            </w:r>
          </w:p>
        </w:tc>
        <w:tc>
          <w:tcPr>
            <w:tcW w:w="2216" w:type="dxa"/>
          </w:tcPr>
          <w:p w:rsidR="003B40CF" w:rsidRPr="0042529C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2022-2023</w:t>
            </w:r>
          </w:p>
        </w:tc>
        <w:tc>
          <w:tcPr>
            <w:tcW w:w="2216" w:type="dxa"/>
          </w:tcPr>
          <w:p w:rsidR="003B40CF" w:rsidRPr="0042529C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2023-2024</w:t>
            </w:r>
          </w:p>
        </w:tc>
        <w:tc>
          <w:tcPr>
            <w:tcW w:w="2217" w:type="dxa"/>
          </w:tcPr>
          <w:p w:rsidR="003B40CF" w:rsidRPr="0042529C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42529C">
              <w:rPr>
                <w:rFonts w:ascii="Verdana" w:hAnsi="Verdana"/>
                <w:sz w:val="20"/>
                <w:szCs w:val="20"/>
              </w:rPr>
              <w:t>2024-2025</w:t>
            </w:r>
          </w:p>
        </w:tc>
      </w:tr>
      <w:tr w:rsidR="003B40CF" w:rsidRPr="005113C9" w:rsidTr="003B40CF"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zmieszane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204 265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207 563</w:t>
            </w:r>
          </w:p>
        </w:tc>
        <w:tc>
          <w:tcPr>
            <w:tcW w:w="2217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210 153</w:t>
            </w:r>
          </w:p>
        </w:tc>
      </w:tr>
      <w:tr w:rsidR="003B40CF" w:rsidRPr="005113C9" w:rsidTr="003B40CF"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tworzywa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25 648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25 993</w:t>
            </w:r>
          </w:p>
        </w:tc>
        <w:tc>
          <w:tcPr>
            <w:tcW w:w="2217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26 384</w:t>
            </w:r>
          </w:p>
        </w:tc>
      </w:tr>
      <w:tr w:rsidR="003B40CF" w:rsidRPr="005113C9" w:rsidTr="003B40CF"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papier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27 630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27 858</w:t>
            </w:r>
          </w:p>
        </w:tc>
        <w:tc>
          <w:tcPr>
            <w:tcW w:w="2217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28 029</w:t>
            </w:r>
          </w:p>
        </w:tc>
      </w:tr>
      <w:tr w:rsidR="003B40CF" w:rsidRPr="005113C9" w:rsidTr="003B40CF"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szkło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21 210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21 741</w:t>
            </w:r>
          </w:p>
        </w:tc>
        <w:tc>
          <w:tcPr>
            <w:tcW w:w="2217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22 287</w:t>
            </w:r>
          </w:p>
        </w:tc>
      </w:tr>
      <w:tr w:rsidR="003B40CF" w:rsidRPr="005113C9" w:rsidTr="003B40CF"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bioodpady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39 572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40 865</w:t>
            </w:r>
          </w:p>
        </w:tc>
        <w:tc>
          <w:tcPr>
            <w:tcW w:w="2217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42 204</w:t>
            </w:r>
          </w:p>
        </w:tc>
      </w:tr>
      <w:tr w:rsidR="003B40CF" w:rsidRPr="005113C9" w:rsidTr="003B40CF"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wielkogabaryty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6 145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5 258</w:t>
            </w:r>
          </w:p>
        </w:tc>
        <w:tc>
          <w:tcPr>
            <w:tcW w:w="2217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5 258</w:t>
            </w:r>
          </w:p>
        </w:tc>
      </w:tr>
      <w:tr w:rsidR="003B40CF" w:rsidRPr="005113C9" w:rsidTr="003B40CF"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Suma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324 469</w:t>
            </w:r>
          </w:p>
        </w:tc>
        <w:tc>
          <w:tcPr>
            <w:tcW w:w="2216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329 278</w:t>
            </w:r>
          </w:p>
        </w:tc>
        <w:tc>
          <w:tcPr>
            <w:tcW w:w="2217" w:type="dxa"/>
          </w:tcPr>
          <w:p w:rsidR="003B40CF" w:rsidRPr="000231FE" w:rsidRDefault="003B40CF" w:rsidP="003B40CF">
            <w:pPr>
              <w:rPr>
                <w:rFonts w:ascii="Verdana" w:hAnsi="Verdana"/>
                <w:sz w:val="20"/>
                <w:szCs w:val="20"/>
              </w:rPr>
            </w:pPr>
            <w:r w:rsidRPr="000231FE">
              <w:rPr>
                <w:rFonts w:ascii="Verdana" w:hAnsi="Verdana"/>
                <w:sz w:val="20"/>
                <w:szCs w:val="20"/>
              </w:rPr>
              <w:t>334 315</w:t>
            </w:r>
          </w:p>
        </w:tc>
      </w:tr>
    </w:tbl>
    <w:p w:rsidR="005D3ACC" w:rsidRPr="005113C9" w:rsidRDefault="005C4640" w:rsidP="00764443">
      <w:pPr>
        <w:pStyle w:val="Akapitzlist"/>
        <w:tabs>
          <w:tab w:val="left" w:pos="567"/>
        </w:tabs>
        <w:spacing w:before="120" w:after="120" w:line="288" w:lineRule="auto"/>
        <w:ind w:left="0"/>
        <w:contextualSpacing w:val="0"/>
        <w:rPr>
          <w:rFonts w:ascii="Verdana" w:hAnsi="Verdana"/>
        </w:rPr>
      </w:pPr>
      <w:r w:rsidRPr="005113C9">
        <w:rPr>
          <w:rFonts w:ascii="Verdana" w:hAnsi="Verdana"/>
        </w:rPr>
        <w:t xml:space="preserve">Wskazuje się że w latach 2021 – 2022 nastąpił jednorazowy, duży wzrost w sferze wytwarzania odpadów na terenie Wrocławia spowodowany </w:t>
      </w:r>
      <w:r w:rsidR="00652D4F" w:rsidRPr="005113C9">
        <w:rPr>
          <w:rFonts w:ascii="Verdana" w:hAnsi="Verdana"/>
        </w:rPr>
        <w:t xml:space="preserve">zwiększoną liczbą osób przebywających we Wrocławiu, w tym także </w:t>
      </w:r>
      <w:r w:rsidRPr="005113C9">
        <w:rPr>
          <w:rFonts w:ascii="Verdana" w:hAnsi="Verdana"/>
        </w:rPr>
        <w:t>konfliktem zbrojnym na</w:t>
      </w:r>
      <w:r w:rsidR="00652D4F" w:rsidRPr="005113C9">
        <w:rPr>
          <w:rFonts w:ascii="Verdana" w:hAnsi="Verdana"/>
        </w:rPr>
        <w:t xml:space="preserve"> Ukrainie i napływem uchodźców </w:t>
      </w:r>
      <w:r w:rsidRPr="005113C9">
        <w:rPr>
          <w:rFonts w:ascii="Verdana" w:hAnsi="Verdana"/>
        </w:rPr>
        <w:t>z tamtejszych terenów.</w:t>
      </w:r>
    </w:p>
    <w:p w:rsidR="001307B5" w:rsidRPr="005113C9" w:rsidRDefault="007A4624" w:rsidP="00476F8E">
      <w:pPr>
        <w:pStyle w:val="Akapitzlist"/>
        <w:tabs>
          <w:tab w:val="left" w:pos="567"/>
        </w:tabs>
        <w:spacing w:before="120" w:after="120" w:line="288" w:lineRule="auto"/>
        <w:ind w:left="0"/>
        <w:contextualSpacing w:val="0"/>
        <w:rPr>
          <w:rFonts w:ascii="Verdana" w:hAnsi="Verdana"/>
        </w:rPr>
      </w:pPr>
      <w:r w:rsidRPr="005113C9">
        <w:rPr>
          <w:rFonts w:ascii="Verdana" w:hAnsi="Verdana"/>
        </w:rPr>
        <w:t>Zgodnie z art. 6r us</w:t>
      </w:r>
      <w:r w:rsidR="00EA5FD2" w:rsidRPr="005113C9">
        <w:rPr>
          <w:rFonts w:ascii="Verdana" w:hAnsi="Verdana"/>
        </w:rPr>
        <w:t>t. 2 ustawy o utrzymaniu czystoś</w:t>
      </w:r>
      <w:r w:rsidRPr="005113C9">
        <w:rPr>
          <w:rFonts w:ascii="Verdana" w:hAnsi="Verdana"/>
        </w:rPr>
        <w:t>ci i porządku w gminach wpływy z opłaty</w:t>
      </w:r>
      <w:r w:rsidR="004F387A" w:rsidRPr="005113C9">
        <w:rPr>
          <w:rFonts w:ascii="Verdana" w:hAnsi="Verdana"/>
        </w:rPr>
        <w:t xml:space="preserve"> </w:t>
      </w:r>
      <w:r w:rsidRPr="005113C9">
        <w:rPr>
          <w:rFonts w:ascii="Verdana" w:hAnsi="Verdana"/>
        </w:rPr>
        <w:t>za gospodarowanie odpadami komunalnymi winny pokrywać koszty funkcjonowania systemu, na które składają się koszty:</w:t>
      </w:r>
    </w:p>
    <w:p w:rsidR="007A4624" w:rsidRPr="005113C9" w:rsidRDefault="007A4624" w:rsidP="002C01FC">
      <w:pPr>
        <w:pStyle w:val="Akapitzlist"/>
        <w:numPr>
          <w:ilvl w:val="0"/>
          <w:numId w:val="37"/>
        </w:numPr>
        <w:spacing w:after="0" w:line="288" w:lineRule="auto"/>
        <w:ind w:left="284" w:hanging="284"/>
        <w:rPr>
          <w:rFonts w:ascii="Verdana" w:hAnsi="Verdana"/>
        </w:rPr>
      </w:pPr>
      <w:r w:rsidRPr="005113C9">
        <w:rPr>
          <w:rFonts w:ascii="Verdana" w:hAnsi="Verdana"/>
        </w:rPr>
        <w:t>odbierania, transportu, zbierania, odzysku i unieszkodliwiania odpadów komunalnych;</w:t>
      </w:r>
    </w:p>
    <w:p w:rsidR="007A4624" w:rsidRPr="005113C9" w:rsidRDefault="007A4624" w:rsidP="002C01FC">
      <w:pPr>
        <w:pStyle w:val="Akapitzlist"/>
        <w:numPr>
          <w:ilvl w:val="0"/>
          <w:numId w:val="37"/>
        </w:numPr>
        <w:spacing w:after="0" w:line="288" w:lineRule="auto"/>
        <w:ind w:left="284" w:hanging="284"/>
        <w:rPr>
          <w:rFonts w:ascii="Verdana" w:hAnsi="Verdana"/>
        </w:rPr>
      </w:pPr>
      <w:r w:rsidRPr="005113C9">
        <w:rPr>
          <w:rFonts w:ascii="Verdana" w:hAnsi="Verdana"/>
        </w:rPr>
        <w:lastRenderedPageBreak/>
        <w:t>tworzenia i utrzymania punktów selektywnego zbierania odpadów komunalnych;</w:t>
      </w:r>
    </w:p>
    <w:p w:rsidR="007A4624" w:rsidRPr="005113C9" w:rsidRDefault="007A4624" w:rsidP="002C01FC">
      <w:pPr>
        <w:pStyle w:val="Akapitzlist"/>
        <w:numPr>
          <w:ilvl w:val="0"/>
          <w:numId w:val="37"/>
        </w:numPr>
        <w:spacing w:after="0" w:line="288" w:lineRule="auto"/>
        <w:ind w:left="284" w:hanging="284"/>
        <w:rPr>
          <w:rFonts w:ascii="Verdana" w:hAnsi="Verdana"/>
        </w:rPr>
      </w:pPr>
      <w:r w:rsidRPr="005113C9">
        <w:rPr>
          <w:rFonts w:ascii="Verdana" w:hAnsi="Verdana"/>
        </w:rPr>
        <w:t>obsługi administracyjnej tego systemu;</w:t>
      </w:r>
    </w:p>
    <w:p w:rsidR="00476F8E" w:rsidRPr="005113C9" w:rsidRDefault="007A4624" w:rsidP="00476F8E">
      <w:pPr>
        <w:pStyle w:val="Akapitzlist"/>
        <w:numPr>
          <w:ilvl w:val="0"/>
          <w:numId w:val="37"/>
        </w:numPr>
        <w:spacing w:after="0" w:line="288" w:lineRule="auto"/>
        <w:ind w:left="284" w:hanging="284"/>
        <w:rPr>
          <w:rFonts w:ascii="Verdana" w:hAnsi="Verdana"/>
        </w:rPr>
      </w:pPr>
      <w:r w:rsidRPr="005113C9">
        <w:rPr>
          <w:rFonts w:ascii="Verdana" w:hAnsi="Verdana"/>
        </w:rPr>
        <w:t>edukacji ekologicznej w zakresie prawidłowego postępowania z odpadami komunalnymi.</w:t>
      </w:r>
    </w:p>
    <w:p w:rsidR="008A7EB6" w:rsidRPr="005113C9" w:rsidRDefault="00332FA1" w:rsidP="00764443">
      <w:pPr>
        <w:pStyle w:val="Akapitzlist"/>
        <w:tabs>
          <w:tab w:val="left" w:pos="567"/>
        </w:tabs>
        <w:spacing w:before="120" w:after="0" w:line="288" w:lineRule="auto"/>
        <w:ind w:left="0"/>
        <w:contextualSpacing w:val="0"/>
        <w:rPr>
          <w:rFonts w:ascii="Verdana" w:hAnsi="Verdana"/>
        </w:rPr>
      </w:pPr>
      <w:r w:rsidRPr="005113C9">
        <w:rPr>
          <w:rFonts w:ascii="Verdana" w:hAnsi="Verdana"/>
        </w:rPr>
        <w:t xml:space="preserve">Ustawodawca dopuszcza także w art. 6r ust. 2a-2c ustawy możliwość wliczenia w koszty funkcjonowania systemu gospodarowania odpadami komunalnymi </w:t>
      </w:r>
      <w:r w:rsidR="00211650" w:rsidRPr="005113C9">
        <w:rPr>
          <w:rFonts w:ascii="Verdana" w:hAnsi="Verdana"/>
        </w:rPr>
        <w:t>koszt</w:t>
      </w:r>
      <w:r w:rsidR="00E554CF" w:rsidRPr="005113C9">
        <w:rPr>
          <w:rFonts w:ascii="Verdana" w:hAnsi="Verdana"/>
        </w:rPr>
        <w:t>ów:</w:t>
      </w:r>
      <w:r w:rsidR="00211650" w:rsidRPr="005113C9">
        <w:rPr>
          <w:rFonts w:ascii="Verdana" w:hAnsi="Verdana"/>
        </w:rPr>
        <w:t xml:space="preserve"> </w:t>
      </w:r>
      <w:r w:rsidRPr="005113C9">
        <w:rPr>
          <w:rFonts w:ascii="Verdana" w:hAnsi="Verdana"/>
        </w:rPr>
        <w:t>wyposażeni</w:t>
      </w:r>
      <w:r w:rsidR="00211650" w:rsidRPr="005113C9">
        <w:rPr>
          <w:rFonts w:ascii="Verdana" w:hAnsi="Verdana"/>
        </w:rPr>
        <w:t>a</w:t>
      </w:r>
      <w:r w:rsidRPr="005113C9">
        <w:rPr>
          <w:rFonts w:ascii="Verdana" w:hAnsi="Verdana"/>
        </w:rPr>
        <w:t xml:space="preserve"> nieruchomości w pojemniki lub worki do zbierania odpadów komunalnych, utrzymywania pojemników</w:t>
      </w:r>
      <w:r w:rsidR="001307B5" w:rsidRPr="005113C9">
        <w:rPr>
          <w:rFonts w:ascii="Verdana" w:hAnsi="Verdana"/>
        </w:rPr>
        <w:t xml:space="preserve"> </w:t>
      </w:r>
      <w:r w:rsidRPr="005113C9">
        <w:rPr>
          <w:rFonts w:ascii="Verdana" w:hAnsi="Verdana"/>
        </w:rPr>
        <w:t xml:space="preserve">w odpowiednim stanie sanitarnym, porządkowym i technicznym, </w:t>
      </w:r>
      <w:r w:rsidR="00E554CF" w:rsidRPr="005113C9">
        <w:rPr>
          <w:rFonts w:ascii="Verdana" w:hAnsi="Verdana"/>
        </w:rPr>
        <w:t xml:space="preserve"> </w:t>
      </w:r>
      <w:r w:rsidRPr="005113C9">
        <w:rPr>
          <w:rFonts w:ascii="Verdana" w:hAnsi="Verdana"/>
        </w:rPr>
        <w:t xml:space="preserve">utworzenia i utrzymania punktów napraw i ponownego użycia produktów lub części produktów niebędących odpadami, usunięcia odpadów komunalnych z miejsc nieprzeznaczonych do ich składowania i magazynowania w rozumieniu </w:t>
      </w:r>
      <w:hyperlink r:id="rId8" w:anchor="/document/17940659?cm=DOCUMENT" w:history="1">
        <w:r w:rsidRPr="005113C9">
          <w:rPr>
            <w:rStyle w:val="Hipercze"/>
            <w:rFonts w:ascii="Verdana" w:hAnsi="Verdana"/>
            <w:color w:val="000000"/>
            <w:u w:val="none"/>
          </w:rPr>
          <w:t>ustawy</w:t>
        </w:r>
      </w:hyperlink>
      <w:r w:rsidRPr="005113C9">
        <w:rPr>
          <w:rFonts w:ascii="Verdana" w:hAnsi="Verdana"/>
          <w:color w:val="000000"/>
        </w:rPr>
        <w:t xml:space="preserve"> </w:t>
      </w:r>
      <w:r w:rsidRPr="005113C9">
        <w:rPr>
          <w:rFonts w:ascii="Verdana" w:hAnsi="Verdana"/>
        </w:rPr>
        <w:t>z dnia 14 grud</w:t>
      </w:r>
      <w:r w:rsidR="00E554CF" w:rsidRPr="005113C9">
        <w:rPr>
          <w:rFonts w:ascii="Verdana" w:hAnsi="Verdana"/>
        </w:rPr>
        <w:t xml:space="preserve">nia 2012 r. o odpadach, </w:t>
      </w:r>
      <w:r w:rsidRPr="005113C9">
        <w:rPr>
          <w:rFonts w:ascii="Verdana" w:hAnsi="Verdana"/>
        </w:rPr>
        <w:t>wyposażenia terenów przeznaczonych do użytku publicznego</w:t>
      </w:r>
      <w:r w:rsidR="00B921C5" w:rsidRPr="005113C9">
        <w:rPr>
          <w:rFonts w:ascii="Verdana" w:hAnsi="Verdana"/>
        </w:rPr>
        <w:t xml:space="preserve"> </w:t>
      </w:r>
      <w:r w:rsidRPr="005113C9">
        <w:rPr>
          <w:rFonts w:ascii="Verdana" w:hAnsi="Verdana"/>
        </w:rPr>
        <w:t>w pojemniki lub worki, przeznaczone do zbierania odpadów komunalnych,</w:t>
      </w:r>
      <w:r w:rsidR="004F387A" w:rsidRPr="005113C9">
        <w:rPr>
          <w:rFonts w:ascii="Verdana" w:hAnsi="Verdana"/>
        </w:rPr>
        <w:t xml:space="preserve"> </w:t>
      </w:r>
      <w:r w:rsidRPr="005113C9">
        <w:rPr>
          <w:rFonts w:ascii="Verdana" w:hAnsi="Verdana"/>
        </w:rPr>
        <w:t>ich opróżnianie</w:t>
      </w:r>
      <w:r w:rsidR="001307B5" w:rsidRPr="005113C9">
        <w:rPr>
          <w:rFonts w:ascii="Verdana" w:hAnsi="Verdana"/>
        </w:rPr>
        <w:t xml:space="preserve"> </w:t>
      </w:r>
      <w:r w:rsidR="00E554CF" w:rsidRPr="005113C9">
        <w:rPr>
          <w:rFonts w:ascii="Verdana" w:hAnsi="Verdana"/>
        </w:rPr>
        <w:t>oraz utrzymywania</w:t>
      </w:r>
      <w:r w:rsidRPr="005113C9">
        <w:rPr>
          <w:rFonts w:ascii="Verdana" w:hAnsi="Verdana"/>
        </w:rPr>
        <w:t xml:space="preserve"> tych pojemników w odpowiednim stanie sanitarnym, porządkowym</w:t>
      </w:r>
      <w:r w:rsidR="004F387A" w:rsidRPr="005113C9">
        <w:rPr>
          <w:rFonts w:ascii="Verdana" w:hAnsi="Verdana"/>
        </w:rPr>
        <w:t xml:space="preserve"> </w:t>
      </w:r>
      <w:r w:rsidR="00E554CF" w:rsidRPr="005113C9">
        <w:rPr>
          <w:rFonts w:ascii="Verdana" w:hAnsi="Verdana"/>
        </w:rPr>
        <w:t>i technicznym a także</w:t>
      </w:r>
      <w:r w:rsidRPr="005113C9">
        <w:rPr>
          <w:rFonts w:ascii="Verdana" w:hAnsi="Verdana"/>
        </w:rPr>
        <w:t xml:space="preserve"> organizacji i utrzymania w odpowiednim stanie sanitarnym i porządkowym miejsc gromadzenia odpadów.</w:t>
      </w:r>
    </w:p>
    <w:p w:rsidR="002D5A69" w:rsidRPr="005113C9" w:rsidRDefault="002D5A69" w:rsidP="00764443">
      <w:pPr>
        <w:pStyle w:val="Akapitzlist"/>
        <w:tabs>
          <w:tab w:val="left" w:pos="567"/>
        </w:tabs>
        <w:spacing w:before="120" w:after="120" w:line="288" w:lineRule="auto"/>
        <w:ind w:left="0"/>
        <w:contextualSpacing w:val="0"/>
        <w:rPr>
          <w:rFonts w:ascii="Verdana" w:hAnsi="Verdana"/>
        </w:rPr>
      </w:pPr>
      <w:r w:rsidRPr="005113C9">
        <w:rPr>
          <w:rFonts w:ascii="Verdana" w:hAnsi="Verdana"/>
        </w:rPr>
        <w:t>Aktualnie nie jest możliwe precyzyjne określenie kosztów gminnego systemu gospodarowania odpadami. Na ostateczną ich wysokość będzie miał wpływ wynik przetargów na odbiór, transport</w:t>
      </w:r>
      <w:r w:rsidR="00A24E09" w:rsidRPr="005113C9">
        <w:rPr>
          <w:rFonts w:ascii="Verdana" w:hAnsi="Verdana"/>
        </w:rPr>
        <w:t xml:space="preserve"> </w:t>
      </w:r>
      <w:r w:rsidRPr="005113C9">
        <w:rPr>
          <w:rFonts w:ascii="Verdana" w:hAnsi="Verdana"/>
        </w:rPr>
        <w:t>i zagospodarowanie odpadów komunalnych, pochodzących z Gminy Wrocław, prowadzonych przez Ekosystem Sp. z o.o.</w:t>
      </w:r>
    </w:p>
    <w:p w:rsidR="004849E5" w:rsidRPr="005113C9" w:rsidRDefault="002D5A69" w:rsidP="00764443">
      <w:pPr>
        <w:pStyle w:val="Akapitzlist"/>
        <w:tabs>
          <w:tab w:val="left" w:pos="567"/>
        </w:tabs>
        <w:spacing w:after="0" w:line="288" w:lineRule="auto"/>
        <w:ind w:left="0"/>
        <w:rPr>
          <w:rFonts w:ascii="Verdana" w:hAnsi="Verdana"/>
        </w:rPr>
      </w:pPr>
      <w:r w:rsidRPr="005113C9">
        <w:rPr>
          <w:rFonts w:ascii="Verdana" w:hAnsi="Verdana"/>
        </w:rPr>
        <w:t xml:space="preserve">Z danych </w:t>
      </w:r>
      <w:r w:rsidR="00211650" w:rsidRPr="005113C9">
        <w:rPr>
          <w:rFonts w:ascii="Verdana" w:hAnsi="Verdana"/>
        </w:rPr>
        <w:t xml:space="preserve">dotyczących </w:t>
      </w:r>
      <w:r w:rsidRPr="005113C9">
        <w:rPr>
          <w:rFonts w:ascii="Verdana" w:hAnsi="Verdana"/>
        </w:rPr>
        <w:t>unieważnionych w lipcu br. postępowań o udzielenie zamówienia publicznego, wynika, że oferenci zaproponowali o ponad 100% wyższe ceny w stosunku do t</w:t>
      </w:r>
      <w:r w:rsidR="00652D4F" w:rsidRPr="005113C9">
        <w:rPr>
          <w:rFonts w:ascii="Verdana" w:hAnsi="Verdana"/>
        </w:rPr>
        <w:t xml:space="preserve">ych obowiązujących w latach </w:t>
      </w:r>
      <w:r w:rsidRPr="005113C9">
        <w:rPr>
          <w:rFonts w:ascii="Verdana" w:hAnsi="Verdana"/>
        </w:rPr>
        <w:t>2020–2022. Biorąc pod uwagę najtańsze złożone oferty, roczny koszt odbioru, transportu</w:t>
      </w:r>
      <w:r w:rsidR="00A24E09" w:rsidRPr="005113C9">
        <w:rPr>
          <w:rFonts w:ascii="Verdana" w:hAnsi="Verdana"/>
        </w:rPr>
        <w:t xml:space="preserve"> </w:t>
      </w:r>
      <w:r w:rsidRPr="005113C9">
        <w:rPr>
          <w:rFonts w:ascii="Verdana" w:hAnsi="Verdana"/>
        </w:rPr>
        <w:t>i zagospodarowania odpadów komunalnych wyniósłby 431 375 715,43 zł</w:t>
      </w:r>
      <w:r w:rsidR="00650EC8" w:rsidRPr="005113C9">
        <w:rPr>
          <w:rFonts w:ascii="Verdana" w:hAnsi="Verdana"/>
          <w:b/>
        </w:rPr>
        <w:t xml:space="preserve">, </w:t>
      </w:r>
      <w:r w:rsidR="00650EC8" w:rsidRPr="005113C9">
        <w:rPr>
          <w:rFonts w:ascii="Verdana" w:hAnsi="Verdana"/>
        </w:rPr>
        <w:t>nie licząc pozostałych kosztów gminnego systemu.</w:t>
      </w:r>
      <w:r w:rsidRPr="005113C9">
        <w:rPr>
          <w:rFonts w:ascii="Verdana" w:hAnsi="Verdana"/>
        </w:rPr>
        <w:t xml:space="preserve"> Przetarg został unieważniony, kolejne postępowania są w toku, a przewidywany termin otwarcia ofert to 27 </w:t>
      </w:r>
      <w:r w:rsidR="00211650" w:rsidRPr="005113C9">
        <w:rPr>
          <w:rFonts w:ascii="Verdana" w:hAnsi="Verdana"/>
        </w:rPr>
        <w:t xml:space="preserve">grudnia </w:t>
      </w:r>
      <w:r w:rsidRPr="005113C9">
        <w:rPr>
          <w:rFonts w:ascii="Verdana" w:hAnsi="Verdana"/>
        </w:rPr>
        <w:t>2022 r.</w:t>
      </w:r>
    </w:p>
    <w:p w:rsidR="00476F8E" w:rsidRPr="005113C9" w:rsidRDefault="002D5A69" w:rsidP="000231FE">
      <w:pPr>
        <w:pStyle w:val="Akapitzlist"/>
        <w:tabs>
          <w:tab w:val="left" w:pos="567"/>
        </w:tabs>
        <w:spacing w:before="120" w:after="0" w:line="288" w:lineRule="auto"/>
        <w:ind w:left="0"/>
        <w:contextualSpacing w:val="0"/>
        <w:rPr>
          <w:rFonts w:ascii="Verdana" w:hAnsi="Verdana"/>
        </w:rPr>
      </w:pPr>
      <w:r w:rsidRPr="005113C9">
        <w:rPr>
          <w:rFonts w:ascii="Verdana" w:hAnsi="Verdana"/>
        </w:rPr>
        <w:t xml:space="preserve">Brak rozstrzygnięcia przetargów skutkuje także tym, że odbiór odpadów </w:t>
      </w:r>
      <w:r w:rsidR="00E45ADE">
        <w:rPr>
          <w:rFonts w:ascii="Verdana" w:hAnsi="Verdana"/>
        </w:rPr>
        <w:br/>
      </w:r>
      <w:r w:rsidRPr="005113C9">
        <w:rPr>
          <w:rFonts w:ascii="Verdana" w:hAnsi="Verdana"/>
        </w:rPr>
        <w:t>w pierwszym kwartale 2023 r. będzie realizowany w trybie umów z wolnej ręki</w:t>
      </w:r>
      <w:r w:rsidR="008C3BF2" w:rsidRPr="005113C9">
        <w:rPr>
          <w:rFonts w:ascii="Verdana" w:hAnsi="Verdana"/>
        </w:rPr>
        <w:t xml:space="preserve">. Koszt realizacji odbioru odpadów w </w:t>
      </w:r>
      <w:r w:rsidR="00652D4F" w:rsidRPr="005113C9">
        <w:rPr>
          <w:rFonts w:ascii="Verdana" w:hAnsi="Verdana"/>
        </w:rPr>
        <w:t xml:space="preserve">pierwszym kwartale 2023 r. </w:t>
      </w:r>
      <w:r w:rsidR="008C3BF2" w:rsidRPr="005113C9">
        <w:rPr>
          <w:rFonts w:ascii="Verdana" w:hAnsi="Verdana"/>
        </w:rPr>
        <w:t xml:space="preserve">będzie wyższy o </w:t>
      </w:r>
      <w:r w:rsidR="00650EC8" w:rsidRPr="005113C9">
        <w:rPr>
          <w:rFonts w:ascii="Verdana" w:hAnsi="Verdana"/>
        </w:rPr>
        <w:t>ponad</w:t>
      </w:r>
      <w:r w:rsidR="008C3BF2" w:rsidRPr="005113C9">
        <w:rPr>
          <w:rFonts w:ascii="Verdana" w:hAnsi="Verdana"/>
        </w:rPr>
        <w:t xml:space="preserve"> 100% od kosztów dotychczasowych</w:t>
      </w:r>
      <w:r w:rsidR="00650EC8" w:rsidRPr="005113C9">
        <w:rPr>
          <w:rFonts w:ascii="Verdana" w:hAnsi="Verdana"/>
        </w:rPr>
        <w:t>.</w:t>
      </w:r>
    </w:p>
    <w:p w:rsidR="008D1B2F" w:rsidRPr="005113C9" w:rsidRDefault="00652D4F" w:rsidP="00764443">
      <w:pPr>
        <w:pStyle w:val="Akapitzlist"/>
        <w:tabs>
          <w:tab w:val="left" w:pos="567"/>
        </w:tabs>
        <w:spacing w:before="120" w:after="120" w:line="288" w:lineRule="auto"/>
        <w:ind w:left="0"/>
        <w:contextualSpacing w:val="0"/>
        <w:rPr>
          <w:rFonts w:ascii="Verdana" w:hAnsi="Verdana"/>
        </w:rPr>
      </w:pPr>
      <w:r w:rsidRPr="005113C9">
        <w:rPr>
          <w:rFonts w:ascii="Verdana" w:hAnsi="Verdana"/>
        </w:rPr>
        <w:t xml:space="preserve">Tabela </w:t>
      </w:r>
      <w:r w:rsidR="000F47B8" w:rsidRPr="005113C9">
        <w:rPr>
          <w:rFonts w:ascii="Verdana" w:hAnsi="Verdana"/>
        </w:rPr>
        <w:t>3</w:t>
      </w:r>
      <w:r w:rsidRPr="005113C9">
        <w:rPr>
          <w:rFonts w:ascii="Verdana" w:hAnsi="Verdana"/>
        </w:rPr>
        <w:t xml:space="preserve">. </w:t>
      </w:r>
      <w:r w:rsidR="00650EC8" w:rsidRPr="005113C9">
        <w:rPr>
          <w:rFonts w:ascii="Verdana" w:hAnsi="Verdana"/>
        </w:rPr>
        <w:t>Zestawienie cen (sektor 3) obowiązujących w latach 2020-2022 z danymi</w:t>
      </w:r>
      <w:r w:rsidRPr="005113C9">
        <w:rPr>
          <w:rFonts w:ascii="Verdana" w:hAnsi="Verdana"/>
        </w:rPr>
        <w:t xml:space="preserve"> dotyczącymi umów z wolnej ręki, zestawienie cen odnosi się do ceny za 1Mg (1 tonę)</w:t>
      </w:r>
    </w:p>
    <w:tbl>
      <w:tblPr>
        <w:tblStyle w:val="Siatkatabelijasna1"/>
        <w:tblW w:w="0" w:type="auto"/>
        <w:tblLook w:val="04A0"/>
      </w:tblPr>
      <w:tblGrid>
        <w:gridCol w:w="1891"/>
        <w:gridCol w:w="1435"/>
        <w:gridCol w:w="1464"/>
      </w:tblGrid>
      <w:tr w:rsidR="004849E5" w:rsidRPr="005113C9" w:rsidTr="004708CB">
        <w:trPr>
          <w:trHeight w:val="380"/>
          <w:tblHeader/>
        </w:trPr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 xml:space="preserve"> frakcja 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2020-2022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Wolna ręka</w:t>
            </w:r>
          </w:p>
        </w:tc>
      </w:tr>
      <w:tr w:rsidR="004849E5" w:rsidRPr="005113C9" w:rsidTr="004708CB">
        <w:trPr>
          <w:trHeight w:val="370"/>
        </w:trPr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lastRenderedPageBreak/>
              <w:t xml:space="preserve"> zmieszane 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615 zł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1 480 zł</w:t>
            </w:r>
          </w:p>
        </w:tc>
      </w:tr>
      <w:tr w:rsidR="004849E5" w:rsidRPr="005113C9" w:rsidTr="004708CB">
        <w:trPr>
          <w:trHeight w:val="351"/>
        </w:trPr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 xml:space="preserve"> tworzywa 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539 zł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1 728 zł</w:t>
            </w:r>
          </w:p>
        </w:tc>
      </w:tr>
      <w:tr w:rsidR="004849E5" w:rsidRPr="005113C9" w:rsidTr="004708CB">
        <w:trPr>
          <w:trHeight w:val="332"/>
        </w:trPr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 xml:space="preserve"> papier 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376 zł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1 404 zł</w:t>
            </w:r>
          </w:p>
        </w:tc>
      </w:tr>
      <w:tr w:rsidR="004849E5" w:rsidRPr="005113C9" w:rsidTr="004708CB">
        <w:trPr>
          <w:trHeight w:val="304"/>
        </w:trPr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 xml:space="preserve"> szkło 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378 zł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1 350 zł</w:t>
            </w:r>
          </w:p>
        </w:tc>
      </w:tr>
      <w:tr w:rsidR="004849E5" w:rsidRPr="005113C9" w:rsidTr="004708CB">
        <w:trPr>
          <w:trHeight w:val="295"/>
        </w:trPr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 xml:space="preserve"> bioodpady 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578 zł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1 458 zł</w:t>
            </w:r>
          </w:p>
        </w:tc>
      </w:tr>
      <w:tr w:rsidR="004849E5" w:rsidRPr="005113C9" w:rsidTr="004708CB">
        <w:trPr>
          <w:trHeight w:val="164"/>
        </w:trPr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 xml:space="preserve">wielkogabaryty 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578 zł</w:t>
            </w:r>
          </w:p>
        </w:tc>
        <w:tc>
          <w:tcPr>
            <w:tcW w:w="0" w:type="auto"/>
            <w:noWrap/>
            <w:hideMark/>
          </w:tcPr>
          <w:p w:rsidR="004849E5" w:rsidRPr="000231FE" w:rsidRDefault="004849E5" w:rsidP="00C23835">
            <w:pPr>
              <w:spacing w:after="0" w:line="240" w:lineRule="auto"/>
              <w:rPr>
                <w:rFonts w:ascii="Verdana" w:hAnsi="Verdana" w:cs="Calibri"/>
                <w:color w:val="000000"/>
              </w:rPr>
            </w:pPr>
            <w:r w:rsidRPr="000231FE">
              <w:rPr>
                <w:rFonts w:ascii="Verdana" w:hAnsi="Verdana" w:cs="Calibri"/>
                <w:color w:val="000000"/>
              </w:rPr>
              <w:t>1 663 zł</w:t>
            </w:r>
          </w:p>
        </w:tc>
      </w:tr>
    </w:tbl>
    <w:p w:rsidR="0023726B" w:rsidRPr="005113C9" w:rsidRDefault="0023726B" w:rsidP="00476F8E">
      <w:pPr>
        <w:pStyle w:val="Akapitzlist"/>
        <w:tabs>
          <w:tab w:val="left" w:pos="567"/>
        </w:tabs>
        <w:spacing w:before="120" w:after="120" w:line="288" w:lineRule="auto"/>
        <w:ind w:left="0"/>
        <w:contextualSpacing w:val="0"/>
        <w:rPr>
          <w:rFonts w:ascii="Verdana" w:hAnsi="Verdana"/>
        </w:rPr>
      </w:pPr>
      <w:r w:rsidRPr="005113C9">
        <w:rPr>
          <w:rFonts w:ascii="Verdana" w:hAnsi="Verdana"/>
        </w:rPr>
        <w:t>Powyższe dane wskazują na niebagatelny wzrost kosztów odbioru, transportu i zagospodarowania odpadów komunalnych.</w:t>
      </w:r>
    </w:p>
    <w:p w:rsidR="004F387A" w:rsidRPr="005113C9" w:rsidRDefault="00EA5FD2" w:rsidP="008D1B2F">
      <w:pPr>
        <w:pStyle w:val="Akapitzlist"/>
        <w:tabs>
          <w:tab w:val="left" w:pos="567"/>
        </w:tabs>
        <w:spacing w:after="120" w:line="288" w:lineRule="auto"/>
        <w:ind w:left="0"/>
        <w:rPr>
          <w:rFonts w:ascii="Verdana" w:hAnsi="Verdana"/>
        </w:rPr>
      </w:pPr>
      <w:r w:rsidRPr="005113C9">
        <w:rPr>
          <w:rFonts w:ascii="Verdana" w:hAnsi="Verdana"/>
        </w:rPr>
        <w:t xml:space="preserve">Dotychczasowe koszty gminnego systemu gospodarowania odpadami komunalnymi </w:t>
      </w:r>
      <w:r w:rsidR="008A7EB6" w:rsidRPr="005113C9">
        <w:rPr>
          <w:rFonts w:ascii="Verdana" w:hAnsi="Verdana"/>
        </w:rPr>
        <w:t xml:space="preserve">w latach 2020-2022 </w:t>
      </w:r>
      <w:r w:rsidRPr="005113C9">
        <w:rPr>
          <w:rFonts w:ascii="Verdana" w:hAnsi="Verdana"/>
        </w:rPr>
        <w:t>kształtowały się następująco:</w:t>
      </w:r>
    </w:p>
    <w:tbl>
      <w:tblPr>
        <w:tblStyle w:val="Siatkatabelijasna1"/>
        <w:tblW w:w="7513" w:type="dxa"/>
        <w:tblLook w:val="04A0"/>
      </w:tblPr>
      <w:tblGrid>
        <w:gridCol w:w="3119"/>
        <w:gridCol w:w="4394"/>
      </w:tblGrid>
      <w:tr w:rsidR="004708CB" w:rsidRPr="005113C9" w:rsidTr="004708CB">
        <w:trPr>
          <w:trHeight w:val="374"/>
          <w:tblHeader/>
        </w:trPr>
        <w:tc>
          <w:tcPr>
            <w:tcW w:w="3119" w:type="dxa"/>
            <w:noWrap/>
          </w:tcPr>
          <w:p w:rsidR="004708CB" w:rsidRPr="0042529C" w:rsidRDefault="004708CB" w:rsidP="00C23835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42529C">
              <w:rPr>
                <w:rFonts w:ascii="Verdana" w:hAnsi="Verdana"/>
                <w:color w:val="000000"/>
              </w:rPr>
              <w:t>Rok</w:t>
            </w:r>
          </w:p>
        </w:tc>
        <w:tc>
          <w:tcPr>
            <w:tcW w:w="4394" w:type="dxa"/>
          </w:tcPr>
          <w:p w:rsidR="004708CB" w:rsidRPr="0042529C" w:rsidRDefault="004708CB" w:rsidP="00C23835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42529C">
              <w:rPr>
                <w:rFonts w:ascii="Verdana" w:hAnsi="Verdana"/>
                <w:color w:val="000000"/>
              </w:rPr>
              <w:t>Koszty</w:t>
            </w:r>
          </w:p>
        </w:tc>
      </w:tr>
      <w:tr w:rsidR="008A7EB6" w:rsidRPr="005113C9" w:rsidTr="004708CB">
        <w:trPr>
          <w:trHeight w:val="374"/>
        </w:trPr>
        <w:tc>
          <w:tcPr>
            <w:tcW w:w="3119" w:type="dxa"/>
            <w:noWrap/>
            <w:hideMark/>
          </w:tcPr>
          <w:p w:rsidR="008A7EB6" w:rsidRPr="005113C9" w:rsidRDefault="008A7EB6" w:rsidP="00C23835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5113C9">
              <w:rPr>
                <w:rFonts w:ascii="Verdana" w:hAnsi="Verdana"/>
                <w:color w:val="000000"/>
              </w:rPr>
              <w:t>2020</w:t>
            </w:r>
          </w:p>
        </w:tc>
        <w:tc>
          <w:tcPr>
            <w:tcW w:w="4394" w:type="dxa"/>
          </w:tcPr>
          <w:p w:rsidR="008A7EB6" w:rsidRPr="005113C9" w:rsidRDefault="008A7EB6" w:rsidP="00C23835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5113C9">
              <w:rPr>
                <w:rFonts w:ascii="Verdana" w:hAnsi="Verdana"/>
                <w:color w:val="000000"/>
              </w:rPr>
              <w:t>204 327 127,00 zł</w:t>
            </w:r>
          </w:p>
        </w:tc>
      </w:tr>
      <w:tr w:rsidR="008A7EB6" w:rsidRPr="005113C9" w:rsidTr="004708CB">
        <w:trPr>
          <w:trHeight w:val="408"/>
        </w:trPr>
        <w:tc>
          <w:tcPr>
            <w:tcW w:w="3119" w:type="dxa"/>
            <w:noWrap/>
            <w:hideMark/>
          </w:tcPr>
          <w:p w:rsidR="008A7EB6" w:rsidRPr="005113C9" w:rsidRDefault="008A7EB6" w:rsidP="00C23835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5113C9">
              <w:rPr>
                <w:rFonts w:ascii="Verdana" w:hAnsi="Verdana"/>
                <w:color w:val="000000"/>
              </w:rPr>
              <w:t>2021</w:t>
            </w:r>
          </w:p>
        </w:tc>
        <w:tc>
          <w:tcPr>
            <w:tcW w:w="4394" w:type="dxa"/>
          </w:tcPr>
          <w:p w:rsidR="008A7EB6" w:rsidRPr="005113C9" w:rsidRDefault="008A7EB6" w:rsidP="00C23835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5113C9">
              <w:rPr>
                <w:rFonts w:ascii="Verdana" w:hAnsi="Verdana"/>
                <w:color w:val="000000"/>
              </w:rPr>
              <w:t>217 905 841,00 zł</w:t>
            </w:r>
          </w:p>
        </w:tc>
      </w:tr>
      <w:tr w:rsidR="008A7EB6" w:rsidRPr="005113C9" w:rsidTr="004708CB">
        <w:trPr>
          <w:trHeight w:val="428"/>
        </w:trPr>
        <w:tc>
          <w:tcPr>
            <w:tcW w:w="3119" w:type="dxa"/>
            <w:noWrap/>
            <w:hideMark/>
          </w:tcPr>
          <w:p w:rsidR="008A7EB6" w:rsidRPr="005113C9" w:rsidRDefault="008A7EB6" w:rsidP="00C23835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5113C9">
              <w:rPr>
                <w:rFonts w:ascii="Verdana" w:hAnsi="Verdana"/>
                <w:color w:val="000000"/>
              </w:rPr>
              <w:t>2022</w:t>
            </w:r>
          </w:p>
        </w:tc>
        <w:tc>
          <w:tcPr>
            <w:tcW w:w="4394" w:type="dxa"/>
          </w:tcPr>
          <w:p w:rsidR="008A7EB6" w:rsidRPr="005113C9" w:rsidRDefault="008A7EB6" w:rsidP="00C23835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5113C9">
              <w:rPr>
                <w:rFonts w:ascii="Verdana" w:hAnsi="Verdana"/>
                <w:color w:val="000000"/>
              </w:rPr>
              <w:t xml:space="preserve">221 946 443,00 zł </w:t>
            </w:r>
          </w:p>
          <w:p w:rsidR="008A7EB6" w:rsidRPr="005113C9" w:rsidRDefault="008A7EB6" w:rsidP="00C23835">
            <w:pPr>
              <w:spacing w:after="0" w:line="240" w:lineRule="auto"/>
              <w:rPr>
                <w:rFonts w:ascii="Verdana" w:hAnsi="Verdana"/>
                <w:color w:val="000000"/>
              </w:rPr>
            </w:pPr>
            <w:r w:rsidRPr="005113C9">
              <w:rPr>
                <w:rFonts w:ascii="Verdana" w:hAnsi="Verdana"/>
                <w:color w:val="000000"/>
              </w:rPr>
              <w:t>(planowane wydatki)</w:t>
            </w:r>
          </w:p>
        </w:tc>
      </w:tr>
    </w:tbl>
    <w:p w:rsidR="00B73FBD" w:rsidRPr="005113C9" w:rsidRDefault="00B73FBD" w:rsidP="00476F8E">
      <w:pPr>
        <w:pStyle w:val="Akapitzlist"/>
        <w:tabs>
          <w:tab w:val="left" w:pos="567"/>
        </w:tabs>
        <w:spacing w:before="120" w:after="120" w:line="288" w:lineRule="auto"/>
        <w:ind w:left="0"/>
        <w:contextualSpacing w:val="0"/>
        <w:rPr>
          <w:rFonts w:ascii="Verdana" w:hAnsi="Verdana"/>
        </w:rPr>
      </w:pPr>
      <w:r w:rsidRPr="005113C9">
        <w:rPr>
          <w:rFonts w:ascii="Verdana" w:hAnsi="Verdana"/>
        </w:rPr>
        <w:t>Przewidywane przez Ekosystem Sp. z o.o. roczne koszty gminnego systemu gospodarowania odpadami komunalnymi w latach 2023-2025, biorąc pod uwagę presję cenową wykonawców, kształtować się będą na poziomie</w:t>
      </w:r>
      <w:r w:rsidR="00D2453C" w:rsidRPr="005113C9">
        <w:rPr>
          <w:rFonts w:ascii="Verdana" w:hAnsi="Verdana"/>
        </w:rPr>
        <w:t xml:space="preserve"> wyższym niż w latach ubiegłych. </w:t>
      </w:r>
    </w:p>
    <w:p w:rsidR="00D2453C" w:rsidRPr="005113C9" w:rsidRDefault="00B73FBD" w:rsidP="008D1B2F">
      <w:pPr>
        <w:pStyle w:val="Akapitzlist"/>
        <w:tabs>
          <w:tab w:val="left" w:pos="567"/>
        </w:tabs>
        <w:spacing w:after="120" w:line="288" w:lineRule="auto"/>
        <w:ind w:left="0"/>
        <w:rPr>
          <w:rFonts w:ascii="Verdana" w:hAnsi="Verdana"/>
        </w:rPr>
      </w:pPr>
      <w:r w:rsidRPr="005113C9">
        <w:rPr>
          <w:rFonts w:ascii="Verdana" w:hAnsi="Verdana"/>
        </w:rPr>
        <w:t xml:space="preserve">Najistotniejszą pozycją kosztową jest koszt </w:t>
      </w:r>
      <w:r w:rsidRPr="005113C9">
        <w:rPr>
          <w:rFonts w:ascii="Verdana" w:hAnsi="Verdana"/>
          <w:bCs/>
          <w:kern w:val="36"/>
          <w:lang w:eastAsia="pl-PL"/>
        </w:rPr>
        <w:t>umów na odbiór, zbieranie, transport i zagospodarowanie odpadów komunaln</w:t>
      </w:r>
      <w:r w:rsidR="00D2453C" w:rsidRPr="005113C9">
        <w:rPr>
          <w:rFonts w:ascii="Verdana" w:hAnsi="Verdana"/>
          <w:bCs/>
          <w:kern w:val="36"/>
          <w:lang w:eastAsia="pl-PL"/>
        </w:rPr>
        <w:t>ych (</w:t>
      </w:r>
      <w:r w:rsidRPr="005113C9">
        <w:rPr>
          <w:rFonts w:ascii="Verdana" w:hAnsi="Verdana"/>
          <w:bCs/>
          <w:kern w:val="36"/>
          <w:lang w:eastAsia="pl-PL"/>
        </w:rPr>
        <w:t xml:space="preserve">przetargowych i z wolnej ręki) i te w roku 2023 zostały oszacowane przez Spółkę Ekosystem na kwotę 380.000.000,00 zł, a w latach następnych </w:t>
      </w:r>
      <w:r w:rsidR="00D2453C" w:rsidRPr="005113C9">
        <w:rPr>
          <w:rFonts w:ascii="Verdana" w:hAnsi="Verdana"/>
          <w:bCs/>
          <w:kern w:val="36"/>
          <w:lang w:eastAsia="pl-PL"/>
        </w:rPr>
        <w:t>uwzględniona zostanie waloryzacja.</w:t>
      </w:r>
    </w:p>
    <w:p w:rsidR="00A90538" w:rsidRPr="005113C9" w:rsidRDefault="00BA47B9" w:rsidP="00686E1A">
      <w:pPr>
        <w:spacing w:after="0" w:line="288" w:lineRule="auto"/>
        <w:rPr>
          <w:rFonts w:ascii="Verdana" w:hAnsi="Verdana"/>
        </w:rPr>
      </w:pPr>
      <w:r w:rsidRPr="005113C9">
        <w:rPr>
          <w:rFonts w:ascii="Verdana" w:hAnsi="Verdana"/>
        </w:rPr>
        <w:t>Wskazana prognoza opiera się</w:t>
      </w:r>
      <w:r w:rsidR="005B2DE6" w:rsidRPr="005113C9">
        <w:rPr>
          <w:rFonts w:ascii="Verdana" w:hAnsi="Verdana"/>
        </w:rPr>
        <w:t xml:space="preserve"> na danych w zakresie kosztów,</w:t>
      </w:r>
      <w:r w:rsidRPr="005113C9">
        <w:rPr>
          <w:rFonts w:ascii="Verdana" w:hAnsi="Verdana"/>
        </w:rPr>
        <w:t xml:space="preserve"> wynikających z unieważnionego przetargu na odbi</w:t>
      </w:r>
      <w:r w:rsidR="00720CED" w:rsidRPr="005113C9">
        <w:rPr>
          <w:rFonts w:ascii="Verdana" w:hAnsi="Verdana"/>
        </w:rPr>
        <w:t>eranie</w:t>
      </w:r>
      <w:r w:rsidR="000B22DA" w:rsidRPr="005113C9">
        <w:rPr>
          <w:rFonts w:ascii="Verdana" w:hAnsi="Verdana"/>
        </w:rPr>
        <w:t xml:space="preserve"> </w:t>
      </w:r>
      <w:r w:rsidR="00720CED" w:rsidRPr="005113C9">
        <w:rPr>
          <w:rFonts w:ascii="Verdana" w:hAnsi="Verdana"/>
        </w:rPr>
        <w:t>i zagospoda</w:t>
      </w:r>
      <w:r w:rsidR="00DB6DB3" w:rsidRPr="005113C9">
        <w:rPr>
          <w:rFonts w:ascii="Verdana" w:hAnsi="Verdana"/>
        </w:rPr>
        <w:t>rowanie odpadów komunalnych, umów z wolnej ręki, jak również zmienionych warunków postępowań o udzielenie zam</w:t>
      </w:r>
      <w:r w:rsidR="005B2DE6" w:rsidRPr="005113C9">
        <w:rPr>
          <w:rFonts w:ascii="Verdana" w:hAnsi="Verdana"/>
        </w:rPr>
        <w:t>ówienia publicznego w stosunku do postępowań z lipca 2022 r.</w:t>
      </w:r>
    </w:p>
    <w:p w:rsidR="007C4D31" w:rsidRPr="005113C9" w:rsidRDefault="00B61076" w:rsidP="00686E1A">
      <w:pPr>
        <w:spacing w:after="0" w:line="288" w:lineRule="auto"/>
        <w:rPr>
          <w:rFonts w:ascii="Verdana" w:hAnsi="Verdana"/>
          <w:bCs/>
          <w:color w:val="232323"/>
        </w:rPr>
      </w:pPr>
      <w:r w:rsidRPr="005113C9">
        <w:rPr>
          <w:rFonts w:ascii="Verdana" w:hAnsi="Verdana"/>
        </w:rPr>
        <w:t>Odnosząc się do struktury ludnościowej Wrocławia, zauważyć można</w:t>
      </w:r>
      <w:r w:rsidR="003452F7" w:rsidRPr="005113C9">
        <w:rPr>
          <w:rFonts w:ascii="Verdana" w:hAnsi="Verdana"/>
        </w:rPr>
        <w:t xml:space="preserve"> tendencję wzrostową zaludnienia. </w:t>
      </w:r>
      <w:r w:rsidR="004F387A" w:rsidRPr="005113C9">
        <w:rPr>
          <w:rFonts w:ascii="Verdana" w:hAnsi="Verdana"/>
        </w:rPr>
        <w:t>Opierając się na informacji ogłoszonej przez Główny Urząd Statystyczny</w:t>
      </w:r>
      <w:r w:rsidR="004F387A" w:rsidRPr="005113C9">
        <w:rPr>
          <w:rFonts w:ascii="Verdana" w:hAnsi="Verdana"/>
          <w:shd w:val="clear" w:color="auto" w:fill="FEFEFF"/>
        </w:rPr>
        <w:t> </w:t>
      </w:r>
      <w:hyperlink r:id="rId9" w:history="1">
        <w:r w:rsidR="004F387A" w:rsidRPr="000231FE">
          <w:rPr>
            <w:rFonts w:ascii="Verdana" w:hAnsi="Verdana"/>
          </w:rPr>
          <w:t>„Informacja o wynikach Narodowego Spisu Powszechnego Ludności i Mieszkań 2021 na poziomie województw, powiatów</w:t>
        </w:r>
        <w:r w:rsidR="004849E5" w:rsidRPr="000231FE">
          <w:rPr>
            <w:rFonts w:ascii="Verdana" w:hAnsi="Verdana"/>
          </w:rPr>
          <w:t xml:space="preserve"> </w:t>
        </w:r>
        <w:r w:rsidR="000231FE" w:rsidRPr="000231FE">
          <w:rPr>
            <w:rFonts w:ascii="Verdana" w:hAnsi="Verdana"/>
          </w:rPr>
          <w:br/>
        </w:r>
        <w:r w:rsidR="004F387A" w:rsidRPr="000231FE">
          <w:rPr>
            <w:rFonts w:ascii="Verdana" w:hAnsi="Verdana"/>
          </w:rPr>
          <w:t>i gmin” </w:t>
        </w:r>
      </w:hyperlink>
      <w:r w:rsidR="004F387A" w:rsidRPr="005113C9">
        <w:rPr>
          <w:rFonts w:ascii="Verdana" w:hAnsi="Verdana"/>
        </w:rPr>
        <w:t xml:space="preserve"> liczba mieszkańców Wrocławia wynosi 672 929 osób. </w:t>
      </w:r>
      <w:r w:rsidR="000231FE">
        <w:rPr>
          <w:rFonts w:ascii="Verdana" w:hAnsi="Verdana"/>
        </w:rPr>
        <w:br/>
      </w:r>
      <w:r w:rsidR="004F387A" w:rsidRPr="005113C9">
        <w:rPr>
          <w:rFonts w:ascii="Verdana" w:hAnsi="Verdana"/>
          <w:bCs/>
          <w:color w:val="232323"/>
        </w:rPr>
        <w:t>Z</w:t>
      </w:r>
      <w:r w:rsidR="000231FE">
        <w:rPr>
          <w:rFonts w:ascii="Verdana" w:hAnsi="Verdana"/>
          <w:bCs/>
          <w:color w:val="232323"/>
        </w:rPr>
        <w:t xml:space="preserve"> </w:t>
      </w:r>
      <w:r w:rsidR="004F387A" w:rsidRPr="005113C9">
        <w:rPr>
          <w:rFonts w:ascii="Verdana" w:hAnsi="Verdana"/>
          <w:bCs/>
          <w:color w:val="232323"/>
        </w:rPr>
        <w:t>przedstawionych danych wynika, że Wrocław w ubiegłym roku stał się trzecim największym miastem w Polsce.</w:t>
      </w:r>
    </w:p>
    <w:p w:rsidR="00490F5B" w:rsidRPr="005113C9" w:rsidRDefault="001A0D89" w:rsidP="00476F8E">
      <w:pPr>
        <w:numPr>
          <w:ilvl w:val="0"/>
          <w:numId w:val="21"/>
        </w:numPr>
        <w:spacing w:before="120" w:after="120" w:line="240" w:lineRule="auto"/>
        <w:ind w:left="357" w:hanging="357"/>
        <w:rPr>
          <w:rFonts w:ascii="Verdana" w:hAnsi="Verdana"/>
          <w:b/>
        </w:rPr>
      </w:pPr>
      <w:r w:rsidRPr="005113C9">
        <w:rPr>
          <w:rFonts w:ascii="Verdana" w:hAnsi="Verdana"/>
          <w:b/>
        </w:rPr>
        <w:t>Z</w:t>
      </w:r>
      <w:r w:rsidR="00C95E91" w:rsidRPr="005113C9">
        <w:rPr>
          <w:rFonts w:ascii="Verdana" w:hAnsi="Verdana"/>
          <w:b/>
        </w:rPr>
        <w:t xml:space="preserve">miany w zakresie </w:t>
      </w:r>
      <w:r w:rsidR="00CC6BBB" w:rsidRPr="005113C9">
        <w:rPr>
          <w:rFonts w:ascii="Verdana" w:hAnsi="Verdana"/>
          <w:b/>
        </w:rPr>
        <w:t>metod</w:t>
      </w:r>
      <w:r w:rsidR="00F02A0F" w:rsidRPr="005113C9">
        <w:rPr>
          <w:rFonts w:ascii="Verdana" w:hAnsi="Verdana"/>
          <w:b/>
        </w:rPr>
        <w:t>y</w:t>
      </w:r>
      <w:r w:rsidR="00CC6BBB" w:rsidRPr="005113C9">
        <w:rPr>
          <w:rFonts w:ascii="Verdana" w:hAnsi="Verdana"/>
          <w:b/>
        </w:rPr>
        <w:t xml:space="preserve"> ustalenia opłaty za gospodarowanie odpadami komunalnymi i stawek tej opłaty.</w:t>
      </w:r>
    </w:p>
    <w:p w:rsidR="002C036C" w:rsidRPr="005113C9" w:rsidRDefault="00DA27B3" w:rsidP="00686E1A">
      <w:pPr>
        <w:spacing w:after="0" w:line="288" w:lineRule="auto"/>
        <w:outlineLvl w:val="4"/>
        <w:rPr>
          <w:rFonts w:ascii="Verdana" w:hAnsi="Verdana"/>
        </w:rPr>
      </w:pPr>
      <w:r w:rsidRPr="005113C9">
        <w:rPr>
          <w:rFonts w:ascii="Verdana" w:hAnsi="Verdana"/>
        </w:rPr>
        <w:lastRenderedPageBreak/>
        <w:t xml:space="preserve">W związku z przewidywanym wzrostem kosztów funkcjonowania systemu gospodarowania </w:t>
      </w:r>
      <w:r w:rsidR="00490F5B" w:rsidRPr="005113C9">
        <w:rPr>
          <w:rFonts w:ascii="Verdana" w:hAnsi="Verdana"/>
        </w:rPr>
        <w:t>odpadami na terenie miasta Wrocławia w latach 2023-2025</w:t>
      </w:r>
      <w:r w:rsidR="00C41DD1" w:rsidRPr="005113C9">
        <w:rPr>
          <w:rFonts w:ascii="Verdana" w:hAnsi="Verdana"/>
        </w:rPr>
        <w:t xml:space="preserve"> konieczna jest</w:t>
      </w:r>
      <w:r w:rsidRPr="005113C9">
        <w:rPr>
          <w:rFonts w:ascii="Verdana" w:hAnsi="Verdana"/>
        </w:rPr>
        <w:t xml:space="preserve"> zarówno zmiana metody ustalenia opłaty za gospodarowanie odpadami jak i </w:t>
      </w:r>
      <w:r w:rsidR="00C41DD1" w:rsidRPr="005113C9">
        <w:rPr>
          <w:rFonts w:ascii="Verdana" w:hAnsi="Verdana"/>
        </w:rPr>
        <w:t xml:space="preserve">zmiana </w:t>
      </w:r>
      <w:r w:rsidRPr="005113C9">
        <w:rPr>
          <w:rFonts w:ascii="Verdana" w:hAnsi="Verdana"/>
        </w:rPr>
        <w:t>stawek tej opłaty. Obowiązują</w:t>
      </w:r>
      <w:r w:rsidR="00C41DD1" w:rsidRPr="005113C9">
        <w:rPr>
          <w:rFonts w:ascii="Verdana" w:hAnsi="Verdana"/>
        </w:rPr>
        <w:t>ca</w:t>
      </w:r>
      <w:r w:rsidRPr="005113C9">
        <w:rPr>
          <w:rFonts w:ascii="Verdana" w:hAnsi="Verdana"/>
        </w:rPr>
        <w:t xml:space="preserve"> metoda tzw. „mieszana” pozwalała dotychczas na pokrycie kosztów systemu gospodarowania odpadami. </w:t>
      </w:r>
      <w:r w:rsidR="002C036C" w:rsidRPr="005113C9">
        <w:rPr>
          <w:rFonts w:ascii="Verdana" w:hAnsi="Verdana"/>
        </w:rPr>
        <w:t xml:space="preserve">Jednakże wobec istotnego </w:t>
      </w:r>
      <w:r w:rsidR="001A0D89" w:rsidRPr="005113C9">
        <w:rPr>
          <w:rFonts w:ascii="Verdana" w:hAnsi="Verdana"/>
        </w:rPr>
        <w:t>wzrostu szacowanych</w:t>
      </w:r>
      <w:r w:rsidR="00C41DD1" w:rsidRPr="005113C9">
        <w:rPr>
          <w:rFonts w:ascii="Verdana" w:hAnsi="Verdana"/>
        </w:rPr>
        <w:t xml:space="preserve"> kosztów, jak również wysokości stawek maksymalnych opłaty przestaje być efektywną z uwagi na ograniczony potencjał w uszczelnianiu systemu. </w:t>
      </w:r>
      <w:r w:rsidR="002C036C" w:rsidRPr="005113C9">
        <w:rPr>
          <w:rFonts w:ascii="Verdana" w:hAnsi="Verdana"/>
        </w:rPr>
        <w:t>Do</w:t>
      </w:r>
      <w:r w:rsidR="00C41DD1" w:rsidRPr="005113C9">
        <w:rPr>
          <w:rFonts w:ascii="Verdana" w:hAnsi="Verdana"/>
        </w:rPr>
        <w:t xml:space="preserve">tychczasowa metoda rodzi obiektywne </w:t>
      </w:r>
      <w:r w:rsidR="002C036C" w:rsidRPr="005113C9">
        <w:rPr>
          <w:rFonts w:ascii="Verdana" w:hAnsi="Verdana"/>
        </w:rPr>
        <w:t>trudności w</w:t>
      </w:r>
      <w:r w:rsidR="00C41DD1" w:rsidRPr="005113C9">
        <w:rPr>
          <w:rFonts w:ascii="Verdana" w:hAnsi="Verdana"/>
        </w:rPr>
        <w:t xml:space="preserve"> uszczelnianiu </w:t>
      </w:r>
      <w:r w:rsidR="002C036C" w:rsidRPr="005113C9">
        <w:rPr>
          <w:rFonts w:ascii="Verdana" w:hAnsi="Verdana"/>
        </w:rPr>
        <w:t xml:space="preserve">albowiem tam gdzie stawka naliczana jest od m2 powierzchni </w:t>
      </w:r>
      <w:r w:rsidR="00E45ADE">
        <w:rPr>
          <w:rFonts w:ascii="Verdana" w:hAnsi="Verdana"/>
        </w:rPr>
        <w:br/>
      </w:r>
      <w:r w:rsidR="002C036C" w:rsidRPr="005113C9">
        <w:rPr>
          <w:rFonts w:ascii="Verdana" w:hAnsi="Verdana"/>
        </w:rPr>
        <w:t xml:space="preserve">(dla nieruchomości, w których na jednego mieszkańca przypada 27 lub mniej powierzchni użytkowej) opłata ma charakter stały niezależnie od liczby osób zamieszkujących daną nieruchomości. I tak dla nieruchomości o powierzchni 50m2 wysokość opłaty będzie taka sama zarówno dla dwóch jak i czterech osób zamieszkujących nieruchomość, stanowi bowiem iloczyn obowiązującej stawki i powierzchni lokalu. </w:t>
      </w:r>
    </w:p>
    <w:p w:rsidR="00A03CD0" w:rsidRPr="005113C9" w:rsidRDefault="001A0D89" w:rsidP="008D1B2F">
      <w:pPr>
        <w:spacing w:before="120" w:after="120" w:line="288" w:lineRule="auto"/>
        <w:outlineLvl w:val="4"/>
        <w:rPr>
          <w:rFonts w:ascii="Verdana" w:hAnsi="Verdana"/>
        </w:rPr>
      </w:pPr>
      <w:r w:rsidRPr="005113C9">
        <w:rPr>
          <w:rFonts w:ascii="Verdana" w:hAnsi="Verdana"/>
        </w:rPr>
        <w:t>Zmiana</w:t>
      </w:r>
      <w:r w:rsidR="00B45486" w:rsidRPr="005113C9">
        <w:rPr>
          <w:rFonts w:ascii="Verdana" w:hAnsi="Verdana"/>
        </w:rPr>
        <w:t xml:space="preserve"> metody i ustalenie opłaty w oparciu o liczbę zamieszkałych osób spowoduje, ż</w:t>
      </w:r>
      <w:r w:rsidR="007C1BDB" w:rsidRPr="005113C9">
        <w:rPr>
          <w:rFonts w:ascii="Verdana" w:hAnsi="Verdana"/>
        </w:rPr>
        <w:t>e jej wysokość będzie rosła proporcjonalnie do wzrost</w:t>
      </w:r>
      <w:r w:rsidR="00211650" w:rsidRPr="005113C9">
        <w:rPr>
          <w:rFonts w:ascii="Verdana" w:hAnsi="Verdana"/>
        </w:rPr>
        <w:t>u</w:t>
      </w:r>
      <w:r w:rsidR="007C1BDB" w:rsidRPr="005113C9">
        <w:rPr>
          <w:rFonts w:ascii="Verdana" w:hAnsi="Verdana"/>
        </w:rPr>
        <w:t xml:space="preserve"> liczby osób wytwarzających odpady komunalne zarówno w odniesieniu do danej nieruchomości, jak i w odniesieniu do zwiększającej się liczby mieszkańców Wrocławia. </w:t>
      </w:r>
    </w:p>
    <w:p w:rsidR="00086182" w:rsidRPr="005113C9" w:rsidRDefault="001A0D89" w:rsidP="00686E1A">
      <w:pPr>
        <w:spacing w:after="0" w:line="288" w:lineRule="auto"/>
        <w:outlineLvl w:val="4"/>
        <w:rPr>
          <w:rFonts w:ascii="Verdana" w:hAnsi="Verdana"/>
        </w:rPr>
      </w:pPr>
      <w:r w:rsidRPr="005113C9">
        <w:rPr>
          <w:rFonts w:ascii="Verdana" w:hAnsi="Verdana"/>
        </w:rPr>
        <w:t xml:space="preserve">Zmieniona metoda, </w:t>
      </w:r>
      <w:r w:rsidR="00B45486" w:rsidRPr="005113C9">
        <w:rPr>
          <w:rFonts w:ascii="Verdana" w:hAnsi="Verdana"/>
        </w:rPr>
        <w:t xml:space="preserve">pozwoli powiązać </w:t>
      </w:r>
      <w:r w:rsidR="007C1BDB" w:rsidRPr="005113C9">
        <w:rPr>
          <w:rFonts w:ascii="Verdana" w:hAnsi="Verdana"/>
        </w:rPr>
        <w:t xml:space="preserve">wysokość </w:t>
      </w:r>
      <w:r w:rsidRPr="005113C9">
        <w:rPr>
          <w:rFonts w:ascii="Verdana" w:hAnsi="Verdana"/>
        </w:rPr>
        <w:t xml:space="preserve">opłaty </w:t>
      </w:r>
      <w:r w:rsidR="007C1BDB" w:rsidRPr="005113C9">
        <w:rPr>
          <w:rFonts w:ascii="Verdana" w:hAnsi="Verdana"/>
        </w:rPr>
        <w:t>zarówno z liczbą osób  wytwarzających odpady</w:t>
      </w:r>
      <w:r w:rsidR="00B45486" w:rsidRPr="005113C9">
        <w:rPr>
          <w:rFonts w:ascii="Verdana" w:hAnsi="Verdana"/>
        </w:rPr>
        <w:t>,</w:t>
      </w:r>
      <w:r w:rsidR="007C1BDB" w:rsidRPr="005113C9">
        <w:rPr>
          <w:rFonts w:ascii="Verdana" w:hAnsi="Verdana"/>
        </w:rPr>
        <w:t xml:space="preserve"> jak i wysokością kosztów, które s</w:t>
      </w:r>
      <w:r w:rsidRPr="005113C9">
        <w:rPr>
          <w:rFonts w:ascii="Verdana" w:hAnsi="Verdana"/>
        </w:rPr>
        <w:t>ą zależne od liczby mieszkańców</w:t>
      </w:r>
      <w:r w:rsidR="00B45486" w:rsidRPr="005113C9">
        <w:rPr>
          <w:rFonts w:ascii="Verdana" w:hAnsi="Verdana"/>
        </w:rPr>
        <w:t>. Metoda ta umożliwi</w:t>
      </w:r>
      <w:r w:rsidR="007C1BDB" w:rsidRPr="005113C9">
        <w:rPr>
          <w:rFonts w:ascii="Verdana" w:hAnsi="Verdana"/>
        </w:rPr>
        <w:t xml:space="preserve"> uszczelnianie systemu, albowiem p</w:t>
      </w:r>
      <w:r w:rsidR="00FD0FF1" w:rsidRPr="005113C9">
        <w:rPr>
          <w:rFonts w:ascii="Verdana" w:hAnsi="Verdana"/>
        </w:rPr>
        <w:t xml:space="preserve">rzepisy ustawy o utrzymaniu czystości i porządku w gminach (art. 6o ust. 1a)  przewidują możliwość weryfikacji złożonych deklaracji o wysokości opłaty za gospodarowanie odpadami komunalnymi poprzez wykorzystanie informacji </w:t>
      </w:r>
      <w:r w:rsidR="00E45ADE">
        <w:rPr>
          <w:rFonts w:ascii="Verdana" w:hAnsi="Verdana"/>
        </w:rPr>
        <w:br/>
      </w:r>
      <w:r w:rsidR="00FD0FF1" w:rsidRPr="005113C9">
        <w:rPr>
          <w:rFonts w:ascii="Verdana" w:hAnsi="Verdana"/>
        </w:rPr>
        <w:t>i danych znajdujących się w posiadaniu wójta, burmistrza, prezydenta miasta oraz posiadaniu gminnych jednostek organizacyjnych, w tym przedsiębiorstw wodociągowo-kanalizacyjnych.</w:t>
      </w:r>
      <w:r w:rsidR="004849E5" w:rsidRPr="005113C9">
        <w:rPr>
          <w:rFonts w:ascii="Verdana" w:hAnsi="Verdana"/>
        </w:rPr>
        <w:t xml:space="preserve"> </w:t>
      </w:r>
      <w:r w:rsidR="00BF6ED6" w:rsidRPr="005113C9">
        <w:rPr>
          <w:rFonts w:ascii="Verdana" w:hAnsi="Verdana"/>
        </w:rPr>
        <w:t xml:space="preserve">Mając na uwadze duży potencjał w uszczelnianiu systemu, </w:t>
      </w:r>
      <w:r w:rsidR="00FD0FF1" w:rsidRPr="005113C9">
        <w:rPr>
          <w:rFonts w:ascii="Verdana" w:hAnsi="Verdana"/>
        </w:rPr>
        <w:t xml:space="preserve">biorąc pod uwagę wzrost kosztów </w:t>
      </w:r>
      <w:r w:rsidR="00B15E68" w:rsidRPr="005113C9">
        <w:rPr>
          <w:rFonts w:ascii="Verdana" w:hAnsi="Verdana"/>
        </w:rPr>
        <w:t xml:space="preserve">funkcjonowania systemu zagospodarowania odpadami oraz zwiększenie </w:t>
      </w:r>
      <w:r w:rsidR="00211650" w:rsidRPr="005113C9">
        <w:rPr>
          <w:rFonts w:ascii="Verdana" w:hAnsi="Verdana"/>
        </w:rPr>
        <w:t xml:space="preserve">liczby </w:t>
      </w:r>
      <w:r w:rsidR="00B15E68" w:rsidRPr="005113C9">
        <w:rPr>
          <w:rFonts w:ascii="Verdana" w:hAnsi="Verdana"/>
        </w:rPr>
        <w:t>mieszkańców</w:t>
      </w:r>
      <w:r w:rsidR="00B45486" w:rsidRPr="005113C9">
        <w:rPr>
          <w:rFonts w:ascii="Verdana" w:hAnsi="Verdana"/>
        </w:rPr>
        <w:t xml:space="preserve"> Wrocławia</w:t>
      </w:r>
      <w:r w:rsidR="006F4518" w:rsidRPr="005113C9">
        <w:rPr>
          <w:rFonts w:ascii="Verdana" w:hAnsi="Verdana"/>
        </w:rPr>
        <w:t>,</w:t>
      </w:r>
      <w:r w:rsidR="00B45486" w:rsidRPr="005113C9">
        <w:rPr>
          <w:rFonts w:ascii="Verdana" w:hAnsi="Verdana"/>
        </w:rPr>
        <w:t xml:space="preserve"> </w:t>
      </w:r>
      <w:r w:rsidR="00207768" w:rsidRPr="005113C9">
        <w:rPr>
          <w:rFonts w:ascii="Verdana" w:hAnsi="Verdana"/>
        </w:rPr>
        <w:t>metoda ustalenia opłaty za gospodarowanie odpadami komunalnymi</w:t>
      </w:r>
      <w:r w:rsidR="006F4518" w:rsidRPr="005113C9">
        <w:rPr>
          <w:rFonts w:ascii="Verdana" w:hAnsi="Verdana"/>
        </w:rPr>
        <w:t xml:space="preserve"> </w:t>
      </w:r>
      <w:r w:rsidR="00207768" w:rsidRPr="005113C9">
        <w:rPr>
          <w:rFonts w:ascii="Verdana" w:hAnsi="Verdana"/>
        </w:rPr>
        <w:t xml:space="preserve">oparta </w:t>
      </w:r>
      <w:r w:rsidR="006F4518" w:rsidRPr="005113C9">
        <w:rPr>
          <w:rFonts w:ascii="Verdana" w:hAnsi="Verdana"/>
        </w:rPr>
        <w:t xml:space="preserve">zostanie </w:t>
      </w:r>
      <w:r w:rsidR="00207768" w:rsidRPr="005113C9">
        <w:rPr>
          <w:rFonts w:ascii="Verdana" w:hAnsi="Verdana"/>
        </w:rPr>
        <w:t xml:space="preserve">o kryterium liczby mieszkańców zamieszkujących nieruchomość. </w:t>
      </w:r>
      <w:r w:rsidR="006F4518" w:rsidRPr="005113C9">
        <w:rPr>
          <w:rFonts w:ascii="Verdana" w:hAnsi="Verdana"/>
        </w:rPr>
        <w:t>Opłata stanowić będzie</w:t>
      </w:r>
      <w:r w:rsidR="00B15E68" w:rsidRPr="005113C9">
        <w:rPr>
          <w:rFonts w:ascii="Verdana" w:hAnsi="Verdana"/>
        </w:rPr>
        <w:t xml:space="preserve"> iloczyn liczby mieszkańców zamieszkujących daną nieruchomość oraz stawki opłaty.</w:t>
      </w:r>
      <w:r w:rsidR="004849E5" w:rsidRPr="005113C9">
        <w:rPr>
          <w:rFonts w:ascii="Verdana" w:hAnsi="Verdana"/>
        </w:rPr>
        <w:t xml:space="preserve"> </w:t>
      </w:r>
    </w:p>
    <w:p w:rsidR="00490F5B" w:rsidRPr="005113C9" w:rsidRDefault="006F4518" w:rsidP="00686E1A">
      <w:pPr>
        <w:spacing w:after="0" w:line="288" w:lineRule="auto"/>
        <w:outlineLvl w:val="4"/>
        <w:rPr>
          <w:rFonts w:ascii="Verdana" w:hAnsi="Verdana"/>
        </w:rPr>
      </w:pPr>
      <w:r w:rsidRPr="005113C9">
        <w:rPr>
          <w:rFonts w:ascii="Verdana" w:hAnsi="Verdana"/>
        </w:rPr>
        <w:t>M</w:t>
      </w:r>
      <w:r w:rsidR="00652D4F" w:rsidRPr="005113C9">
        <w:rPr>
          <w:rFonts w:ascii="Verdana" w:hAnsi="Verdana"/>
        </w:rPr>
        <w:t xml:space="preserve">etoda </w:t>
      </w:r>
      <w:r w:rsidRPr="005113C9">
        <w:rPr>
          <w:rFonts w:ascii="Verdana" w:hAnsi="Verdana"/>
        </w:rPr>
        <w:t xml:space="preserve">oparta o kryterium liczby osób jest metodą </w:t>
      </w:r>
      <w:r w:rsidR="00652D4F" w:rsidRPr="005113C9">
        <w:rPr>
          <w:rFonts w:ascii="Verdana" w:hAnsi="Verdana"/>
        </w:rPr>
        <w:t xml:space="preserve">najbardziej </w:t>
      </w:r>
      <w:r w:rsidR="00BF6ED6" w:rsidRPr="005113C9">
        <w:rPr>
          <w:rFonts w:ascii="Verdana" w:hAnsi="Verdana"/>
        </w:rPr>
        <w:t>sprawiedliwą</w:t>
      </w:r>
      <w:r w:rsidR="00652D4F" w:rsidRPr="005113C9">
        <w:rPr>
          <w:rFonts w:ascii="Verdana" w:hAnsi="Verdana"/>
        </w:rPr>
        <w:t>,</w:t>
      </w:r>
      <w:r w:rsidR="00BF6ED6" w:rsidRPr="005113C9">
        <w:rPr>
          <w:rFonts w:ascii="Verdana" w:hAnsi="Verdana"/>
        </w:rPr>
        <w:t xml:space="preserve"> albowiem ilość powstających w danym gospodarstwie odpadów jest zależna od liczby osób je wytwarzających. </w:t>
      </w:r>
    </w:p>
    <w:p w:rsidR="002D6741" w:rsidRPr="005113C9" w:rsidRDefault="006F4518" w:rsidP="00764443">
      <w:pPr>
        <w:spacing w:before="120" w:after="120" w:line="288" w:lineRule="auto"/>
        <w:rPr>
          <w:rFonts w:ascii="Verdana" w:hAnsi="Verdana"/>
        </w:rPr>
      </w:pPr>
      <w:r w:rsidRPr="005113C9">
        <w:rPr>
          <w:rFonts w:ascii="Verdana" w:hAnsi="Verdana"/>
        </w:rPr>
        <w:t>S</w:t>
      </w:r>
      <w:r w:rsidR="00490F5B" w:rsidRPr="005113C9">
        <w:rPr>
          <w:rFonts w:ascii="Verdana" w:hAnsi="Verdana"/>
        </w:rPr>
        <w:t>tawki opłaty za gospodarowanie odpadami komunalnymi s</w:t>
      </w:r>
      <w:r w:rsidR="00652D4F" w:rsidRPr="005113C9">
        <w:rPr>
          <w:rFonts w:ascii="Verdana" w:hAnsi="Verdana"/>
        </w:rPr>
        <w:t xml:space="preserve">ą zgodne </w:t>
      </w:r>
      <w:r w:rsidR="00E45ADE">
        <w:rPr>
          <w:rFonts w:ascii="Verdana" w:hAnsi="Verdana"/>
        </w:rPr>
        <w:br/>
      </w:r>
      <w:r w:rsidR="00652D4F" w:rsidRPr="005113C9">
        <w:rPr>
          <w:rFonts w:ascii="Verdana" w:hAnsi="Verdana"/>
        </w:rPr>
        <w:t xml:space="preserve">z przepisami ustawy </w:t>
      </w:r>
      <w:r w:rsidR="00490F5B" w:rsidRPr="005113C9">
        <w:rPr>
          <w:rFonts w:ascii="Verdana" w:hAnsi="Verdana"/>
        </w:rPr>
        <w:t xml:space="preserve">o utrzymaniu czystości i porządku w gminach </w:t>
      </w:r>
      <w:r w:rsidR="00E45ADE">
        <w:rPr>
          <w:rFonts w:ascii="Verdana" w:hAnsi="Verdana"/>
        </w:rPr>
        <w:br/>
      </w:r>
      <w:r w:rsidR="00490F5B" w:rsidRPr="005113C9">
        <w:rPr>
          <w:rFonts w:ascii="Verdana" w:hAnsi="Verdana"/>
        </w:rPr>
        <w:lastRenderedPageBreak/>
        <w:t>(art. 6k ust. 2a pkt 1,3 i 5)</w:t>
      </w:r>
      <w:r w:rsidR="00892E95" w:rsidRPr="005113C9">
        <w:rPr>
          <w:rFonts w:ascii="Verdana" w:hAnsi="Verdana"/>
        </w:rPr>
        <w:t xml:space="preserve"> i </w:t>
      </w:r>
      <w:r w:rsidR="00490F5B" w:rsidRPr="005113C9">
        <w:rPr>
          <w:rFonts w:ascii="Verdana" w:hAnsi="Verdana"/>
        </w:rPr>
        <w:t xml:space="preserve">nie przekraczają wysokości maksymalnych stawek opłaty ustalanych w oparciu </w:t>
      </w:r>
      <w:r w:rsidR="00892E95" w:rsidRPr="005113C9">
        <w:rPr>
          <w:rFonts w:ascii="Verdana" w:hAnsi="Verdana"/>
        </w:rPr>
        <w:t>o ww. przepisy.</w:t>
      </w:r>
    </w:p>
    <w:p w:rsidR="006E3217" w:rsidRPr="005113C9" w:rsidRDefault="00B7421E" w:rsidP="00476F8E">
      <w:pPr>
        <w:spacing w:before="120" w:after="120" w:line="288" w:lineRule="auto"/>
        <w:rPr>
          <w:rFonts w:ascii="Verdana" w:hAnsi="Verdana"/>
        </w:rPr>
      </w:pPr>
      <w:r w:rsidRPr="005113C9">
        <w:rPr>
          <w:rFonts w:ascii="Verdana" w:hAnsi="Verdana"/>
        </w:rPr>
        <w:t>Zgodnie z</w:t>
      </w:r>
      <w:r w:rsidR="00D23F76" w:rsidRPr="005113C9">
        <w:rPr>
          <w:rFonts w:ascii="Verdana" w:hAnsi="Verdana"/>
        </w:rPr>
        <w:t xml:space="preserve"> </w:t>
      </w:r>
      <w:hyperlink r:id="rId10" w:tgtFrame="_blank" w:history="1">
        <w:r w:rsidRPr="005113C9">
          <w:rPr>
            <w:rStyle w:val="Pogrubienie"/>
            <w:rFonts w:ascii="Verdana" w:hAnsi="Verdana"/>
            <w:b w:val="0"/>
            <w:bCs/>
          </w:rPr>
          <w:t>obwieszczeniem</w:t>
        </w:r>
        <w:r w:rsidRPr="005113C9">
          <w:rPr>
            <w:rStyle w:val="Hipercze"/>
            <w:rFonts w:ascii="Verdana" w:hAnsi="Verdana"/>
            <w:b/>
            <w:u w:val="none"/>
          </w:rPr>
          <w:t xml:space="preserve"> </w:t>
        </w:r>
        <w:r w:rsidRPr="005113C9">
          <w:rPr>
            <w:rStyle w:val="Pogrubienie"/>
            <w:rFonts w:ascii="Verdana" w:hAnsi="Verdana"/>
            <w:b w:val="0"/>
            <w:bCs/>
          </w:rPr>
          <w:t>Prezesa Głównego Urzędu Statystycznego z</w:t>
        </w:r>
        <w:r w:rsidR="00D23F76" w:rsidRPr="005113C9">
          <w:rPr>
            <w:rStyle w:val="Pogrubienie"/>
            <w:rFonts w:ascii="Verdana" w:hAnsi="Verdana"/>
            <w:b w:val="0"/>
            <w:bCs/>
          </w:rPr>
          <w:t xml:space="preserve"> </w:t>
        </w:r>
        <w:r w:rsidRPr="005113C9">
          <w:rPr>
            <w:rStyle w:val="Pogrubienie"/>
            <w:rFonts w:ascii="Verdana" w:hAnsi="Verdana"/>
            <w:b w:val="0"/>
            <w:bCs/>
          </w:rPr>
          <w:t>dnia 30</w:t>
        </w:r>
        <w:r w:rsidR="00D23F76" w:rsidRPr="005113C9">
          <w:rPr>
            <w:rStyle w:val="Pogrubienie"/>
            <w:rFonts w:ascii="Verdana" w:hAnsi="Verdana"/>
            <w:b w:val="0"/>
            <w:bCs/>
          </w:rPr>
          <w:t xml:space="preserve"> </w:t>
        </w:r>
        <w:r w:rsidRPr="005113C9">
          <w:rPr>
            <w:rStyle w:val="Pogrubienie"/>
            <w:rFonts w:ascii="Verdana" w:hAnsi="Verdana"/>
            <w:b w:val="0"/>
            <w:bCs/>
          </w:rPr>
          <w:t>marca 2022 r.</w:t>
        </w:r>
        <w:r w:rsidRPr="005113C9">
          <w:rPr>
            <w:rStyle w:val="Hipercze"/>
            <w:rFonts w:ascii="Verdana" w:hAnsi="Verdana"/>
            <w:b/>
            <w:u w:val="none"/>
          </w:rPr>
          <w:t xml:space="preserve"> </w:t>
        </w:r>
        <w:r w:rsidRPr="005113C9">
          <w:rPr>
            <w:rStyle w:val="Pogrubienie"/>
            <w:rFonts w:ascii="Verdana" w:hAnsi="Verdana"/>
            <w:b w:val="0"/>
            <w:bCs/>
          </w:rPr>
          <w:t>w sprawie przeciętnego miesięcznego dochodu rozporządzalnego na </w:t>
        </w:r>
        <w:r w:rsidR="002D6741" w:rsidRPr="005113C9">
          <w:rPr>
            <w:rStyle w:val="Pogrubienie"/>
            <w:rFonts w:ascii="Verdana" w:hAnsi="Verdana"/>
            <w:b w:val="0"/>
            <w:bCs/>
          </w:rPr>
          <w:t>jedną</w:t>
        </w:r>
        <w:r w:rsidRPr="005113C9">
          <w:rPr>
            <w:rStyle w:val="Pogrubienie"/>
            <w:rFonts w:ascii="Verdana" w:hAnsi="Verdana"/>
            <w:b w:val="0"/>
            <w:bCs/>
          </w:rPr>
          <w:t> osobę ogółem w 2021 r.</w:t>
        </w:r>
        <w:r w:rsidRPr="005113C9">
          <w:rPr>
            <w:rStyle w:val="Hipercze"/>
            <w:rFonts w:ascii="Verdana" w:hAnsi="Verdana"/>
            <w:b/>
            <w:u w:val="none"/>
          </w:rPr>
          <w:t xml:space="preserve"> </w:t>
        </w:r>
      </w:hyperlink>
      <w:r w:rsidRPr="005113C9">
        <w:rPr>
          <w:rFonts w:ascii="Verdana" w:hAnsi="Verdana"/>
        </w:rPr>
        <w:t>przeciętny miesięczny dochód rozporządzalny na </w:t>
      </w:r>
      <w:r w:rsidR="002D6741" w:rsidRPr="005113C9">
        <w:rPr>
          <w:rFonts w:ascii="Verdana" w:hAnsi="Verdana"/>
        </w:rPr>
        <w:t>jedną</w:t>
      </w:r>
      <w:r w:rsidRPr="005113C9">
        <w:rPr>
          <w:rFonts w:ascii="Verdana" w:hAnsi="Verdana"/>
        </w:rPr>
        <w:t xml:space="preserve"> osobę ogółem w 2021 r. wyniósł </w:t>
      </w:r>
      <w:r w:rsidRPr="005113C9">
        <w:rPr>
          <w:rStyle w:val="Pogrubienie"/>
          <w:rFonts w:ascii="Verdana" w:hAnsi="Verdana"/>
          <w:b w:val="0"/>
          <w:bCs/>
        </w:rPr>
        <w:t>2061,93</w:t>
      </w:r>
      <w:r w:rsidRPr="005113C9">
        <w:rPr>
          <w:rFonts w:ascii="Verdana" w:hAnsi="Verdana"/>
          <w:b/>
        </w:rPr>
        <w:t xml:space="preserve"> </w:t>
      </w:r>
      <w:r w:rsidRPr="005113C9">
        <w:rPr>
          <w:rStyle w:val="Pogrubienie"/>
          <w:rFonts w:ascii="Verdana" w:hAnsi="Verdana"/>
          <w:b w:val="0"/>
          <w:bCs/>
        </w:rPr>
        <w:t>zł</w:t>
      </w:r>
      <w:r w:rsidRPr="005113C9">
        <w:rPr>
          <w:rFonts w:ascii="Verdana" w:hAnsi="Verdana"/>
        </w:rPr>
        <w:t>.</w:t>
      </w:r>
    </w:p>
    <w:p w:rsidR="003B4FA3" w:rsidRPr="005113C9" w:rsidRDefault="003B4FA3" w:rsidP="00686E1A">
      <w:pPr>
        <w:pStyle w:val="Akapitzlist"/>
        <w:tabs>
          <w:tab w:val="left" w:pos="567"/>
        </w:tabs>
        <w:spacing w:after="0" w:line="288" w:lineRule="auto"/>
        <w:ind w:left="0"/>
        <w:rPr>
          <w:rFonts w:ascii="Verdana" w:hAnsi="Verdana"/>
        </w:rPr>
      </w:pPr>
      <w:r w:rsidRPr="005113C9">
        <w:rPr>
          <w:rFonts w:ascii="Verdana" w:hAnsi="Verdana"/>
        </w:rPr>
        <w:t>Biorąc pod uwagę wskazane powyżej ustawowe kryteria mające wpływ na określenie wysokości stawki opłaty za gospodarowanie odpadami komunalnymi</w:t>
      </w:r>
      <w:r w:rsidR="005B45CD" w:rsidRPr="005113C9">
        <w:rPr>
          <w:rFonts w:ascii="Verdana" w:hAnsi="Verdana"/>
        </w:rPr>
        <w:t>,</w:t>
      </w:r>
      <w:r w:rsidR="007D7B79" w:rsidRPr="005113C9">
        <w:rPr>
          <w:rFonts w:ascii="Verdana" w:hAnsi="Verdana"/>
        </w:rPr>
        <w:t xml:space="preserve"> stawki wyniosą</w:t>
      </w:r>
      <w:r w:rsidRPr="005113C9">
        <w:rPr>
          <w:rFonts w:ascii="Verdana" w:hAnsi="Verdana"/>
        </w:rPr>
        <w:t xml:space="preserve">: </w:t>
      </w:r>
    </w:p>
    <w:p w:rsidR="00B6069A" w:rsidRPr="005113C9" w:rsidRDefault="003B4FA3" w:rsidP="00B6069A">
      <w:pPr>
        <w:pStyle w:val="Akapitzlist"/>
        <w:numPr>
          <w:ilvl w:val="0"/>
          <w:numId w:val="24"/>
        </w:numPr>
        <w:tabs>
          <w:tab w:val="left" w:pos="567"/>
        </w:tabs>
        <w:spacing w:after="0" w:line="288" w:lineRule="auto"/>
        <w:ind w:left="284" w:hanging="284"/>
        <w:rPr>
          <w:rFonts w:ascii="Verdana" w:hAnsi="Verdana"/>
        </w:rPr>
      </w:pPr>
      <w:r w:rsidRPr="005113C9">
        <w:rPr>
          <w:rFonts w:ascii="Verdana" w:hAnsi="Verdana"/>
          <w:b/>
        </w:rPr>
        <w:t>41,24 zł</w:t>
      </w:r>
      <w:r w:rsidRPr="005113C9">
        <w:rPr>
          <w:rFonts w:ascii="Verdana" w:hAnsi="Verdana"/>
        </w:rPr>
        <w:t xml:space="preserve"> od osoby miesięcznie, w przypadku gdy odpady zbierane są </w:t>
      </w:r>
      <w:r w:rsidR="00E45ADE">
        <w:rPr>
          <w:rFonts w:ascii="Verdana" w:hAnsi="Verdana"/>
        </w:rPr>
        <w:br/>
      </w:r>
      <w:r w:rsidRPr="005113C9">
        <w:rPr>
          <w:rFonts w:ascii="Verdana" w:hAnsi="Verdana"/>
        </w:rPr>
        <w:t xml:space="preserve">w sposób selektywny, </w:t>
      </w:r>
    </w:p>
    <w:p w:rsidR="00771C32" w:rsidRPr="005113C9" w:rsidRDefault="003B4FA3" w:rsidP="00B6069A">
      <w:pPr>
        <w:pStyle w:val="Akapitzlist"/>
        <w:numPr>
          <w:ilvl w:val="0"/>
          <w:numId w:val="24"/>
        </w:numPr>
        <w:tabs>
          <w:tab w:val="left" w:pos="567"/>
        </w:tabs>
        <w:spacing w:after="0" w:line="288" w:lineRule="auto"/>
        <w:ind w:left="284" w:hanging="284"/>
        <w:rPr>
          <w:rFonts w:ascii="Verdana" w:hAnsi="Verdana"/>
        </w:rPr>
      </w:pPr>
      <w:r w:rsidRPr="005113C9">
        <w:rPr>
          <w:rFonts w:ascii="Verdana" w:hAnsi="Verdana"/>
          <w:b/>
        </w:rPr>
        <w:t>82,48</w:t>
      </w:r>
      <w:r w:rsidRPr="005113C9">
        <w:rPr>
          <w:rFonts w:ascii="Verdana" w:hAnsi="Verdana"/>
        </w:rPr>
        <w:t xml:space="preserve"> </w:t>
      </w:r>
      <w:r w:rsidRPr="005113C9">
        <w:rPr>
          <w:rFonts w:ascii="Verdana" w:hAnsi="Verdana"/>
          <w:b/>
        </w:rPr>
        <w:t>zł</w:t>
      </w:r>
      <w:r w:rsidRPr="005113C9">
        <w:rPr>
          <w:rFonts w:ascii="Verdana" w:hAnsi="Verdana"/>
        </w:rPr>
        <w:t xml:space="preserve"> od osoby miesięcznie, w przypadku gdy odpady nie są zbierane </w:t>
      </w:r>
      <w:r w:rsidR="00E45ADE">
        <w:rPr>
          <w:rFonts w:ascii="Verdana" w:hAnsi="Verdana"/>
        </w:rPr>
        <w:br/>
      </w:r>
      <w:r w:rsidRPr="005113C9">
        <w:rPr>
          <w:rFonts w:ascii="Verdana" w:hAnsi="Verdana"/>
        </w:rPr>
        <w:t>w sposób selektywny.</w:t>
      </w:r>
    </w:p>
    <w:p w:rsidR="0079574C" w:rsidRPr="005113C9" w:rsidRDefault="00BF6ED6" w:rsidP="00E45ADE">
      <w:pPr>
        <w:keepLines/>
        <w:spacing w:before="120" w:after="120" w:line="288" w:lineRule="auto"/>
        <w:rPr>
          <w:rFonts w:ascii="Verdana" w:hAnsi="Verdana"/>
          <w:color w:val="000000"/>
          <w:u w:color="000000"/>
        </w:rPr>
      </w:pPr>
      <w:r w:rsidRPr="005113C9">
        <w:rPr>
          <w:rFonts w:ascii="Verdana" w:hAnsi="Verdana"/>
        </w:rPr>
        <w:t>Uchwała przewiduje także wsparcie dla rodzin wie</w:t>
      </w:r>
      <w:r w:rsidR="002F24C3" w:rsidRPr="005113C9">
        <w:rPr>
          <w:rFonts w:ascii="Verdana" w:hAnsi="Verdana"/>
        </w:rPr>
        <w:t>lodzietnych, poprzez zwolnienie</w:t>
      </w:r>
      <w:r w:rsidR="00F63AA4" w:rsidRPr="005113C9">
        <w:rPr>
          <w:rFonts w:ascii="Verdana" w:hAnsi="Verdana"/>
        </w:rPr>
        <w:t xml:space="preserve"> w części z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opłaty za gospodarowanie odpadami komunalnymi właścicieli nieruchomości, w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częściach na których zamieszkują rodziny wielodzietne, o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których mowa w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ustawie z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dnia 5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grudnia 2014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r. o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Karcie Dużej Rodziny (Dz.U. z</w:t>
      </w:r>
      <w:r w:rsidR="005336EE" w:rsidRPr="005113C9">
        <w:rPr>
          <w:rFonts w:ascii="Verdana" w:hAnsi="Verdana"/>
        </w:rPr>
        <w:t xml:space="preserve"> 2</w:t>
      </w:r>
      <w:r w:rsidR="00F63AA4" w:rsidRPr="005113C9">
        <w:rPr>
          <w:rFonts w:ascii="Verdana" w:hAnsi="Verdana"/>
        </w:rPr>
        <w:t>021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r. poz.1744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i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Dz.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U. z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2022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r. poz.2140)</w:t>
      </w:r>
      <w:r w:rsidR="00E669B9" w:rsidRPr="005113C9">
        <w:rPr>
          <w:rFonts w:ascii="Verdana" w:hAnsi="Verdana"/>
        </w:rPr>
        <w:t>,</w:t>
      </w:r>
      <w:r w:rsidR="00F63AA4" w:rsidRPr="005113C9">
        <w:rPr>
          <w:rFonts w:ascii="Verdana" w:hAnsi="Verdana"/>
        </w:rPr>
        <w:t xml:space="preserve"> jeśli odpady zbierane są w</w:t>
      </w:r>
      <w:r w:rsidR="005336EE" w:rsidRPr="005113C9">
        <w:rPr>
          <w:rFonts w:ascii="Verdana" w:hAnsi="Verdana"/>
        </w:rPr>
        <w:t xml:space="preserve"> </w:t>
      </w:r>
      <w:r w:rsidR="00F63AA4" w:rsidRPr="005113C9">
        <w:rPr>
          <w:rFonts w:ascii="Verdana" w:hAnsi="Verdana"/>
        </w:rPr>
        <w:t>sposób selektywny.</w:t>
      </w:r>
      <w:r w:rsidR="002F24C3" w:rsidRPr="005113C9">
        <w:rPr>
          <w:rFonts w:ascii="Verdana" w:hAnsi="Verdana"/>
          <w:color w:val="000000"/>
          <w:u w:color="000000"/>
        </w:rPr>
        <w:t xml:space="preserve"> Z</w:t>
      </w:r>
      <w:r w:rsidR="00185A73" w:rsidRPr="005113C9">
        <w:rPr>
          <w:rFonts w:ascii="Verdana" w:hAnsi="Verdana"/>
          <w:color w:val="000000"/>
          <w:u w:color="000000"/>
        </w:rPr>
        <w:t>wolnienie dla rod</w:t>
      </w:r>
      <w:r w:rsidR="002F24C3" w:rsidRPr="005113C9">
        <w:rPr>
          <w:rFonts w:ascii="Verdana" w:hAnsi="Verdana"/>
          <w:color w:val="000000"/>
          <w:u w:color="000000"/>
        </w:rPr>
        <w:t>zin wielodzietnych ustalone zostanie</w:t>
      </w:r>
      <w:r w:rsidR="00185A73" w:rsidRPr="005113C9">
        <w:rPr>
          <w:rFonts w:ascii="Verdana" w:hAnsi="Verdana"/>
          <w:color w:val="000000"/>
          <w:u w:color="000000"/>
        </w:rPr>
        <w:t xml:space="preserve"> pro</w:t>
      </w:r>
      <w:r w:rsidR="00E669B9" w:rsidRPr="005113C9">
        <w:rPr>
          <w:rFonts w:ascii="Verdana" w:hAnsi="Verdana"/>
          <w:color w:val="000000"/>
          <w:u w:color="000000"/>
        </w:rPr>
        <w:t>c</w:t>
      </w:r>
      <w:r w:rsidR="00185A73" w:rsidRPr="005113C9">
        <w:rPr>
          <w:rFonts w:ascii="Verdana" w:hAnsi="Verdana"/>
          <w:color w:val="000000"/>
          <w:u w:color="000000"/>
        </w:rPr>
        <w:t>entowo od całości opłaty wyliczonej dla rodzin wielodzietnych na za</w:t>
      </w:r>
      <w:r w:rsidRPr="005113C9">
        <w:rPr>
          <w:rFonts w:ascii="Verdana" w:hAnsi="Verdana"/>
          <w:color w:val="000000"/>
          <w:u w:color="000000"/>
        </w:rPr>
        <w:t>s</w:t>
      </w:r>
      <w:r w:rsidR="00185A73" w:rsidRPr="005113C9">
        <w:rPr>
          <w:rFonts w:ascii="Verdana" w:hAnsi="Verdana"/>
          <w:color w:val="000000"/>
          <w:u w:color="000000"/>
        </w:rPr>
        <w:t>adach określonych w uchwale.</w:t>
      </w:r>
      <w:r w:rsidRPr="005113C9">
        <w:rPr>
          <w:rFonts w:ascii="Verdana" w:hAnsi="Verdana"/>
          <w:color w:val="000000"/>
          <w:u w:color="000000"/>
        </w:rPr>
        <w:t xml:space="preserve"> </w:t>
      </w:r>
    </w:p>
    <w:p w:rsidR="003B4FA3" w:rsidRPr="005113C9" w:rsidRDefault="00EA5FD2" w:rsidP="00476F8E">
      <w:pPr>
        <w:keepLines/>
        <w:spacing w:before="120" w:after="120" w:line="288" w:lineRule="auto"/>
        <w:rPr>
          <w:rFonts w:ascii="Verdana" w:hAnsi="Verdana"/>
          <w:color w:val="000000"/>
          <w:u w:color="000000"/>
        </w:rPr>
      </w:pPr>
      <w:r w:rsidRPr="005113C9">
        <w:rPr>
          <w:rFonts w:ascii="Verdana" w:hAnsi="Verdana"/>
        </w:rPr>
        <w:t>D</w:t>
      </w:r>
      <w:r w:rsidR="003B4FA3" w:rsidRPr="005113C9">
        <w:rPr>
          <w:rFonts w:ascii="Verdana" w:hAnsi="Verdana"/>
        </w:rPr>
        <w:t xml:space="preserve">la nieruchomości, na których nie  zamieszkują mieszkańcy, a powstają odpady komunalne, w przypadku gdy odpady są zbierane i odbierane w sposób selektywny </w:t>
      </w:r>
      <w:r w:rsidR="007D7B79" w:rsidRPr="005113C9">
        <w:rPr>
          <w:rFonts w:ascii="Verdana" w:hAnsi="Verdana"/>
        </w:rPr>
        <w:t xml:space="preserve">stawki wyniosą: </w:t>
      </w:r>
    </w:p>
    <w:p w:rsidR="004849E5" w:rsidRPr="005113C9" w:rsidRDefault="0020398A" w:rsidP="00E45ADE">
      <w:pPr>
        <w:pStyle w:val="Akapitzlist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worek o pojemności 80 litrów –  13,33 zł;</w:t>
      </w:r>
    </w:p>
    <w:p w:rsidR="004849E5" w:rsidRPr="005113C9" w:rsidRDefault="004849E5" w:rsidP="00E45ADE">
      <w:pPr>
        <w:pStyle w:val="Akapitzlist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 xml:space="preserve"> </w:t>
      </w:r>
      <w:r w:rsidR="0020398A" w:rsidRPr="005113C9">
        <w:rPr>
          <w:rFonts w:ascii="Verdana" w:hAnsi="Verdana"/>
          <w:lang w:eastAsia="pl-PL"/>
        </w:rPr>
        <w:t>worek  o pojemności   120 litrów –  20,00 zł;</w:t>
      </w:r>
    </w:p>
    <w:p w:rsidR="004849E5" w:rsidRPr="005113C9" w:rsidRDefault="004849E5" w:rsidP="00B6069A">
      <w:pPr>
        <w:pStyle w:val="Akapitzlist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 xml:space="preserve"> </w:t>
      </w:r>
      <w:r w:rsidR="0020398A" w:rsidRPr="005113C9">
        <w:rPr>
          <w:rFonts w:ascii="Verdana" w:hAnsi="Verdana"/>
          <w:lang w:eastAsia="pl-PL"/>
        </w:rPr>
        <w:t>pojemnik o pojemności  0,06 m³ –  10,00 zł;</w:t>
      </w:r>
    </w:p>
    <w:p w:rsidR="004849E5" w:rsidRPr="005113C9" w:rsidRDefault="004849E5" w:rsidP="00B6069A">
      <w:pPr>
        <w:pStyle w:val="Akapitzlist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 xml:space="preserve"> </w:t>
      </w:r>
      <w:r w:rsidR="0020398A" w:rsidRPr="005113C9">
        <w:rPr>
          <w:rFonts w:ascii="Verdana" w:hAnsi="Verdana"/>
          <w:lang w:eastAsia="pl-PL"/>
        </w:rPr>
        <w:t>pojemnik o pojemności  0,08 m³ –  13,33 zł;</w:t>
      </w:r>
    </w:p>
    <w:p w:rsidR="004849E5" w:rsidRPr="005113C9" w:rsidRDefault="004849E5" w:rsidP="00B6069A">
      <w:pPr>
        <w:pStyle w:val="Akapitzlist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 xml:space="preserve"> </w:t>
      </w:r>
      <w:r w:rsidR="0020398A" w:rsidRPr="005113C9">
        <w:rPr>
          <w:rFonts w:ascii="Verdana" w:hAnsi="Verdana"/>
          <w:lang w:eastAsia="pl-PL"/>
        </w:rPr>
        <w:t>pojemnik o pojemności  0,12 m³ –  20,00 zł;</w:t>
      </w:r>
    </w:p>
    <w:p w:rsidR="004849E5" w:rsidRPr="005113C9" w:rsidRDefault="004849E5" w:rsidP="00B6069A">
      <w:pPr>
        <w:pStyle w:val="Akapitzlist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 xml:space="preserve"> </w:t>
      </w:r>
      <w:r w:rsidR="0020398A" w:rsidRPr="005113C9">
        <w:rPr>
          <w:rFonts w:ascii="Verdana" w:hAnsi="Verdana"/>
          <w:lang w:eastAsia="pl-PL"/>
        </w:rPr>
        <w:t>pojemnik o pojemności  0,24 m³ –  40,00 zł;</w:t>
      </w:r>
    </w:p>
    <w:p w:rsidR="004849E5" w:rsidRPr="005113C9" w:rsidRDefault="004849E5" w:rsidP="00B6069A">
      <w:pPr>
        <w:pStyle w:val="Akapitzlist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 xml:space="preserve"> </w:t>
      </w:r>
      <w:r w:rsidR="0020398A" w:rsidRPr="005113C9">
        <w:rPr>
          <w:rFonts w:ascii="Verdana" w:hAnsi="Verdana"/>
          <w:lang w:eastAsia="pl-PL"/>
        </w:rPr>
        <w:t>pojemnik o pojemności  0,36 m³  –  60,00 zł;</w:t>
      </w:r>
    </w:p>
    <w:p w:rsidR="004849E5" w:rsidRPr="005113C9" w:rsidRDefault="004849E5" w:rsidP="00B6069A">
      <w:pPr>
        <w:pStyle w:val="Akapitzlist"/>
        <w:numPr>
          <w:ilvl w:val="0"/>
          <w:numId w:val="3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 xml:space="preserve"> </w:t>
      </w:r>
      <w:r w:rsidR="0020398A" w:rsidRPr="005113C9">
        <w:rPr>
          <w:rFonts w:ascii="Verdana" w:hAnsi="Verdana"/>
          <w:lang w:eastAsia="pl-PL"/>
        </w:rPr>
        <w:t>pojemnik o pojemności  0,66 m³  –  109,99 zł;</w:t>
      </w:r>
    </w:p>
    <w:p w:rsidR="004849E5" w:rsidRPr="005113C9" w:rsidRDefault="004849E5" w:rsidP="00B6069A">
      <w:pPr>
        <w:pStyle w:val="Akapitzlist"/>
        <w:numPr>
          <w:ilvl w:val="0"/>
          <w:numId w:val="3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 xml:space="preserve"> </w:t>
      </w:r>
      <w:r w:rsidR="0020398A" w:rsidRPr="005113C9">
        <w:rPr>
          <w:rFonts w:ascii="Verdana" w:hAnsi="Verdana"/>
          <w:lang w:eastAsia="pl-PL"/>
        </w:rPr>
        <w:t>pojemnik o pojemności  1,10 m³  –  183,32 zł;</w:t>
      </w:r>
    </w:p>
    <w:p w:rsidR="004849E5" w:rsidRPr="005113C9" w:rsidRDefault="0020398A" w:rsidP="00B6069A">
      <w:pPr>
        <w:pStyle w:val="Akapitzlist"/>
        <w:numPr>
          <w:ilvl w:val="0"/>
          <w:numId w:val="3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142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 pojemności  7,00 m³ – 1166,59 zł;</w:t>
      </w:r>
    </w:p>
    <w:p w:rsidR="004849E5" w:rsidRPr="005113C9" w:rsidRDefault="0020398A" w:rsidP="00B6069A">
      <w:pPr>
        <w:pStyle w:val="Akapitzlist"/>
        <w:numPr>
          <w:ilvl w:val="0"/>
          <w:numId w:val="3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142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 pojemności  10,00 m³ –1666,56 zł;</w:t>
      </w:r>
    </w:p>
    <w:p w:rsidR="004849E5" w:rsidRPr="005113C9" w:rsidRDefault="0020398A" w:rsidP="00B6069A">
      <w:pPr>
        <w:pStyle w:val="Akapitzlist"/>
        <w:numPr>
          <w:ilvl w:val="0"/>
          <w:numId w:val="3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142" w:hanging="284"/>
        <w:rPr>
          <w:rFonts w:ascii="Verdana" w:hAnsi="Verdana"/>
        </w:rPr>
      </w:pPr>
      <w:r w:rsidRPr="005113C9">
        <w:rPr>
          <w:rFonts w:ascii="Verdana" w:hAnsi="Verdana"/>
        </w:rPr>
        <w:t>pojemnik o pojemności  16,00 m³ – 2666,50 zł.</w:t>
      </w:r>
    </w:p>
    <w:p w:rsidR="003B4FA3" w:rsidRPr="005113C9" w:rsidRDefault="004849E5" w:rsidP="00764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8" w:lineRule="auto"/>
        <w:rPr>
          <w:rFonts w:ascii="Verdana" w:hAnsi="Verdana"/>
        </w:rPr>
      </w:pPr>
      <w:r w:rsidRPr="005113C9">
        <w:rPr>
          <w:rFonts w:ascii="Verdana" w:hAnsi="Verdana"/>
        </w:rPr>
        <w:t xml:space="preserve"> </w:t>
      </w:r>
      <w:r w:rsidR="003B4FA3" w:rsidRPr="005113C9">
        <w:rPr>
          <w:rFonts w:ascii="Verdana" w:hAnsi="Verdana"/>
        </w:rPr>
        <w:t>Z kolei, gdy odpady nie są zbierane</w:t>
      </w:r>
      <w:r w:rsidR="007D7B79" w:rsidRPr="005113C9">
        <w:rPr>
          <w:rFonts w:ascii="Verdana" w:hAnsi="Verdana"/>
        </w:rPr>
        <w:t xml:space="preserve"> w sposób selektywny stawki opłaty wyniosą</w:t>
      </w:r>
      <w:r w:rsidR="003B4FA3" w:rsidRPr="005113C9">
        <w:rPr>
          <w:rFonts w:ascii="Verdana" w:hAnsi="Verdana"/>
        </w:rPr>
        <w:t>: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worek o pojemności 80 litrów – 26,66 zł;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worek o pojemności 120 litrów – 40,00 zł;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lastRenderedPageBreak/>
        <w:t>pojemnik o pojemności 0,06 m³ – 20,00 zł;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 pojemności 0,08 m³ – 26,66 zł;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 pojemności 0,12 m³ – 40,00 zł;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 pojemności 0,24 m³ – 80,00 zł;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 pojemności 0,36 m³ – 120,00 zł;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 pojemności 0,66 m³ – 219,98 zł;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spacing w:after="0" w:line="288" w:lineRule="auto"/>
        <w:ind w:left="284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 pojemności 1,10 m³ – 366,64 zł;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tabs>
          <w:tab w:val="left" w:pos="284"/>
        </w:tabs>
        <w:spacing w:after="0" w:line="288" w:lineRule="auto"/>
        <w:ind w:left="142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 pojemności 7,00 m³ – 2333,18 zł;</w:t>
      </w:r>
    </w:p>
    <w:p w:rsidR="00C64BED" w:rsidRPr="005113C9" w:rsidRDefault="00C64BED" w:rsidP="00B6069A">
      <w:pPr>
        <w:pStyle w:val="Akapitzlist"/>
        <w:numPr>
          <w:ilvl w:val="0"/>
          <w:numId w:val="36"/>
        </w:numPr>
        <w:tabs>
          <w:tab w:val="left" w:pos="284"/>
        </w:tabs>
        <w:spacing w:after="0" w:line="288" w:lineRule="auto"/>
        <w:ind w:left="142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 pojemności 10,00 m³ – 3333,12 zł;</w:t>
      </w:r>
    </w:p>
    <w:p w:rsidR="008C3BF2" w:rsidRPr="005113C9" w:rsidRDefault="00C64BED" w:rsidP="00476F8E">
      <w:pPr>
        <w:pStyle w:val="Akapitzlist"/>
        <w:numPr>
          <w:ilvl w:val="0"/>
          <w:numId w:val="36"/>
        </w:numPr>
        <w:tabs>
          <w:tab w:val="left" w:pos="284"/>
        </w:tabs>
        <w:spacing w:after="0" w:line="288" w:lineRule="auto"/>
        <w:ind w:left="142" w:hanging="284"/>
        <w:rPr>
          <w:rFonts w:ascii="Verdana" w:hAnsi="Verdana"/>
          <w:lang w:eastAsia="pl-PL"/>
        </w:rPr>
      </w:pPr>
      <w:r w:rsidRPr="005113C9">
        <w:rPr>
          <w:rFonts w:ascii="Verdana" w:hAnsi="Verdana"/>
          <w:lang w:eastAsia="pl-PL"/>
        </w:rPr>
        <w:t>pojemnik o pojemności 16,00 m³ – 5333,00 zł.</w:t>
      </w:r>
    </w:p>
    <w:p w:rsidR="001D6B06" w:rsidRPr="005113C9" w:rsidRDefault="001D6B06" w:rsidP="00476F8E">
      <w:pPr>
        <w:spacing w:before="120" w:after="120" w:line="288" w:lineRule="auto"/>
        <w:rPr>
          <w:rFonts w:ascii="Verdana" w:hAnsi="Verdana"/>
          <w:bCs/>
          <w:kern w:val="36"/>
        </w:rPr>
      </w:pPr>
      <w:r w:rsidRPr="005113C9">
        <w:rPr>
          <w:rFonts w:ascii="Verdana" w:hAnsi="Verdana"/>
        </w:rPr>
        <w:t xml:space="preserve">Prognozuje się, iż oszacowany na lata 2023-2025 dochód, pokryje przewidywane w tym okresie koszty systemu gospodarowania odpadami, w tym także koszty </w:t>
      </w:r>
      <w:r w:rsidRPr="005113C9">
        <w:rPr>
          <w:rFonts w:ascii="Verdana" w:hAnsi="Verdana"/>
          <w:bCs/>
          <w:kern w:val="36"/>
        </w:rPr>
        <w:t xml:space="preserve">umów na odbiór, zbieranie, transport i zagospodarowanie odpadów komunalnych </w:t>
      </w:r>
      <w:r w:rsidR="00764443" w:rsidRPr="005113C9">
        <w:rPr>
          <w:rFonts w:ascii="Verdana" w:hAnsi="Verdana"/>
          <w:bCs/>
          <w:kern w:val="36"/>
        </w:rPr>
        <w:br/>
      </w:r>
      <w:r w:rsidRPr="005113C9">
        <w:rPr>
          <w:rFonts w:ascii="Verdana" w:hAnsi="Verdana"/>
          <w:bCs/>
          <w:kern w:val="36"/>
        </w:rPr>
        <w:t xml:space="preserve">( przetargowych i z wolnej ręki) w roku 2023, które zostały oszacowane przez Spółkę Ekosystem na kwotę 380.000.000,00 zł, pozostałe koszty </w:t>
      </w:r>
      <w:r w:rsidR="00764443" w:rsidRPr="005113C9">
        <w:rPr>
          <w:rFonts w:ascii="Verdana" w:hAnsi="Verdana"/>
          <w:bCs/>
          <w:kern w:val="36"/>
        </w:rPr>
        <w:br/>
      </w:r>
      <w:r w:rsidRPr="005113C9">
        <w:rPr>
          <w:rFonts w:ascii="Verdana" w:hAnsi="Verdana"/>
          <w:bCs/>
          <w:kern w:val="36"/>
        </w:rPr>
        <w:t xml:space="preserve">(administrowania systemem, PSZOKów, edukacji ekologicznej) szacowane są na kwotę 25.000.000,00 zł. (łączne koszty </w:t>
      </w:r>
      <w:r w:rsidR="009C25DF" w:rsidRPr="005113C9">
        <w:rPr>
          <w:rFonts w:ascii="Verdana" w:hAnsi="Verdana"/>
          <w:bCs/>
          <w:kern w:val="36"/>
        </w:rPr>
        <w:t xml:space="preserve">systemu </w:t>
      </w:r>
      <w:r w:rsidRPr="005113C9">
        <w:rPr>
          <w:rFonts w:ascii="Verdana" w:hAnsi="Verdana"/>
          <w:bCs/>
          <w:kern w:val="36"/>
        </w:rPr>
        <w:t>w 2023</w:t>
      </w:r>
      <w:r w:rsidR="0094029C" w:rsidRPr="005113C9">
        <w:rPr>
          <w:rFonts w:ascii="Verdana" w:hAnsi="Verdana"/>
          <w:bCs/>
          <w:kern w:val="36"/>
        </w:rPr>
        <w:t xml:space="preserve"> r.</w:t>
      </w:r>
      <w:r w:rsidRPr="005113C9">
        <w:rPr>
          <w:rFonts w:ascii="Verdana" w:hAnsi="Verdana"/>
          <w:bCs/>
          <w:kern w:val="36"/>
        </w:rPr>
        <w:t xml:space="preserve"> prognozowane są na kwotę 405.000.000,00 zł).</w:t>
      </w:r>
    </w:p>
    <w:p w:rsidR="001D6B06" w:rsidRPr="005113C9" w:rsidRDefault="001D6B06" w:rsidP="00686E1A">
      <w:pPr>
        <w:spacing w:after="0" w:line="288" w:lineRule="auto"/>
        <w:rPr>
          <w:rFonts w:ascii="Verdana" w:hAnsi="Verdana"/>
        </w:rPr>
      </w:pPr>
      <w:r w:rsidRPr="005113C9">
        <w:rPr>
          <w:rFonts w:ascii="Verdana" w:hAnsi="Verdana"/>
        </w:rPr>
        <w:t xml:space="preserve">Szacowany dochód w związku ze zmianą stawek, po uwzględnieniu zwolnienia dla rodzin wielodzietnych, będzie się kształtował na następującym poziomie: 2023 r. - 405 000 000,00 zł (nowe stawki obowiązywać będą przez okres 11 miesięcy 2023 r.); 2024 r. – 445 000 000,00 zł; i ponad 460.000.000,00 zł </w:t>
      </w:r>
      <w:r w:rsidR="00E45ADE">
        <w:rPr>
          <w:rFonts w:ascii="Verdana" w:hAnsi="Verdana"/>
        </w:rPr>
        <w:br/>
      </w:r>
      <w:r w:rsidRPr="005113C9">
        <w:rPr>
          <w:rFonts w:ascii="Verdana" w:hAnsi="Verdana"/>
        </w:rPr>
        <w:t xml:space="preserve">w 2025 r. </w:t>
      </w:r>
    </w:p>
    <w:p w:rsidR="0079574C" w:rsidRPr="005113C9" w:rsidRDefault="008C3BF2" w:rsidP="00476F8E">
      <w:pPr>
        <w:spacing w:before="120" w:after="120" w:line="288" w:lineRule="auto"/>
        <w:rPr>
          <w:rFonts w:ascii="Verdana" w:hAnsi="Verdana"/>
        </w:rPr>
      </w:pPr>
      <w:r w:rsidRPr="005113C9">
        <w:rPr>
          <w:rFonts w:ascii="Verdana" w:hAnsi="Verdana"/>
        </w:rPr>
        <w:t xml:space="preserve">Wobec znacznego wzrostu kosztów zmiana </w:t>
      </w:r>
      <w:r w:rsidR="003971AA" w:rsidRPr="005113C9">
        <w:rPr>
          <w:rFonts w:ascii="Verdana" w:hAnsi="Verdana"/>
        </w:rPr>
        <w:t>metod</w:t>
      </w:r>
      <w:r w:rsidR="00150ECC" w:rsidRPr="005113C9">
        <w:rPr>
          <w:rFonts w:ascii="Verdana" w:hAnsi="Verdana"/>
        </w:rPr>
        <w:t>y ustale</w:t>
      </w:r>
      <w:r w:rsidR="003971AA" w:rsidRPr="005113C9">
        <w:rPr>
          <w:rFonts w:ascii="Verdana" w:hAnsi="Verdana"/>
        </w:rPr>
        <w:t xml:space="preserve">nia opłaty za gospodarowanie odpadami komunalnymi oraz stawek tej opłaty </w:t>
      </w:r>
      <w:r w:rsidR="00301555" w:rsidRPr="005113C9">
        <w:rPr>
          <w:rFonts w:ascii="Verdana" w:hAnsi="Verdana"/>
        </w:rPr>
        <w:t>na terenie Gminy Wrocław jest w pełni uzasadniona.</w:t>
      </w:r>
    </w:p>
    <w:p w:rsidR="00F00C2E" w:rsidRPr="005113C9" w:rsidRDefault="008C3BF2" w:rsidP="00686E1A">
      <w:pPr>
        <w:spacing w:after="0" w:line="288" w:lineRule="auto"/>
        <w:rPr>
          <w:rFonts w:ascii="Verdana" w:hAnsi="Verdana"/>
        </w:rPr>
      </w:pPr>
      <w:r w:rsidRPr="005113C9">
        <w:rPr>
          <w:rFonts w:ascii="Verdana" w:hAnsi="Verdana"/>
        </w:rPr>
        <w:t>Dochód</w:t>
      </w:r>
      <w:r w:rsidR="008805E1" w:rsidRPr="005113C9">
        <w:rPr>
          <w:rFonts w:ascii="Verdana" w:hAnsi="Verdana"/>
        </w:rPr>
        <w:t xml:space="preserve"> pochodzący z opłat za gospodarowanie odpadami komunalnymi</w:t>
      </w:r>
      <w:r w:rsidRPr="005113C9">
        <w:rPr>
          <w:rFonts w:ascii="Verdana" w:hAnsi="Verdana"/>
        </w:rPr>
        <w:t xml:space="preserve"> w cało</w:t>
      </w:r>
      <w:r w:rsidR="00D53BC0" w:rsidRPr="005113C9">
        <w:rPr>
          <w:rFonts w:ascii="Verdana" w:hAnsi="Verdana"/>
        </w:rPr>
        <w:t>ś</w:t>
      </w:r>
      <w:r w:rsidRPr="005113C9">
        <w:rPr>
          <w:rFonts w:ascii="Verdana" w:hAnsi="Verdana"/>
        </w:rPr>
        <w:t>ci przeznaczony będzie na pokrycie kosztów funkcjonowania systemu gospodarowania odpadami komunalnymi</w:t>
      </w:r>
      <w:r w:rsidR="008805E1" w:rsidRPr="005113C9">
        <w:rPr>
          <w:rFonts w:ascii="Verdana" w:hAnsi="Verdana"/>
        </w:rPr>
        <w:t xml:space="preserve"> zgodnie z treścią art. 6r ustawy o utrzymaniu czystości</w:t>
      </w:r>
      <w:r w:rsidR="00B921C5" w:rsidRPr="005113C9">
        <w:rPr>
          <w:rFonts w:ascii="Verdana" w:hAnsi="Verdana"/>
        </w:rPr>
        <w:t xml:space="preserve"> </w:t>
      </w:r>
      <w:r w:rsidR="00EA5FD2" w:rsidRPr="005113C9">
        <w:rPr>
          <w:rFonts w:ascii="Verdana" w:hAnsi="Verdana"/>
        </w:rPr>
        <w:t>i porządku w gminach.</w:t>
      </w:r>
    </w:p>
    <w:p w:rsidR="00F00C2E" w:rsidRPr="005113C9" w:rsidRDefault="00F00C2E" w:rsidP="00476F8E">
      <w:pPr>
        <w:spacing w:before="120" w:after="120" w:line="288" w:lineRule="auto"/>
        <w:rPr>
          <w:rFonts w:ascii="Verdana" w:hAnsi="Verdana"/>
        </w:rPr>
      </w:pPr>
      <w:r w:rsidRPr="005113C9">
        <w:rPr>
          <w:rFonts w:ascii="Verdana" w:hAnsi="Verdana"/>
          <w:color w:val="000000"/>
        </w:rPr>
        <w:t>Projekt uchwały nie zawiera danych prawnie chronionych.</w:t>
      </w:r>
    </w:p>
    <w:p w:rsidR="0008718F" w:rsidRPr="005113C9" w:rsidRDefault="00F00C2E" w:rsidP="00686E1A">
      <w:pPr>
        <w:spacing w:after="0" w:line="288" w:lineRule="auto"/>
        <w:rPr>
          <w:rFonts w:ascii="Verdana" w:hAnsi="Verdana"/>
        </w:rPr>
      </w:pPr>
      <w:r w:rsidRPr="005113C9">
        <w:rPr>
          <w:rFonts w:ascii="Verdana" w:hAnsi="Verdana"/>
          <w:color w:val="000000"/>
        </w:rPr>
        <w:t>Projekt uchwały nie wymaga konsultowania, zawiadamiania, zatwierdzania, opiniowania ani uzgadniania z innymi organami lub podmiotami.</w:t>
      </w:r>
      <w:r w:rsidR="004849E5" w:rsidRPr="005113C9">
        <w:rPr>
          <w:rFonts w:ascii="Verdana" w:hAnsi="Verdana"/>
        </w:rPr>
        <w:t xml:space="preserve"> </w:t>
      </w:r>
    </w:p>
    <w:sectPr w:rsidR="0008718F" w:rsidRPr="005113C9" w:rsidSect="007874D7">
      <w:footerReference w:type="default" r:id="rId11"/>
      <w:pgSz w:w="12240" w:h="15840"/>
      <w:pgMar w:top="340" w:right="1814" w:bottom="397" w:left="170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82" w:rsidRDefault="00A44582" w:rsidP="00F671B4">
      <w:pPr>
        <w:spacing w:after="0" w:line="240" w:lineRule="auto"/>
      </w:pPr>
      <w:r>
        <w:separator/>
      </w:r>
    </w:p>
  </w:endnote>
  <w:endnote w:type="continuationSeparator" w:id="1">
    <w:p w:rsidR="00A44582" w:rsidRDefault="00A44582" w:rsidP="00F6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EC8" w:rsidRDefault="009C313D">
    <w:pPr>
      <w:pStyle w:val="Stopka"/>
      <w:jc w:val="right"/>
    </w:pPr>
    <w:r>
      <w:fldChar w:fldCharType="begin"/>
    </w:r>
    <w:r w:rsidR="00280183">
      <w:instrText>PAGE   \* MERGEFORMAT</w:instrText>
    </w:r>
    <w:r>
      <w:fldChar w:fldCharType="separate"/>
    </w:r>
    <w:r w:rsidR="00A33712">
      <w:rPr>
        <w:noProof/>
      </w:rPr>
      <w:t>7</w:t>
    </w:r>
    <w:r>
      <w:rPr>
        <w:noProof/>
      </w:rPr>
      <w:fldChar w:fldCharType="end"/>
    </w:r>
  </w:p>
  <w:p w:rsidR="00650EC8" w:rsidRDefault="00650E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82" w:rsidRDefault="00A44582" w:rsidP="00F671B4">
      <w:pPr>
        <w:spacing w:after="0" w:line="240" w:lineRule="auto"/>
      </w:pPr>
      <w:r>
        <w:separator/>
      </w:r>
    </w:p>
  </w:footnote>
  <w:footnote w:type="continuationSeparator" w:id="1">
    <w:p w:rsidR="00A44582" w:rsidRDefault="00A44582" w:rsidP="00F67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063"/>
    <w:multiLevelType w:val="hybridMultilevel"/>
    <w:tmpl w:val="9162D9F2"/>
    <w:lvl w:ilvl="0" w:tplc="964A10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2DB24FC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9C107BF0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F5264C"/>
    <w:multiLevelType w:val="hybridMultilevel"/>
    <w:tmpl w:val="AD90E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113923"/>
    <w:multiLevelType w:val="hybridMultilevel"/>
    <w:tmpl w:val="876A9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C0196C"/>
    <w:multiLevelType w:val="multilevel"/>
    <w:tmpl w:val="F2C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72CFA"/>
    <w:multiLevelType w:val="hybridMultilevel"/>
    <w:tmpl w:val="6EBC9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931283"/>
    <w:multiLevelType w:val="hybridMultilevel"/>
    <w:tmpl w:val="C1243A16"/>
    <w:lvl w:ilvl="0" w:tplc="61100A62">
      <w:start w:val="1"/>
      <w:numFmt w:val="decimal"/>
      <w:lvlText w:val="%1)"/>
      <w:lvlJc w:val="left"/>
      <w:pPr>
        <w:ind w:left="13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  <w:rPr>
        <w:rFonts w:cs="Times New Roman"/>
      </w:rPr>
    </w:lvl>
  </w:abstractNum>
  <w:abstractNum w:abstractNumId="6">
    <w:nsid w:val="0CA078FD"/>
    <w:multiLevelType w:val="hybridMultilevel"/>
    <w:tmpl w:val="D14CCAF2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0F00208F"/>
    <w:multiLevelType w:val="hybridMultilevel"/>
    <w:tmpl w:val="6C06AF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E260CC"/>
    <w:multiLevelType w:val="hybridMultilevel"/>
    <w:tmpl w:val="D592E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A938C1"/>
    <w:multiLevelType w:val="hybridMultilevel"/>
    <w:tmpl w:val="8786BCD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2CB44CF4">
      <w:start w:val="1"/>
      <w:numFmt w:val="decimal"/>
      <w:lvlText w:val="%3."/>
      <w:lvlJc w:val="left"/>
      <w:pPr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A352C20"/>
    <w:multiLevelType w:val="hybridMultilevel"/>
    <w:tmpl w:val="EEFE092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DBB46C9"/>
    <w:multiLevelType w:val="hybridMultilevel"/>
    <w:tmpl w:val="80362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85EA9"/>
    <w:multiLevelType w:val="hybridMultilevel"/>
    <w:tmpl w:val="DA741E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482F69"/>
    <w:multiLevelType w:val="hybridMultilevel"/>
    <w:tmpl w:val="19B46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5322CE"/>
    <w:multiLevelType w:val="hybridMultilevel"/>
    <w:tmpl w:val="FBA0C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667D00"/>
    <w:multiLevelType w:val="hybridMultilevel"/>
    <w:tmpl w:val="72800B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259A2"/>
    <w:multiLevelType w:val="hybridMultilevel"/>
    <w:tmpl w:val="EF287D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A72524"/>
    <w:multiLevelType w:val="hybridMultilevel"/>
    <w:tmpl w:val="22FEE0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967109"/>
    <w:multiLevelType w:val="hybridMultilevel"/>
    <w:tmpl w:val="98D81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726DA6"/>
    <w:multiLevelType w:val="hybridMultilevel"/>
    <w:tmpl w:val="85DE0E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E80A69"/>
    <w:multiLevelType w:val="hybridMultilevel"/>
    <w:tmpl w:val="A7D89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39921C9"/>
    <w:multiLevelType w:val="hybridMultilevel"/>
    <w:tmpl w:val="A9DC1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B96F54"/>
    <w:multiLevelType w:val="hybridMultilevel"/>
    <w:tmpl w:val="650A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F1598A"/>
    <w:multiLevelType w:val="hybridMultilevel"/>
    <w:tmpl w:val="92BA96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25127A"/>
    <w:multiLevelType w:val="hybridMultilevel"/>
    <w:tmpl w:val="0A7C9186"/>
    <w:lvl w:ilvl="0" w:tplc="3404E5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10632DA"/>
    <w:multiLevelType w:val="hybridMultilevel"/>
    <w:tmpl w:val="354CF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B040B7"/>
    <w:multiLevelType w:val="hybridMultilevel"/>
    <w:tmpl w:val="C37ABB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535588"/>
    <w:multiLevelType w:val="multilevel"/>
    <w:tmpl w:val="2CD0780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8">
    <w:nsid w:val="490C0E02"/>
    <w:multiLevelType w:val="hybridMultilevel"/>
    <w:tmpl w:val="4EF6BAC6"/>
    <w:lvl w:ilvl="0" w:tplc="71D0D142">
      <w:start w:val="1"/>
      <w:numFmt w:val="decimal"/>
      <w:lvlText w:val="%1)"/>
      <w:lvlJc w:val="left"/>
      <w:pPr>
        <w:ind w:left="13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93" w:hanging="180"/>
      </w:pPr>
      <w:rPr>
        <w:rFonts w:cs="Times New Roman"/>
      </w:rPr>
    </w:lvl>
  </w:abstractNum>
  <w:abstractNum w:abstractNumId="29">
    <w:nsid w:val="49C666A0"/>
    <w:multiLevelType w:val="hybridMultilevel"/>
    <w:tmpl w:val="70D06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0A2B37"/>
    <w:multiLevelType w:val="hybridMultilevel"/>
    <w:tmpl w:val="62EA2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2705417"/>
    <w:multiLevelType w:val="hybridMultilevel"/>
    <w:tmpl w:val="60E45F2E"/>
    <w:lvl w:ilvl="0" w:tplc="04150011">
      <w:start w:val="1"/>
      <w:numFmt w:val="decimal"/>
      <w:lvlText w:val="%1)"/>
      <w:lvlJc w:val="left"/>
      <w:pPr>
        <w:ind w:left="49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  <w:rPr>
        <w:rFonts w:cs="Times New Roman"/>
      </w:rPr>
    </w:lvl>
  </w:abstractNum>
  <w:abstractNum w:abstractNumId="32">
    <w:nsid w:val="581A2174"/>
    <w:multiLevelType w:val="hybridMultilevel"/>
    <w:tmpl w:val="30E07FAC"/>
    <w:lvl w:ilvl="0" w:tplc="04150011">
      <w:start w:val="1"/>
      <w:numFmt w:val="decimal"/>
      <w:lvlText w:val="%1)"/>
      <w:lvlJc w:val="left"/>
      <w:pPr>
        <w:ind w:left="49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  <w:rPr>
        <w:rFonts w:cs="Times New Roman"/>
      </w:rPr>
    </w:lvl>
  </w:abstractNum>
  <w:abstractNum w:abstractNumId="33">
    <w:nsid w:val="5D47347F"/>
    <w:multiLevelType w:val="hybridMultilevel"/>
    <w:tmpl w:val="78500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AA0A42"/>
    <w:multiLevelType w:val="hybridMultilevel"/>
    <w:tmpl w:val="947CFA8E"/>
    <w:lvl w:ilvl="0" w:tplc="0415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5">
    <w:nsid w:val="64E6260F"/>
    <w:multiLevelType w:val="hybridMultilevel"/>
    <w:tmpl w:val="767CCCE8"/>
    <w:lvl w:ilvl="0" w:tplc="5498B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55369DA"/>
    <w:multiLevelType w:val="hybridMultilevel"/>
    <w:tmpl w:val="547ED90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7559316E"/>
    <w:multiLevelType w:val="hybridMultilevel"/>
    <w:tmpl w:val="EDF2EE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B0E09A0"/>
    <w:multiLevelType w:val="hybridMultilevel"/>
    <w:tmpl w:val="C262D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9"/>
  </w:num>
  <w:num w:numId="5">
    <w:abstractNumId w:val="0"/>
  </w:num>
  <w:num w:numId="6">
    <w:abstractNumId w:val="27"/>
  </w:num>
  <w:num w:numId="7">
    <w:abstractNumId w:val="12"/>
  </w:num>
  <w:num w:numId="8">
    <w:abstractNumId w:val="5"/>
  </w:num>
  <w:num w:numId="9">
    <w:abstractNumId w:val="28"/>
  </w:num>
  <w:num w:numId="10">
    <w:abstractNumId w:val="18"/>
  </w:num>
  <w:num w:numId="11">
    <w:abstractNumId w:val="24"/>
  </w:num>
  <w:num w:numId="12">
    <w:abstractNumId w:val="1"/>
  </w:num>
  <w:num w:numId="13">
    <w:abstractNumId w:val="3"/>
  </w:num>
  <w:num w:numId="14">
    <w:abstractNumId w:val="36"/>
  </w:num>
  <w:num w:numId="15">
    <w:abstractNumId w:val="20"/>
  </w:num>
  <w:num w:numId="16">
    <w:abstractNumId w:val="22"/>
  </w:num>
  <w:num w:numId="17">
    <w:abstractNumId w:val="2"/>
  </w:num>
  <w:num w:numId="18">
    <w:abstractNumId w:val="16"/>
  </w:num>
  <w:num w:numId="19">
    <w:abstractNumId w:val="8"/>
  </w:num>
  <w:num w:numId="20">
    <w:abstractNumId w:val="29"/>
  </w:num>
  <w:num w:numId="21">
    <w:abstractNumId w:val="35"/>
  </w:num>
  <w:num w:numId="22">
    <w:abstractNumId w:val="13"/>
  </w:num>
  <w:num w:numId="23">
    <w:abstractNumId w:val="21"/>
  </w:num>
  <w:num w:numId="24">
    <w:abstractNumId w:val="30"/>
  </w:num>
  <w:num w:numId="25">
    <w:abstractNumId w:val="17"/>
  </w:num>
  <w:num w:numId="26">
    <w:abstractNumId w:val="37"/>
  </w:num>
  <w:num w:numId="27">
    <w:abstractNumId w:val="32"/>
  </w:num>
  <w:num w:numId="28">
    <w:abstractNumId w:val="31"/>
  </w:num>
  <w:num w:numId="29">
    <w:abstractNumId w:val="26"/>
  </w:num>
  <w:num w:numId="30">
    <w:abstractNumId w:val="14"/>
  </w:num>
  <w:num w:numId="31">
    <w:abstractNumId w:val="38"/>
  </w:num>
  <w:num w:numId="32">
    <w:abstractNumId w:val="4"/>
  </w:num>
  <w:num w:numId="33">
    <w:abstractNumId w:val="15"/>
  </w:num>
  <w:num w:numId="34">
    <w:abstractNumId w:val="7"/>
  </w:num>
  <w:num w:numId="35">
    <w:abstractNumId w:val="34"/>
  </w:num>
  <w:num w:numId="36">
    <w:abstractNumId w:val="23"/>
  </w:num>
  <w:num w:numId="37">
    <w:abstractNumId w:val="25"/>
  </w:num>
  <w:num w:numId="38">
    <w:abstractNumId w:val="11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8718F"/>
    <w:rsid w:val="00007036"/>
    <w:rsid w:val="000221D9"/>
    <w:rsid w:val="000231FE"/>
    <w:rsid w:val="00027A26"/>
    <w:rsid w:val="00031DDF"/>
    <w:rsid w:val="00037574"/>
    <w:rsid w:val="00041A3E"/>
    <w:rsid w:val="0004206B"/>
    <w:rsid w:val="00053BF5"/>
    <w:rsid w:val="00067D2C"/>
    <w:rsid w:val="000777D8"/>
    <w:rsid w:val="00086182"/>
    <w:rsid w:val="0008718F"/>
    <w:rsid w:val="00090EE7"/>
    <w:rsid w:val="000B22DA"/>
    <w:rsid w:val="000C1B1B"/>
    <w:rsid w:val="000C3501"/>
    <w:rsid w:val="000C406F"/>
    <w:rsid w:val="000C4811"/>
    <w:rsid w:val="000D4B19"/>
    <w:rsid w:val="000E0BED"/>
    <w:rsid w:val="000E7731"/>
    <w:rsid w:val="000F47B8"/>
    <w:rsid w:val="001054E5"/>
    <w:rsid w:val="00117AE5"/>
    <w:rsid w:val="001307B5"/>
    <w:rsid w:val="00141FAB"/>
    <w:rsid w:val="00142D60"/>
    <w:rsid w:val="00150ECC"/>
    <w:rsid w:val="00163281"/>
    <w:rsid w:val="00185A73"/>
    <w:rsid w:val="001977BF"/>
    <w:rsid w:val="001A0D89"/>
    <w:rsid w:val="001A1F49"/>
    <w:rsid w:val="001B532A"/>
    <w:rsid w:val="001C4898"/>
    <w:rsid w:val="001D0B6B"/>
    <w:rsid w:val="001D6B06"/>
    <w:rsid w:val="001D70EC"/>
    <w:rsid w:val="001E33DA"/>
    <w:rsid w:val="0020398A"/>
    <w:rsid w:val="00207768"/>
    <w:rsid w:val="002113A0"/>
    <w:rsid w:val="00211650"/>
    <w:rsid w:val="00213A34"/>
    <w:rsid w:val="00226AAC"/>
    <w:rsid w:val="0023726B"/>
    <w:rsid w:val="00245BAE"/>
    <w:rsid w:val="00260B9A"/>
    <w:rsid w:val="00263698"/>
    <w:rsid w:val="0026517B"/>
    <w:rsid w:val="00267A6B"/>
    <w:rsid w:val="002761FA"/>
    <w:rsid w:val="00280183"/>
    <w:rsid w:val="00283641"/>
    <w:rsid w:val="002844E4"/>
    <w:rsid w:val="00295039"/>
    <w:rsid w:val="002969CE"/>
    <w:rsid w:val="002A22DE"/>
    <w:rsid w:val="002A2E5A"/>
    <w:rsid w:val="002A74B3"/>
    <w:rsid w:val="002A7D30"/>
    <w:rsid w:val="002B6CE2"/>
    <w:rsid w:val="002C01FC"/>
    <w:rsid w:val="002C036C"/>
    <w:rsid w:val="002C6A2D"/>
    <w:rsid w:val="002D3018"/>
    <w:rsid w:val="002D33AA"/>
    <w:rsid w:val="002D5A69"/>
    <w:rsid w:val="002D6741"/>
    <w:rsid w:val="002D7A31"/>
    <w:rsid w:val="002E17F7"/>
    <w:rsid w:val="002E7639"/>
    <w:rsid w:val="002F03D2"/>
    <w:rsid w:val="002F24C3"/>
    <w:rsid w:val="002F528F"/>
    <w:rsid w:val="00301555"/>
    <w:rsid w:val="0030254C"/>
    <w:rsid w:val="00304635"/>
    <w:rsid w:val="003167BB"/>
    <w:rsid w:val="00332FA1"/>
    <w:rsid w:val="003374CF"/>
    <w:rsid w:val="00341F5B"/>
    <w:rsid w:val="003452F7"/>
    <w:rsid w:val="00351220"/>
    <w:rsid w:val="0035150C"/>
    <w:rsid w:val="0035580E"/>
    <w:rsid w:val="00356199"/>
    <w:rsid w:val="0036008F"/>
    <w:rsid w:val="003649EC"/>
    <w:rsid w:val="00376CBB"/>
    <w:rsid w:val="003808BC"/>
    <w:rsid w:val="00381135"/>
    <w:rsid w:val="00390E2D"/>
    <w:rsid w:val="00393E6B"/>
    <w:rsid w:val="003971AA"/>
    <w:rsid w:val="003A2914"/>
    <w:rsid w:val="003A3E27"/>
    <w:rsid w:val="003B40CF"/>
    <w:rsid w:val="003B4FA3"/>
    <w:rsid w:val="003B5776"/>
    <w:rsid w:val="003C6F42"/>
    <w:rsid w:val="003D4BDF"/>
    <w:rsid w:val="003D5119"/>
    <w:rsid w:val="003E1920"/>
    <w:rsid w:val="003E2DA5"/>
    <w:rsid w:val="003E5D6A"/>
    <w:rsid w:val="003F245C"/>
    <w:rsid w:val="003F432C"/>
    <w:rsid w:val="003F5170"/>
    <w:rsid w:val="004008B1"/>
    <w:rsid w:val="004022CD"/>
    <w:rsid w:val="0042529C"/>
    <w:rsid w:val="0042531A"/>
    <w:rsid w:val="00436FCB"/>
    <w:rsid w:val="0044031D"/>
    <w:rsid w:val="00447AF0"/>
    <w:rsid w:val="004610BB"/>
    <w:rsid w:val="00462F43"/>
    <w:rsid w:val="004708CB"/>
    <w:rsid w:val="004729A3"/>
    <w:rsid w:val="00476F8E"/>
    <w:rsid w:val="004800D8"/>
    <w:rsid w:val="00481EED"/>
    <w:rsid w:val="004849E5"/>
    <w:rsid w:val="00490F5B"/>
    <w:rsid w:val="004B7D2D"/>
    <w:rsid w:val="004D04FB"/>
    <w:rsid w:val="004D1E43"/>
    <w:rsid w:val="004D6C09"/>
    <w:rsid w:val="004E03E4"/>
    <w:rsid w:val="004E114E"/>
    <w:rsid w:val="004E1161"/>
    <w:rsid w:val="004E48AD"/>
    <w:rsid w:val="004E69B8"/>
    <w:rsid w:val="004F2D49"/>
    <w:rsid w:val="004F387A"/>
    <w:rsid w:val="005113C9"/>
    <w:rsid w:val="0051568A"/>
    <w:rsid w:val="00517EB6"/>
    <w:rsid w:val="005239CB"/>
    <w:rsid w:val="0052462E"/>
    <w:rsid w:val="00532225"/>
    <w:rsid w:val="00533217"/>
    <w:rsid w:val="005336EE"/>
    <w:rsid w:val="00552F61"/>
    <w:rsid w:val="005538C1"/>
    <w:rsid w:val="00572A5C"/>
    <w:rsid w:val="00584916"/>
    <w:rsid w:val="00595010"/>
    <w:rsid w:val="005B2DE6"/>
    <w:rsid w:val="005B45CD"/>
    <w:rsid w:val="005C0BF4"/>
    <w:rsid w:val="005C2C82"/>
    <w:rsid w:val="005C4640"/>
    <w:rsid w:val="005C657C"/>
    <w:rsid w:val="005D32CF"/>
    <w:rsid w:val="005D3ACC"/>
    <w:rsid w:val="005D5127"/>
    <w:rsid w:val="005E1F5A"/>
    <w:rsid w:val="005E5698"/>
    <w:rsid w:val="005E583A"/>
    <w:rsid w:val="005F0712"/>
    <w:rsid w:val="005F63D7"/>
    <w:rsid w:val="00624ACA"/>
    <w:rsid w:val="00627E78"/>
    <w:rsid w:val="006300BF"/>
    <w:rsid w:val="0063255B"/>
    <w:rsid w:val="00644748"/>
    <w:rsid w:val="00645CED"/>
    <w:rsid w:val="00650EC8"/>
    <w:rsid w:val="00652D4F"/>
    <w:rsid w:val="006571EE"/>
    <w:rsid w:val="00672528"/>
    <w:rsid w:val="00682FE4"/>
    <w:rsid w:val="00686E1A"/>
    <w:rsid w:val="00687219"/>
    <w:rsid w:val="00693079"/>
    <w:rsid w:val="006A683C"/>
    <w:rsid w:val="006B7B43"/>
    <w:rsid w:val="006C5230"/>
    <w:rsid w:val="006E256F"/>
    <w:rsid w:val="006E3217"/>
    <w:rsid w:val="006F2D74"/>
    <w:rsid w:val="006F41A2"/>
    <w:rsid w:val="006F4518"/>
    <w:rsid w:val="0070248A"/>
    <w:rsid w:val="0070251E"/>
    <w:rsid w:val="00717CE5"/>
    <w:rsid w:val="00720CED"/>
    <w:rsid w:val="00721DBC"/>
    <w:rsid w:val="00742F88"/>
    <w:rsid w:val="00745496"/>
    <w:rsid w:val="00753A6B"/>
    <w:rsid w:val="00764443"/>
    <w:rsid w:val="00771C32"/>
    <w:rsid w:val="0077384F"/>
    <w:rsid w:val="00780496"/>
    <w:rsid w:val="00780F6E"/>
    <w:rsid w:val="0078384D"/>
    <w:rsid w:val="007852CA"/>
    <w:rsid w:val="00786EB7"/>
    <w:rsid w:val="007874D7"/>
    <w:rsid w:val="00791987"/>
    <w:rsid w:val="007946E2"/>
    <w:rsid w:val="0079574C"/>
    <w:rsid w:val="007A3F0A"/>
    <w:rsid w:val="007A4624"/>
    <w:rsid w:val="007B2218"/>
    <w:rsid w:val="007B79D9"/>
    <w:rsid w:val="007C1BDB"/>
    <w:rsid w:val="007C1C99"/>
    <w:rsid w:val="007C221E"/>
    <w:rsid w:val="007C247D"/>
    <w:rsid w:val="007C4D31"/>
    <w:rsid w:val="007C5D44"/>
    <w:rsid w:val="007D1A76"/>
    <w:rsid w:val="007D7B79"/>
    <w:rsid w:val="007E4C50"/>
    <w:rsid w:val="007F6082"/>
    <w:rsid w:val="0080595E"/>
    <w:rsid w:val="00807568"/>
    <w:rsid w:val="00811156"/>
    <w:rsid w:val="008623C0"/>
    <w:rsid w:val="0086322E"/>
    <w:rsid w:val="00872631"/>
    <w:rsid w:val="0087273A"/>
    <w:rsid w:val="008746C7"/>
    <w:rsid w:val="00876FE4"/>
    <w:rsid w:val="008805E1"/>
    <w:rsid w:val="00880F97"/>
    <w:rsid w:val="008815BA"/>
    <w:rsid w:val="00892E95"/>
    <w:rsid w:val="008A00AD"/>
    <w:rsid w:val="008A10A2"/>
    <w:rsid w:val="008A7EB6"/>
    <w:rsid w:val="008B265A"/>
    <w:rsid w:val="008B5529"/>
    <w:rsid w:val="008C3BF2"/>
    <w:rsid w:val="008C462A"/>
    <w:rsid w:val="008D1B2F"/>
    <w:rsid w:val="008E5D65"/>
    <w:rsid w:val="008F0E0F"/>
    <w:rsid w:val="008F7D42"/>
    <w:rsid w:val="00905BB7"/>
    <w:rsid w:val="00920FE3"/>
    <w:rsid w:val="009275BF"/>
    <w:rsid w:val="00930124"/>
    <w:rsid w:val="009301A9"/>
    <w:rsid w:val="0094029C"/>
    <w:rsid w:val="00954447"/>
    <w:rsid w:val="009551D6"/>
    <w:rsid w:val="00987F5A"/>
    <w:rsid w:val="009A0DBF"/>
    <w:rsid w:val="009A2545"/>
    <w:rsid w:val="009A4C13"/>
    <w:rsid w:val="009B30B8"/>
    <w:rsid w:val="009C25DF"/>
    <w:rsid w:val="009C313D"/>
    <w:rsid w:val="009D006D"/>
    <w:rsid w:val="009D7955"/>
    <w:rsid w:val="009E757A"/>
    <w:rsid w:val="009F207B"/>
    <w:rsid w:val="00A003FC"/>
    <w:rsid w:val="00A03CD0"/>
    <w:rsid w:val="00A03DB3"/>
    <w:rsid w:val="00A074A4"/>
    <w:rsid w:val="00A132DE"/>
    <w:rsid w:val="00A20F2E"/>
    <w:rsid w:val="00A24E09"/>
    <w:rsid w:val="00A308AF"/>
    <w:rsid w:val="00A31A46"/>
    <w:rsid w:val="00A32CA9"/>
    <w:rsid w:val="00A33712"/>
    <w:rsid w:val="00A44582"/>
    <w:rsid w:val="00A4692C"/>
    <w:rsid w:val="00A70D6E"/>
    <w:rsid w:val="00A71F47"/>
    <w:rsid w:val="00A82331"/>
    <w:rsid w:val="00A82779"/>
    <w:rsid w:val="00A90538"/>
    <w:rsid w:val="00A96FAB"/>
    <w:rsid w:val="00AB5642"/>
    <w:rsid w:val="00AC3015"/>
    <w:rsid w:val="00AF24B0"/>
    <w:rsid w:val="00B14160"/>
    <w:rsid w:val="00B15E68"/>
    <w:rsid w:val="00B20DE9"/>
    <w:rsid w:val="00B276AA"/>
    <w:rsid w:val="00B30990"/>
    <w:rsid w:val="00B45486"/>
    <w:rsid w:val="00B5278D"/>
    <w:rsid w:val="00B6069A"/>
    <w:rsid w:val="00B61076"/>
    <w:rsid w:val="00B63DDE"/>
    <w:rsid w:val="00B6657A"/>
    <w:rsid w:val="00B73FBD"/>
    <w:rsid w:val="00B7421E"/>
    <w:rsid w:val="00B77AD2"/>
    <w:rsid w:val="00B81CC7"/>
    <w:rsid w:val="00B921C5"/>
    <w:rsid w:val="00B923AC"/>
    <w:rsid w:val="00B9314F"/>
    <w:rsid w:val="00BA47B9"/>
    <w:rsid w:val="00BD2BBB"/>
    <w:rsid w:val="00BE42FF"/>
    <w:rsid w:val="00BF396F"/>
    <w:rsid w:val="00BF6ED6"/>
    <w:rsid w:val="00C027CD"/>
    <w:rsid w:val="00C17170"/>
    <w:rsid w:val="00C173AD"/>
    <w:rsid w:val="00C23835"/>
    <w:rsid w:val="00C31F45"/>
    <w:rsid w:val="00C41D6E"/>
    <w:rsid w:val="00C41DD1"/>
    <w:rsid w:val="00C46EC7"/>
    <w:rsid w:val="00C4758F"/>
    <w:rsid w:val="00C501F6"/>
    <w:rsid w:val="00C51259"/>
    <w:rsid w:val="00C633BB"/>
    <w:rsid w:val="00C64BED"/>
    <w:rsid w:val="00C72FB8"/>
    <w:rsid w:val="00C73A54"/>
    <w:rsid w:val="00C82A25"/>
    <w:rsid w:val="00C85BDF"/>
    <w:rsid w:val="00C95E91"/>
    <w:rsid w:val="00CC4DDD"/>
    <w:rsid w:val="00CC6BBB"/>
    <w:rsid w:val="00D05828"/>
    <w:rsid w:val="00D12E64"/>
    <w:rsid w:val="00D14C1A"/>
    <w:rsid w:val="00D172B6"/>
    <w:rsid w:val="00D23F76"/>
    <w:rsid w:val="00D2453C"/>
    <w:rsid w:val="00D2614D"/>
    <w:rsid w:val="00D312F5"/>
    <w:rsid w:val="00D3290B"/>
    <w:rsid w:val="00D33CA8"/>
    <w:rsid w:val="00D4163B"/>
    <w:rsid w:val="00D510B4"/>
    <w:rsid w:val="00D53BC0"/>
    <w:rsid w:val="00D57483"/>
    <w:rsid w:val="00D64570"/>
    <w:rsid w:val="00D705A3"/>
    <w:rsid w:val="00D8185D"/>
    <w:rsid w:val="00D877E0"/>
    <w:rsid w:val="00D94C22"/>
    <w:rsid w:val="00DA08BB"/>
    <w:rsid w:val="00DA27B3"/>
    <w:rsid w:val="00DB320B"/>
    <w:rsid w:val="00DB6DB3"/>
    <w:rsid w:val="00DC1FE9"/>
    <w:rsid w:val="00DD0D80"/>
    <w:rsid w:val="00DD24E3"/>
    <w:rsid w:val="00DF3596"/>
    <w:rsid w:val="00DF3DB7"/>
    <w:rsid w:val="00E14689"/>
    <w:rsid w:val="00E15E03"/>
    <w:rsid w:val="00E304B2"/>
    <w:rsid w:val="00E405AF"/>
    <w:rsid w:val="00E43CCC"/>
    <w:rsid w:val="00E45ADE"/>
    <w:rsid w:val="00E47E6B"/>
    <w:rsid w:val="00E554CF"/>
    <w:rsid w:val="00E669B9"/>
    <w:rsid w:val="00E72B4B"/>
    <w:rsid w:val="00E80E99"/>
    <w:rsid w:val="00E81D69"/>
    <w:rsid w:val="00E84351"/>
    <w:rsid w:val="00EA17D0"/>
    <w:rsid w:val="00EA5B33"/>
    <w:rsid w:val="00EA5FD2"/>
    <w:rsid w:val="00EB3ECB"/>
    <w:rsid w:val="00EB6F85"/>
    <w:rsid w:val="00EB7407"/>
    <w:rsid w:val="00EC3290"/>
    <w:rsid w:val="00EC5D11"/>
    <w:rsid w:val="00ED1221"/>
    <w:rsid w:val="00ED7DA3"/>
    <w:rsid w:val="00EF1753"/>
    <w:rsid w:val="00EF3086"/>
    <w:rsid w:val="00F00C2E"/>
    <w:rsid w:val="00F02A0F"/>
    <w:rsid w:val="00F03CC5"/>
    <w:rsid w:val="00F103C3"/>
    <w:rsid w:val="00F20969"/>
    <w:rsid w:val="00F215EF"/>
    <w:rsid w:val="00F45841"/>
    <w:rsid w:val="00F63198"/>
    <w:rsid w:val="00F63AA4"/>
    <w:rsid w:val="00F6566A"/>
    <w:rsid w:val="00F671B4"/>
    <w:rsid w:val="00F71858"/>
    <w:rsid w:val="00F85A35"/>
    <w:rsid w:val="00F879B4"/>
    <w:rsid w:val="00FC2ECF"/>
    <w:rsid w:val="00FD0A49"/>
    <w:rsid w:val="00FD0FF1"/>
    <w:rsid w:val="00FD39CC"/>
    <w:rsid w:val="00FD4A19"/>
    <w:rsid w:val="00FD5A59"/>
    <w:rsid w:val="00FE05DA"/>
    <w:rsid w:val="00FF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8BC"/>
    <w:pPr>
      <w:spacing w:after="160" w:line="259" w:lineRule="auto"/>
    </w:pPr>
    <w:rPr>
      <w:rFonts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1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871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8718F"/>
    <w:rPr>
      <w:rFonts w:cs="Times New Roman"/>
      <w:i/>
    </w:rPr>
  </w:style>
  <w:style w:type="character" w:customStyle="1" w:styleId="text-justify">
    <w:name w:val="text-justify"/>
    <w:rsid w:val="0008718F"/>
  </w:style>
  <w:style w:type="character" w:styleId="Hipercze">
    <w:name w:val="Hyperlink"/>
    <w:basedOn w:val="Domylnaczcionkaakapitu"/>
    <w:uiPriority w:val="99"/>
    <w:semiHidden/>
    <w:unhideWhenUsed/>
    <w:rsid w:val="0008718F"/>
    <w:rPr>
      <w:rFonts w:cs="Times New Roman"/>
      <w:color w:val="0000FF"/>
      <w:u w:val="single"/>
    </w:rPr>
  </w:style>
  <w:style w:type="paragraph" w:customStyle="1" w:styleId="text-justify1">
    <w:name w:val="text-justify1"/>
    <w:basedOn w:val="Normalny"/>
    <w:rsid w:val="000871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cup0c">
    <w:name w:val="fcup0c"/>
    <w:rsid w:val="00D64570"/>
  </w:style>
  <w:style w:type="paragraph" w:styleId="Akapitzlist">
    <w:name w:val="List Paragraph"/>
    <w:basedOn w:val="Normalny"/>
    <w:uiPriority w:val="34"/>
    <w:qFormat/>
    <w:rsid w:val="00F671B4"/>
    <w:pPr>
      <w:spacing w:after="200" w:line="276" w:lineRule="auto"/>
      <w:ind w:left="720"/>
      <w:contextualSpacing/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71B4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671B4"/>
    <w:rPr>
      <w:rFonts w:eastAsia="Times New Roman" w:cs="Times New Roman"/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71B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52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B5529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B5529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5529"/>
    <w:rPr>
      <w:rFonts w:ascii="Segoe UI" w:hAnsi="Segoe UI" w:cs="Times New Roman"/>
      <w:sz w:val="18"/>
    </w:rPr>
  </w:style>
  <w:style w:type="character" w:styleId="Pogrubienie">
    <w:name w:val="Strong"/>
    <w:basedOn w:val="Domylnaczcionkaakapitu"/>
    <w:uiPriority w:val="22"/>
    <w:qFormat/>
    <w:rsid w:val="004E03E4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EB7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B740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B7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7407"/>
    <w:rPr>
      <w:rFonts w:cs="Times New Roman"/>
    </w:rPr>
  </w:style>
  <w:style w:type="paragraph" w:customStyle="1" w:styleId="Default">
    <w:name w:val="Default"/>
    <w:rsid w:val="00436FC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32FA1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FA1"/>
    <w:rPr>
      <w:rFonts w:cs="Times New Roman"/>
      <w:vertAlign w:val="superscript"/>
    </w:rPr>
  </w:style>
  <w:style w:type="paragraph" w:customStyle="1" w:styleId="paragraf-inline">
    <w:name w:val="paragraf-inline"/>
    <w:basedOn w:val="Normalny"/>
    <w:rsid w:val="0070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ragment">
    <w:name w:val="fragment"/>
    <w:rsid w:val="0070248A"/>
  </w:style>
  <w:style w:type="paragraph" w:customStyle="1" w:styleId="ustep">
    <w:name w:val="ustep"/>
    <w:basedOn w:val="Normalny"/>
    <w:rsid w:val="0070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f">
    <w:name w:val="paragraf"/>
    <w:basedOn w:val="Normalny"/>
    <w:rsid w:val="0070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unkt">
    <w:name w:val="punkt"/>
    <w:basedOn w:val="Normalny"/>
    <w:rsid w:val="0070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kapit">
    <w:name w:val="akapit"/>
    <w:basedOn w:val="Normalny"/>
    <w:rsid w:val="0070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4849E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unhideWhenUsed/>
    <w:rsid w:val="0068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C0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0231F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3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22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22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2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22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pl/sygnalne/komunikaty-i-obwieszczenia/lista-komunikatow-i-obwieszczen/obwieszczenie-w-sprawie-przecietnego-miesiecznego-dochodu-rozporzadzalnego-na-1-osobe-ogolem-w-2021-roku,294,8.html?fbclid=IwAR2TyX05oQ6UE-cBeYx4F0w3bgaM82pIZRB7VMxmS9Idxxk2qcUSNSqijs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.gov.pl/spisy-powszechne/nsp-2021/nsp-2021-wyniki-ostateczne/informacja-o-wynikach-narodowego-spisu-powszechnego-ludnosci-i-mieszkan-2021-na-poziomie-wojewodztw-powiatow-i-gmin,1,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E96A-46B2-453B-8D7D-43850C1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2224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uchwały</vt:lpstr>
    </vt:vector>
  </TitlesOfParts>
  <Company>UMW</Company>
  <LinksUpToDate>false</LinksUpToDate>
  <CharactersWithSpaces>15538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uchwały</dc:title>
  <dc:creator>Różycka Barbara</dc:creator>
  <cp:lastModifiedBy>Patrycja Przybylska</cp:lastModifiedBy>
  <cp:revision>2</cp:revision>
  <cp:lastPrinted>2023-04-05T12:17:00Z</cp:lastPrinted>
  <dcterms:created xsi:type="dcterms:W3CDTF">2023-04-06T11:36:00Z</dcterms:created>
  <dcterms:modified xsi:type="dcterms:W3CDTF">2023-04-06T11:36:00Z</dcterms:modified>
</cp:coreProperties>
</file>