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54" w:rsidRPr="00997591" w:rsidRDefault="00541854" w:rsidP="00997591">
      <w:pPr>
        <w:suppressAutoHyphens/>
        <w:spacing w:line="288" w:lineRule="auto"/>
        <w:rPr>
          <w:rFonts w:ascii="Verdana" w:hAnsi="Verdana"/>
          <w:sz w:val="20"/>
          <w:szCs w:val="20"/>
        </w:rPr>
      </w:pPr>
      <w:r w:rsidRPr="00997591">
        <w:rPr>
          <w:rFonts w:ascii="Verdana" w:hAnsi="Verdana"/>
          <w:sz w:val="20"/>
          <w:szCs w:val="20"/>
        </w:rPr>
        <w:t>Pan</w:t>
      </w:r>
    </w:p>
    <w:p w:rsidR="00541854" w:rsidRPr="00997591" w:rsidRDefault="001C1958" w:rsidP="00997591">
      <w:pPr>
        <w:suppressAutoHyphens/>
        <w:spacing w:line="288" w:lineRule="auto"/>
        <w:rPr>
          <w:rFonts w:ascii="Verdana" w:hAnsi="Verdana"/>
          <w:sz w:val="20"/>
          <w:szCs w:val="20"/>
        </w:rPr>
      </w:pPr>
      <w:r w:rsidRPr="00997591">
        <w:rPr>
          <w:rFonts w:ascii="Verdana" w:hAnsi="Verdana"/>
          <w:sz w:val="20"/>
          <w:szCs w:val="20"/>
        </w:rPr>
        <w:t>Sergiusz Kmiecik</w:t>
      </w:r>
    </w:p>
    <w:p w:rsidR="009D043F" w:rsidRDefault="00541854" w:rsidP="00997591">
      <w:pPr>
        <w:suppressAutoHyphens/>
        <w:spacing w:line="288" w:lineRule="auto"/>
        <w:rPr>
          <w:rFonts w:ascii="Verdana" w:hAnsi="Verdana"/>
          <w:sz w:val="20"/>
          <w:szCs w:val="20"/>
        </w:rPr>
      </w:pPr>
      <w:r w:rsidRPr="00997591">
        <w:rPr>
          <w:rFonts w:ascii="Verdana" w:hAnsi="Verdana"/>
          <w:sz w:val="20"/>
          <w:szCs w:val="20"/>
        </w:rPr>
        <w:t>Przewodniczący Rady Miejskiej Wrocławia</w:t>
      </w:r>
    </w:p>
    <w:p w:rsidR="00997591" w:rsidRPr="00997591" w:rsidRDefault="00997591" w:rsidP="00997591">
      <w:pPr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997591" w:rsidRPr="00997591" w:rsidRDefault="00997591" w:rsidP="00997591">
      <w:pPr>
        <w:pStyle w:val="11Trescpisma"/>
        <w:tabs>
          <w:tab w:val="left" w:pos="851"/>
        </w:tabs>
        <w:spacing w:before="0" w:line="288" w:lineRule="auto"/>
        <w:jc w:val="right"/>
        <w:rPr>
          <w:szCs w:val="20"/>
        </w:rPr>
      </w:pPr>
      <w:r w:rsidRPr="00997591">
        <w:rPr>
          <w:szCs w:val="20"/>
        </w:rPr>
        <w:t>Wrocław, 5 kwietnia 2023 r.</w:t>
      </w:r>
    </w:p>
    <w:p w:rsidR="00997591" w:rsidRDefault="00997591" w:rsidP="00997591">
      <w:pPr>
        <w:pStyle w:val="Nagwek2"/>
        <w:suppressAutoHyphens/>
        <w:spacing w:line="288" w:lineRule="auto"/>
        <w:rPr>
          <w:bCs/>
          <w:sz w:val="20"/>
          <w:szCs w:val="20"/>
        </w:rPr>
      </w:pPr>
    </w:p>
    <w:p w:rsidR="0006068B" w:rsidRPr="00997591" w:rsidRDefault="00572C35" w:rsidP="00997591">
      <w:pPr>
        <w:pStyle w:val="Nagwek2"/>
        <w:suppressAutoHyphens/>
        <w:spacing w:line="288" w:lineRule="auto"/>
        <w:rPr>
          <w:sz w:val="20"/>
          <w:szCs w:val="20"/>
        </w:rPr>
      </w:pPr>
      <w:r w:rsidRPr="00997591">
        <w:rPr>
          <w:bCs/>
          <w:sz w:val="20"/>
          <w:szCs w:val="20"/>
        </w:rPr>
        <w:t>WTR-O.</w:t>
      </w:r>
      <w:r w:rsidR="001C1958" w:rsidRPr="00997591">
        <w:rPr>
          <w:bCs/>
          <w:sz w:val="20"/>
          <w:szCs w:val="20"/>
        </w:rPr>
        <w:t>152</w:t>
      </w:r>
      <w:r w:rsidRPr="00997591">
        <w:rPr>
          <w:bCs/>
          <w:sz w:val="20"/>
          <w:szCs w:val="20"/>
        </w:rPr>
        <w:t>.</w:t>
      </w:r>
      <w:r w:rsidR="001C1958" w:rsidRPr="00997591">
        <w:rPr>
          <w:bCs/>
          <w:sz w:val="20"/>
          <w:szCs w:val="20"/>
        </w:rPr>
        <w:t>1</w:t>
      </w:r>
      <w:r w:rsidRPr="00997591">
        <w:rPr>
          <w:bCs/>
          <w:sz w:val="20"/>
          <w:szCs w:val="20"/>
        </w:rPr>
        <w:t>.202</w:t>
      </w:r>
      <w:r w:rsidR="001C1958" w:rsidRPr="00997591">
        <w:rPr>
          <w:bCs/>
          <w:sz w:val="20"/>
          <w:szCs w:val="20"/>
        </w:rPr>
        <w:t>3</w:t>
      </w:r>
      <w:r w:rsidRPr="00997591">
        <w:rPr>
          <w:bCs/>
          <w:sz w:val="20"/>
          <w:szCs w:val="20"/>
        </w:rPr>
        <w:t>.</w:t>
      </w:r>
      <w:r w:rsidR="001C1958" w:rsidRPr="00997591">
        <w:rPr>
          <w:bCs/>
          <w:sz w:val="20"/>
          <w:szCs w:val="20"/>
        </w:rPr>
        <w:t>JM</w:t>
      </w:r>
    </w:p>
    <w:p w:rsidR="00997591" w:rsidRDefault="00997591" w:rsidP="00997591">
      <w:pPr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B71F7A" w:rsidRPr="00997591" w:rsidRDefault="00572C35" w:rsidP="00997591">
      <w:pPr>
        <w:suppressAutoHyphens/>
        <w:spacing w:line="288" w:lineRule="auto"/>
        <w:rPr>
          <w:rFonts w:ascii="Verdana" w:hAnsi="Verdana"/>
          <w:sz w:val="20"/>
          <w:szCs w:val="20"/>
        </w:rPr>
      </w:pPr>
      <w:r w:rsidRPr="00997591">
        <w:rPr>
          <w:rFonts w:ascii="Verdana" w:hAnsi="Verdana"/>
          <w:sz w:val="20"/>
          <w:szCs w:val="20"/>
        </w:rPr>
        <w:t>W odpowiedzi na pism</w:t>
      </w:r>
      <w:r w:rsidR="00CF2573" w:rsidRPr="00997591">
        <w:rPr>
          <w:rFonts w:ascii="Verdana" w:hAnsi="Verdana"/>
          <w:sz w:val="20"/>
          <w:szCs w:val="20"/>
        </w:rPr>
        <w:t>o</w:t>
      </w:r>
      <w:r w:rsidR="00541854" w:rsidRPr="00997591">
        <w:rPr>
          <w:rFonts w:ascii="Verdana" w:hAnsi="Verdana"/>
          <w:sz w:val="20"/>
          <w:szCs w:val="20"/>
        </w:rPr>
        <w:t xml:space="preserve"> Pana Przewodniczącego</w:t>
      </w:r>
      <w:r w:rsidR="00997591">
        <w:rPr>
          <w:rFonts w:ascii="Verdana" w:hAnsi="Verdana"/>
          <w:sz w:val="20"/>
          <w:szCs w:val="20"/>
        </w:rPr>
        <w:t xml:space="preserve"> </w:t>
      </w:r>
      <w:r w:rsidR="009E4721" w:rsidRPr="00997591">
        <w:rPr>
          <w:rFonts w:ascii="Verdana" w:hAnsi="Verdana"/>
          <w:sz w:val="20"/>
          <w:szCs w:val="20"/>
        </w:rPr>
        <w:t>nr BRM-DPP.</w:t>
      </w:r>
      <w:r w:rsidR="00B71F7A" w:rsidRPr="00997591">
        <w:rPr>
          <w:rFonts w:ascii="Verdana" w:hAnsi="Verdana"/>
          <w:sz w:val="20"/>
          <w:szCs w:val="20"/>
        </w:rPr>
        <w:t>152</w:t>
      </w:r>
      <w:r w:rsidR="009E4721" w:rsidRPr="00997591">
        <w:rPr>
          <w:rFonts w:ascii="Verdana" w:hAnsi="Verdana"/>
          <w:sz w:val="20"/>
          <w:szCs w:val="20"/>
        </w:rPr>
        <w:t>.</w:t>
      </w:r>
      <w:r w:rsidR="001C1958" w:rsidRPr="00997591">
        <w:rPr>
          <w:rFonts w:ascii="Verdana" w:hAnsi="Verdana"/>
          <w:sz w:val="20"/>
          <w:szCs w:val="20"/>
        </w:rPr>
        <w:t>3.2023</w:t>
      </w:r>
      <w:r w:rsidR="009E4721" w:rsidRPr="00997591">
        <w:rPr>
          <w:rFonts w:ascii="Verdana" w:hAnsi="Verdana"/>
          <w:sz w:val="20"/>
          <w:szCs w:val="20"/>
        </w:rPr>
        <w:t xml:space="preserve">.AW </w:t>
      </w:r>
      <w:r w:rsidRPr="00997591">
        <w:rPr>
          <w:rFonts w:ascii="Verdana" w:hAnsi="Verdana"/>
          <w:sz w:val="20"/>
          <w:szCs w:val="20"/>
        </w:rPr>
        <w:t xml:space="preserve">z dnia </w:t>
      </w:r>
      <w:r w:rsidR="001C1958" w:rsidRPr="00997591">
        <w:rPr>
          <w:rFonts w:ascii="Verdana" w:hAnsi="Verdana"/>
          <w:sz w:val="20"/>
          <w:szCs w:val="20"/>
        </w:rPr>
        <w:t>20 lutego</w:t>
      </w:r>
      <w:r w:rsidR="00997591">
        <w:rPr>
          <w:rFonts w:ascii="Verdana" w:hAnsi="Verdana"/>
          <w:sz w:val="20"/>
          <w:szCs w:val="20"/>
        </w:rPr>
        <w:t xml:space="preserve"> bieżącego roku</w:t>
      </w:r>
      <w:r w:rsidR="001974FE" w:rsidRPr="00997591">
        <w:rPr>
          <w:rFonts w:ascii="Verdana" w:hAnsi="Verdana"/>
          <w:sz w:val="20"/>
          <w:szCs w:val="20"/>
        </w:rPr>
        <w:t xml:space="preserve"> </w:t>
      </w:r>
      <w:r w:rsidR="00751053" w:rsidRPr="00997591">
        <w:rPr>
          <w:rFonts w:ascii="Verdana" w:hAnsi="Verdana"/>
          <w:sz w:val="20"/>
          <w:szCs w:val="20"/>
        </w:rPr>
        <w:t xml:space="preserve">w sprawie </w:t>
      </w:r>
      <w:r w:rsidR="00C97B6E" w:rsidRPr="00997591">
        <w:rPr>
          <w:rFonts w:ascii="Verdana" w:hAnsi="Verdana"/>
          <w:sz w:val="20"/>
          <w:szCs w:val="20"/>
        </w:rPr>
        <w:t xml:space="preserve">ustosunkowania się do </w:t>
      </w:r>
      <w:r w:rsidR="00887A03" w:rsidRPr="00997591">
        <w:rPr>
          <w:rFonts w:ascii="Verdana" w:hAnsi="Verdana"/>
          <w:sz w:val="20"/>
          <w:szCs w:val="20"/>
        </w:rPr>
        <w:t xml:space="preserve">treści </w:t>
      </w:r>
      <w:r w:rsidR="00C97B6E" w:rsidRPr="00997591">
        <w:rPr>
          <w:rFonts w:ascii="Verdana" w:hAnsi="Verdana"/>
          <w:sz w:val="20"/>
          <w:szCs w:val="20"/>
        </w:rPr>
        <w:t>petycji</w:t>
      </w:r>
      <w:r w:rsidR="001974FE" w:rsidRPr="00997591">
        <w:rPr>
          <w:rFonts w:ascii="Verdana" w:hAnsi="Verdana"/>
          <w:sz w:val="20"/>
          <w:szCs w:val="20"/>
        </w:rPr>
        <w:t xml:space="preserve"> z dnia </w:t>
      </w:r>
      <w:r w:rsidR="001C1958" w:rsidRPr="00997591">
        <w:rPr>
          <w:rFonts w:ascii="Verdana" w:hAnsi="Verdana"/>
          <w:sz w:val="20"/>
          <w:szCs w:val="20"/>
        </w:rPr>
        <w:t>16 lutego</w:t>
      </w:r>
      <w:r w:rsidR="00997591">
        <w:rPr>
          <w:rFonts w:ascii="Verdana" w:hAnsi="Verdana"/>
          <w:sz w:val="20"/>
          <w:szCs w:val="20"/>
        </w:rPr>
        <w:t xml:space="preserve"> bieżącego roku</w:t>
      </w:r>
      <w:r w:rsidR="00997591" w:rsidRPr="00997591">
        <w:rPr>
          <w:rFonts w:ascii="Verdana" w:hAnsi="Verdana"/>
          <w:sz w:val="20"/>
          <w:szCs w:val="20"/>
        </w:rPr>
        <w:t xml:space="preserve"> </w:t>
      </w:r>
      <w:r w:rsidR="00C97B6E" w:rsidRPr="00997591">
        <w:rPr>
          <w:rFonts w:ascii="Verdana" w:hAnsi="Verdana"/>
          <w:sz w:val="20"/>
          <w:szCs w:val="20"/>
        </w:rPr>
        <w:t>przedstawionej</w:t>
      </w:r>
      <w:r w:rsidR="00541854" w:rsidRPr="00997591">
        <w:rPr>
          <w:rFonts w:ascii="Verdana" w:hAnsi="Verdana"/>
          <w:sz w:val="20"/>
          <w:szCs w:val="20"/>
        </w:rPr>
        <w:t xml:space="preserve"> Radzie Miejskiej Wrocławia</w:t>
      </w:r>
      <w:r w:rsidR="00C97B6E" w:rsidRPr="00997591">
        <w:rPr>
          <w:rFonts w:ascii="Verdana" w:hAnsi="Verdana"/>
          <w:sz w:val="20"/>
          <w:szCs w:val="20"/>
        </w:rPr>
        <w:t xml:space="preserve"> przez </w:t>
      </w:r>
      <w:r w:rsidR="0037568D" w:rsidRPr="00997591">
        <w:rPr>
          <w:rFonts w:ascii="Verdana" w:hAnsi="Verdana"/>
          <w:sz w:val="20"/>
          <w:szCs w:val="20"/>
        </w:rPr>
        <w:t>Wrocławskie Koło Partii Zieloni</w:t>
      </w:r>
      <w:r w:rsidR="00091488" w:rsidRPr="00997591">
        <w:rPr>
          <w:rFonts w:ascii="Verdana" w:hAnsi="Verdana"/>
          <w:sz w:val="20"/>
          <w:szCs w:val="20"/>
        </w:rPr>
        <w:t>,</w:t>
      </w:r>
      <w:r w:rsidR="0028072C">
        <w:rPr>
          <w:rFonts w:ascii="Verdana" w:hAnsi="Verdana"/>
          <w:sz w:val="20"/>
          <w:szCs w:val="20"/>
        </w:rPr>
        <w:t xml:space="preserve"> </w:t>
      </w:r>
      <w:r w:rsidR="00ED6307" w:rsidRPr="00997591">
        <w:rPr>
          <w:rFonts w:ascii="Verdana" w:hAnsi="Verdana"/>
          <w:sz w:val="20"/>
          <w:szCs w:val="20"/>
        </w:rPr>
        <w:t>dotyczącej</w:t>
      </w:r>
      <w:r w:rsidR="00B71F7A" w:rsidRPr="00997591">
        <w:rPr>
          <w:rFonts w:ascii="Verdana" w:hAnsi="Verdana"/>
          <w:sz w:val="20"/>
          <w:szCs w:val="20"/>
        </w:rPr>
        <w:t>:</w:t>
      </w:r>
    </w:p>
    <w:p w:rsidR="001C1958" w:rsidRPr="00997591" w:rsidRDefault="001C1958" w:rsidP="00997591">
      <w:pPr>
        <w:pStyle w:val="Akapitzlist"/>
        <w:numPr>
          <w:ilvl w:val="0"/>
          <w:numId w:val="35"/>
        </w:numPr>
        <w:tabs>
          <w:tab w:val="left" w:pos="284"/>
          <w:tab w:val="left" w:pos="426"/>
        </w:tabs>
        <w:spacing w:after="0" w:line="288" w:lineRule="auto"/>
        <w:ind w:left="0" w:firstLine="0"/>
        <w:rPr>
          <w:rFonts w:ascii="Verdana" w:hAnsi="Verdana"/>
          <w:sz w:val="20"/>
          <w:szCs w:val="20"/>
        </w:rPr>
      </w:pPr>
      <w:r w:rsidRPr="00997591">
        <w:rPr>
          <w:rFonts w:ascii="Verdana" w:hAnsi="Verdana"/>
          <w:sz w:val="20"/>
          <w:szCs w:val="20"/>
        </w:rPr>
        <w:t>wprowadzenia biletu imiennego 365-dniowego na wszystkie linie za kwotę 365 złotych (182,50 zł ulgowy)</w:t>
      </w:r>
      <w:r w:rsidR="00997591">
        <w:rPr>
          <w:rFonts w:ascii="Verdana" w:hAnsi="Verdana"/>
          <w:sz w:val="20"/>
          <w:szCs w:val="20"/>
        </w:rPr>
        <w:t xml:space="preserve"> </w:t>
      </w:r>
      <w:r w:rsidRPr="00997591">
        <w:rPr>
          <w:rFonts w:ascii="Verdana" w:hAnsi="Verdana"/>
          <w:sz w:val="20"/>
          <w:szCs w:val="20"/>
        </w:rPr>
        <w:t>oraz przywrócenia cen pozostałych biletów imiennych do wysokości sprzed ostatniej podwyżki niezależnie od udziału w programie „Nasz Wrocław</w:t>
      </w:r>
      <w:r w:rsidR="003700D5" w:rsidRPr="00997591">
        <w:rPr>
          <w:rFonts w:ascii="Verdana" w:hAnsi="Verdana"/>
          <w:sz w:val="20"/>
          <w:szCs w:val="20"/>
        </w:rPr>
        <w:t>”,</w:t>
      </w:r>
    </w:p>
    <w:p w:rsidR="002020A5" w:rsidRPr="00997591" w:rsidRDefault="00ED6307" w:rsidP="00997591">
      <w:pPr>
        <w:pStyle w:val="Akapitzlist"/>
        <w:numPr>
          <w:ilvl w:val="0"/>
          <w:numId w:val="35"/>
        </w:numPr>
        <w:tabs>
          <w:tab w:val="left" w:pos="426"/>
        </w:tabs>
        <w:spacing w:after="0" w:line="288" w:lineRule="auto"/>
        <w:ind w:left="0" w:firstLine="0"/>
        <w:rPr>
          <w:rFonts w:ascii="Verdana" w:hAnsi="Verdana"/>
          <w:sz w:val="20"/>
          <w:szCs w:val="20"/>
        </w:rPr>
      </w:pPr>
      <w:r w:rsidRPr="00997591">
        <w:rPr>
          <w:rFonts w:ascii="Verdana" w:hAnsi="Verdana"/>
          <w:sz w:val="20"/>
          <w:szCs w:val="20"/>
        </w:rPr>
        <w:t xml:space="preserve">wprowadzenia </w:t>
      </w:r>
      <w:r w:rsidR="001C1958" w:rsidRPr="00997591">
        <w:rPr>
          <w:rFonts w:ascii="Verdana" w:hAnsi="Verdana"/>
          <w:sz w:val="20"/>
          <w:szCs w:val="20"/>
        </w:rPr>
        <w:t>na wzór Kolei Mazowieckich systemu zakupu imiennych biletów komunikacji miejskiej dla klientów biznesowych poprzez zapewnienie zniżki na poziomie 35% na zakup co najmniej 10 biletów imiennych 365-dniowych na wszystkie linie dla pracowników przedsiębiorstwa jako elementu programów benefitów pracowniczych</w:t>
      </w:r>
      <w:r w:rsidR="003700D5" w:rsidRPr="00997591">
        <w:rPr>
          <w:rFonts w:ascii="Verdana" w:hAnsi="Verdana"/>
          <w:sz w:val="20"/>
          <w:szCs w:val="20"/>
        </w:rPr>
        <w:t>,</w:t>
      </w:r>
    </w:p>
    <w:p w:rsidR="001C1958" w:rsidRPr="00997591" w:rsidRDefault="001C1958" w:rsidP="00997591">
      <w:pPr>
        <w:spacing w:line="288" w:lineRule="auto"/>
        <w:rPr>
          <w:rFonts w:ascii="Verdana" w:hAnsi="Verdana"/>
          <w:sz w:val="20"/>
          <w:szCs w:val="20"/>
        </w:rPr>
      </w:pPr>
      <w:r w:rsidRPr="00997591">
        <w:rPr>
          <w:rFonts w:ascii="Verdana" w:hAnsi="Verdana"/>
          <w:sz w:val="20"/>
          <w:szCs w:val="20"/>
        </w:rPr>
        <w:t>przedstawiam stanowisko w wyżej wymienionych sprawach.</w:t>
      </w:r>
    </w:p>
    <w:p w:rsidR="009D043F" w:rsidRPr="00997591" w:rsidRDefault="00887A03" w:rsidP="00997591">
      <w:pPr>
        <w:suppressAutoHyphens/>
        <w:spacing w:line="288" w:lineRule="auto"/>
        <w:rPr>
          <w:rFonts w:ascii="Verdana" w:hAnsi="Verdana"/>
          <w:sz w:val="20"/>
          <w:szCs w:val="20"/>
        </w:rPr>
      </w:pPr>
      <w:r w:rsidRPr="00997591">
        <w:rPr>
          <w:rFonts w:ascii="Verdana" w:hAnsi="Verdana"/>
          <w:sz w:val="20"/>
          <w:szCs w:val="20"/>
        </w:rPr>
        <w:t>Ad</w:t>
      </w:r>
      <w:r w:rsidR="001228B8" w:rsidRPr="00997591">
        <w:rPr>
          <w:rFonts w:ascii="Verdana" w:hAnsi="Verdana"/>
          <w:sz w:val="20"/>
          <w:szCs w:val="20"/>
        </w:rPr>
        <w:t xml:space="preserve"> 1</w:t>
      </w:r>
      <w:r w:rsidR="00DD53E4" w:rsidRPr="00997591">
        <w:rPr>
          <w:rFonts w:ascii="Verdana" w:hAnsi="Verdana"/>
          <w:sz w:val="20"/>
          <w:szCs w:val="20"/>
        </w:rPr>
        <w:t>.</w:t>
      </w:r>
    </w:p>
    <w:p w:rsidR="000857E2" w:rsidRPr="00997591" w:rsidRDefault="003D2188" w:rsidP="00997591">
      <w:pPr>
        <w:spacing w:line="288" w:lineRule="auto"/>
        <w:rPr>
          <w:rFonts w:ascii="Verdana" w:hAnsi="Verdana"/>
          <w:sz w:val="20"/>
          <w:szCs w:val="20"/>
        </w:rPr>
      </w:pPr>
      <w:r w:rsidRPr="00997591">
        <w:rPr>
          <w:rFonts w:ascii="Verdana" w:hAnsi="Verdana"/>
          <w:sz w:val="20"/>
          <w:szCs w:val="20"/>
        </w:rPr>
        <w:t xml:space="preserve">Przedmiotowa petycja w zakresie </w:t>
      </w:r>
      <w:r w:rsidR="00C45423" w:rsidRPr="00997591">
        <w:rPr>
          <w:rFonts w:ascii="Verdana" w:hAnsi="Verdana"/>
          <w:sz w:val="20"/>
          <w:szCs w:val="20"/>
        </w:rPr>
        <w:t>przywróceni</w:t>
      </w:r>
      <w:r w:rsidRPr="00997591">
        <w:rPr>
          <w:rFonts w:ascii="Verdana" w:hAnsi="Verdana"/>
          <w:sz w:val="20"/>
          <w:szCs w:val="20"/>
        </w:rPr>
        <w:t>a</w:t>
      </w:r>
      <w:r w:rsidR="00C45423" w:rsidRPr="00997591">
        <w:rPr>
          <w:rFonts w:ascii="Verdana" w:hAnsi="Verdana"/>
          <w:sz w:val="20"/>
          <w:szCs w:val="20"/>
        </w:rPr>
        <w:t xml:space="preserve"> cen</w:t>
      </w:r>
      <w:r w:rsidR="00997591">
        <w:rPr>
          <w:rFonts w:ascii="Verdana" w:hAnsi="Verdana"/>
          <w:sz w:val="20"/>
          <w:szCs w:val="20"/>
        </w:rPr>
        <w:t xml:space="preserve"> biletów sprzed 1 stycznia 2021 </w:t>
      </w:r>
      <w:r w:rsidR="00C45423" w:rsidRPr="00997591">
        <w:rPr>
          <w:rFonts w:ascii="Verdana" w:hAnsi="Verdana"/>
          <w:sz w:val="20"/>
          <w:szCs w:val="20"/>
        </w:rPr>
        <w:t>r</w:t>
      </w:r>
      <w:r w:rsidR="001E4760" w:rsidRPr="00997591">
        <w:rPr>
          <w:rFonts w:ascii="Verdana" w:hAnsi="Verdana"/>
          <w:sz w:val="20"/>
          <w:szCs w:val="20"/>
        </w:rPr>
        <w:t>.,</w:t>
      </w:r>
      <w:r w:rsidR="0028072C">
        <w:rPr>
          <w:rFonts w:ascii="Verdana" w:hAnsi="Verdana"/>
          <w:sz w:val="20"/>
          <w:szCs w:val="20"/>
        </w:rPr>
        <w:t xml:space="preserve"> </w:t>
      </w:r>
      <w:r w:rsidRPr="00997591">
        <w:rPr>
          <w:rFonts w:ascii="Verdana" w:hAnsi="Verdana"/>
          <w:sz w:val="20"/>
          <w:szCs w:val="20"/>
        </w:rPr>
        <w:t xml:space="preserve">jest już kolejną </w:t>
      </w:r>
      <w:r w:rsidR="00ED6307" w:rsidRPr="00997591">
        <w:rPr>
          <w:rFonts w:ascii="Verdana" w:hAnsi="Verdana"/>
          <w:sz w:val="20"/>
          <w:szCs w:val="20"/>
        </w:rPr>
        <w:t xml:space="preserve">petycją </w:t>
      </w:r>
      <w:r w:rsidRPr="00997591">
        <w:rPr>
          <w:rFonts w:ascii="Verdana" w:hAnsi="Verdana"/>
          <w:sz w:val="20"/>
          <w:szCs w:val="20"/>
        </w:rPr>
        <w:t xml:space="preserve">kierowaną przez </w:t>
      </w:r>
      <w:r w:rsidR="002020A5" w:rsidRPr="00997591">
        <w:rPr>
          <w:rFonts w:ascii="Verdana" w:hAnsi="Verdana"/>
          <w:sz w:val="20"/>
          <w:szCs w:val="20"/>
        </w:rPr>
        <w:t xml:space="preserve">Wrocławskie Koło </w:t>
      </w:r>
      <w:r w:rsidRPr="00997591">
        <w:rPr>
          <w:rFonts w:ascii="Verdana" w:hAnsi="Verdana"/>
          <w:sz w:val="20"/>
          <w:szCs w:val="20"/>
        </w:rPr>
        <w:t>Parti</w:t>
      </w:r>
      <w:r w:rsidR="002020A5" w:rsidRPr="00997591">
        <w:rPr>
          <w:rFonts w:ascii="Verdana" w:hAnsi="Verdana"/>
          <w:sz w:val="20"/>
          <w:szCs w:val="20"/>
        </w:rPr>
        <w:t>i</w:t>
      </w:r>
      <w:r w:rsidRPr="00997591">
        <w:rPr>
          <w:rFonts w:ascii="Verdana" w:hAnsi="Verdana"/>
          <w:sz w:val="20"/>
          <w:szCs w:val="20"/>
        </w:rPr>
        <w:t xml:space="preserve"> Zieloni do Rady Miejskiej</w:t>
      </w:r>
      <w:r w:rsidR="00ED6307" w:rsidRPr="00997591">
        <w:rPr>
          <w:rFonts w:ascii="Verdana" w:hAnsi="Verdana"/>
          <w:sz w:val="20"/>
          <w:szCs w:val="20"/>
        </w:rPr>
        <w:t xml:space="preserve"> Wrocławia</w:t>
      </w:r>
      <w:r w:rsidRPr="00997591">
        <w:rPr>
          <w:rFonts w:ascii="Verdana" w:hAnsi="Verdana"/>
          <w:sz w:val="20"/>
          <w:szCs w:val="20"/>
        </w:rPr>
        <w:t xml:space="preserve"> i Prezydenta </w:t>
      </w:r>
      <w:r w:rsidR="00ED6307" w:rsidRPr="00997591">
        <w:rPr>
          <w:rFonts w:ascii="Verdana" w:hAnsi="Verdana"/>
          <w:sz w:val="20"/>
          <w:szCs w:val="20"/>
        </w:rPr>
        <w:t xml:space="preserve">Wrocławia </w:t>
      </w:r>
      <w:r w:rsidRPr="00997591">
        <w:rPr>
          <w:rFonts w:ascii="Verdana" w:hAnsi="Verdana"/>
          <w:sz w:val="20"/>
          <w:szCs w:val="20"/>
        </w:rPr>
        <w:t>w tej sprawie (petycja z dnia</w:t>
      </w:r>
      <w:r w:rsidR="00997591">
        <w:rPr>
          <w:rFonts w:ascii="Verdana" w:hAnsi="Verdana"/>
          <w:sz w:val="20"/>
          <w:szCs w:val="20"/>
        </w:rPr>
        <w:t xml:space="preserve"> </w:t>
      </w:r>
      <w:r w:rsidR="0042237E" w:rsidRPr="00997591">
        <w:rPr>
          <w:rFonts w:ascii="Verdana" w:hAnsi="Verdana"/>
          <w:sz w:val="20"/>
          <w:szCs w:val="20"/>
        </w:rPr>
        <w:t>21 lipca 202</w:t>
      </w:r>
      <w:r w:rsidR="00DF6A54" w:rsidRPr="00997591">
        <w:rPr>
          <w:rFonts w:ascii="Verdana" w:hAnsi="Verdana"/>
          <w:sz w:val="20"/>
          <w:szCs w:val="20"/>
        </w:rPr>
        <w:t>0</w:t>
      </w:r>
      <w:r w:rsidR="0042237E" w:rsidRPr="00997591">
        <w:rPr>
          <w:rFonts w:ascii="Verdana" w:hAnsi="Verdana"/>
          <w:sz w:val="20"/>
          <w:szCs w:val="20"/>
        </w:rPr>
        <w:t xml:space="preserve"> r.</w:t>
      </w:r>
      <w:r w:rsidRPr="00997591">
        <w:rPr>
          <w:rFonts w:ascii="Verdana" w:hAnsi="Verdana"/>
          <w:sz w:val="20"/>
          <w:szCs w:val="20"/>
        </w:rPr>
        <w:t xml:space="preserve"> nie uwzględniona uchwałą nr XXVI/750/20 Rady Miejskiej</w:t>
      </w:r>
      <w:r w:rsidR="00997591">
        <w:rPr>
          <w:rFonts w:ascii="Verdana" w:hAnsi="Verdana"/>
          <w:sz w:val="20"/>
          <w:szCs w:val="20"/>
        </w:rPr>
        <w:t xml:space="preserve"> Wrocławia z dnia 17 </w:t>
      </w:r>
      <w:r w:rsidRPr="00997591">
        <w:rPr>
          <w:rFonts w:ascii="Verdana" w:hAnsi="Verdana"/>
          <w:sz w:val="20"/>
          <w:szCs w:val="20"/>
        </w:rPr>
        <w:t>września 2020 r.; petycja z dnia 14 maja 2021 r., nie uwzględniona uchwałą</w:t>
      </w:r>
      <w:r w:rsidR="00997591">
        <w:rPr>
          <w:rFonts w:ascii="Verdana" w:hAnsi="Verdana"/>
          <w:sz w:val="20"/>
          <w:szCs w:val="20"/>
        </w:rPr>
        <w:t xml:space="preserve"> </w:t>
      </w:r>
      <w:r w:rsidR="00DF6A54" w:rsidRPr="00997591">
        <w:rPr>
          <w:rFonts w:ascii="Verdana" w:hAnsi="Verdana"/>
          <w:sz w:val="20"/>
          <w:szCs w:val="20"/>
        </w:rPr>
        <w:t xml:space="preserve">nr </w:t>
      </w:r>
      <w:r w:rsidR="00751053" w:rsidRPr="00997591">
        <w:rPr>
          <w:rFonts w:ascii="Verdana" w:hAnsi="Verdana"/>
          <w:sz w:val="20"/>
          <w:szCs w:val="20"/>
        </w:rPr>
        <w:t xml:space="preserve">XLII/1111/21 </w:t>
      </w:r>
      <w:r w:rsidR="00DF6A54" w:rsidRPr="00997591">
        <w:rPr>
          <w:rFonts w:ascii="Verdana" w:hAnsi="Verdana"/>
          <w:sz w:val="20"/>
          <w:szCs w:val="20"/>
        </w:rPr>
        <w:t xml:space="preserve">Rady Miejskiej Wrocławia z dnia </w:t>
      </w:r>
      <w:r w:rsidR="00751053" w:rsidRPr="00997591">
        <w:rPr>
          <w:rFonts w:ascii="Verdana" w:hAnsi="Verdana"/>
          <w:sz w:val="20"/>
          <w:szCs w:val="20"/>
        </w:rPr>
        <w:t>8 lipca</w:t>
      </w:r>
      <w:r w:rsidR="0028072C">
        <w:rPr>
          <w:rFonts w:ascii="Verdana" w:hAnsi="Verdana"/>
          <w:sz w:val="20"/>
          <w:szCs w:val="20"/>
        </w:rPr>
        <w:t xml:space="preserve"> </w:t>
      </w:r>
      <w:r w:rsidR="00DF6A54" w:rsidRPr="00997591">
        <w:rPr>
          <w:rFonts w:ascii="Verdana" w:hAnsi="Verdana"/>
          <w:sz w:val="20"/>
          <w:szCs w:val="20"/>
        </w:rPr>
        <w:t>2021 r.</w:t>
      </w:r>
      <w:r w:rsidR="00997591">
        <w:rPr>
          <w:rFonts w:ascii="Verdana" w:hAnsi="Verdana"/>
          <w:sz w:val="20"/>
          <w:szCs w:val="20"/>
        </w:rPr>
        <w:t>).</w:t>
      </w:r>
    </w:p>
    <w:p w:rsidR="003D2188" w:rsidRPr="00997591" w:rsidRDefault="003700D5" w:rsidP="00997591">
      <w:pPr>
        <w:spacing w:line="288" w:lineRule="auto"/>
        <w:rPr>
          <w:rFonts w:ascii="Verdana" w:hAnsi="Verdana"/>
          <w:sz w:val="20"/>
          <w:szCs w:val="20"/>
        </w:rPr>
      </w:pPr>
      <w:r w:rsidRPr="00997591">
        <w:rPr>
          <w:rFonts w:ascii="Verdana" w:hAnsi="Verdana"/>
          <w:sz w:val="20"/>
          <w:szCs w:val="20"/>
        </w:rPr>
        <w:t xml:space="preserve">W obu </w:t>
      </w:r>
      <w:r w:rsidR="00823400" w:rsidRPr="00997591">
        <w:rPr>
          <w:rFonts w:ascii="Verdana" w:hAnsi="Verdana"/>
          <w:sz w:val="20"/>
          <w:szCs w:val="20"/>
        </w:rPr>
        <w:t xml:space="preserve">wyżej </w:t>
      </w:r>
      <w:r w:rsidRPr="00997591">
        <w:rPr>
          <w:rFonts w:ascii="Verdana" w:hAnsi="Verdana"/>
          <w:sz w:val="20"/>
          <w:szCs w:val="20"/>
        </w:rPr>
        <w:t xml:space="preserve">wymienionych petycjach wnioskowano </w:t>
      </w:r>
      <w:r w:rsidR="00997591">
        <w:rPr>
          <w:rFonts w:ascii="Verdana" w:hAnsi="Verdana"/>
          <w:sz w:val="20"/>
          <w:szCs w:val="20"/>
        </w:rPr>
        <w:t>między innymi</w:t>
      </w:r>
      <w:r w:rsidR="00823400" w:rsidRPr="00997591">
        <w:rPr>
          <w:rFonts w:ascii="Verdana" w:hAnsi="Verdana"/>
          <w:sz w:val="20"/>
          <w:szCs w:val="20"/>
        </w:rPr>
        <w:t xml:space="preserve"> o przywrócenie </w:t>
      </w:r>
      <w:r w:rsidR="00803DCA" w:rsidRPr="00997591">
        <w:rPr>
          <w:rFonts w:ascii="Verdana" w:hAnsi="Verdana"/>
          <w:sz w:val="20"/>
          <w:szCs w:val="20"/>
        </w:rPr>
        <w:t xml:space="preserve">rodzajów i </w:t>
      </w:r>
      <w:r w:rsidR="00823400" w:rsidRPr="00997591">
        <w:rPr>
          <w:rFonts w:ascii="Verdana" w:hAnsi="Verdana"/>
          <w:sz w:val="20"/>
          <w:szCs w:val="20"/>
        </w:rPr>
        <w:t xml:space="preserve">cen </w:t>
      </w:r>
      <w:r w:rsidR="00803DCA" w:rsidRPr="00997591">
        <w:rPr>
          <w:rFonts w:ascii="Verdana" w:hAnsi="Verdana"/>
          <w:sz w:val="20"/>
          <w:szCs w:val="20"/>
        </w:rPr>
        <w:t xml:space="preserve">biletów komunikacji miejskiej </w:t>
      </w:r>
      <w:r w:rsidR="00823400" w:rsidRPr="00997591">
        <w:rPr>
          <w:rFonts w:ascii="Verdana" w:hAnsi="Verdana"/>
          <w:sz w:val="20"/>
          <w:szCs w:val="20"/>
        </w:rPr>
        <w:t xml:space="preserve">do poziomu sprzed 1 stycznia </w:t>
      </w:r>
      <w:r w:rsidR="00997591">
        <w:rPr>
          <w:rFonts w:ascii="Verdana" w:hAnsi="Verdana"/>
          <w:sz w:val="20"/>
          <w:szCs w:val="20"/>
        </w:rPr>
        <w:t xml:space="preserve">2021 </w:t>
      </w:r>
      <w:r w:rsidR="00823400" w:rsidRPr="00997591">
        <w:rPr>
          <w:rFonts w:ascii="Verdana" w:hAnsi="Verdana"/>
          <w:sz w:val="20"/>
          <w:szCs w:val="20"/>
        </w:rPr>
        <w:t>r., t</w:t>
      </w:r>
      <w:r w:rsidR="00997591">
        <w:rPr>
          <w:rFonts w:ascii="Verdana" w:hAnsi="Verdana"/>
          <w:sz w:val="20"/>
          <w:szCs w:val="20"/>
        </w:rPr>
        <w:t>o jest</w:t>
      </w:r>
      <w:r w:rsidR="00823400" w:rsidRPr="00997591">
        <w:rPr>
          <w:rFonts w:ascii="Verdana" w:hAnsi="Verdana"/>
          <w:sz w:val="20"/>
          <w:szCs w:val="20"/>
        </w:rPr>
        <w:t xml:space="preserve"> do stanu przed wejściem w życie uchwały</w:t>
      </w:r>
      <w:r w:rsidR="003D2188" w:rsidRPr="00997591">
        <w:rPr>
          <w:rFonts w:ascii="Verdana" w:hAnsi="Verdana"/>
          <w:sz w:val="20"/>
          <w:szCs w:val="20"/>
        </w:rPr>
        <w:t xml:space="preserve"> nr XXV/670/20 z dnia 23 lipca </w:t>
      </w:r>
      <w:r w:rsidR="00104046" w:rsidRPr="00997591">
        <w:rPr>
          <w:rFonts w:ascii="Verdana" w:hAnsi="Verdana"/>
          <w:sz w:val="20"/>
          <w:szCs w:val="20"/>
        </w:rPr>
        <w:t xml:space="preserve">2020 r. </w:t>
      </w:r>
      <w:r w:rsidR="003D2188" w:rsidRPr="00997591">
        <w:rPr>
          <w:rFonts w:ascii="Verdana" w:hAnsi="Verdana"/>
          <w:sz w:val="20"/>
          <w:szCs w:val="20"/>
        </w:rPr>
        <w:t>w sprawie</w:t>
      </w:r>
      <w:r w:rsidR="00751053" w:rsidRPr="00997591">
        <w:rPr>
          <w:rFonts w:ascii="Verdana" w:hAnsi="Verdana"/>
          <w:sz w:val="20"/>
          <w:szCs w:val="20"/>
        </w:rPr>
        <w:t xml:space="preserve"> ustalenia cen za usługi przewozowe świadczone środkami lokalnego transportu zbiorowego organizowanego przez Gminę Wrocław oraz sposobu ustalania wysokości opłaty dodatkowej i manipulacyjnej</w:t>
      </w:r>
      <w:r w:rsidR="0044429C" w:rsidRPr="00997591">
        <w:rPr>
          <w:rFonts w:ascii="Verdana" w:hAnsi="Verdana"/>
          <w:sz w:val="20"/>
          <w:szCs w:val="20"/>
        </w:rPr>
        <w:t>.</w:t>
      </w:r>
    </w:p>
    <w:p w:rsidR="000B3E6B" w:rsidRPr="00997591" w:rsidRDefault="00521112" w:rsidP="00997591">
      <w:pPr>
        <w:spacing w:line="288" w:lineRule="auto"/>
        <w:rPr>
          <w:rFonts w:ascii="Verdana" w:hAnsi="Verdana"/>
          <w:sz w:val="20"/>
          <w:szCs w:val="20"/>
        </w:rPr>
      </w:pPr>
      <w:r w:rsidRPr="00997591">
        <w:rPr>
          <w:rFonts w:ascii="Verdana" w:hAnsi="Verdana"/>
          <w:sz w:val="20"/>
          <w:szCs w:val="20"/>
        </w:rPr>
        <w:t xml:space="preserve">W uzasadnieniu do </w:t>
      </w:r>
      <w:r w:rsidR="003C07C9" w:rsidRPr="00997591">
        <w:rPr>
          <w:rFonts w:ascii="Verdana" w:hAnsi="Verdana"/>
          <w:sz w:val="20"/>
          <w:szCs w:val="20"/>
        </w:rPr>
        <w:t xml:space="preserve">projektu </w:t>
      </w:r>
      <w:r w:rsidRPr="00997591">
        <w:rPr>
          <w:rFonts w:ascii="Verdana" w:hAnsi="Verdana"/>
          <w:sz w:val="20"/>
          <w:szCs w:val="20"/>
        </w:rPr>
        <w:t xml:space="preserve">uchwały </w:t>
      </w:r>
      <w:r w:rsidR="003C07C9" w:rsidRPr="00997591">
        <w:rPr>
          <w:rFonts w:ascii="Verdana" w:hAnsi="Verdana"/>
          <w:sz w:val="20"/>
          <w:szCs w:val="20"/>
        </w:rPr>
        <w:t xml:space="preserve">z dnia 23 lipca 2020 r., na podstawie której od dnia 1 stycznia 2021 r. </w:t>
      </w:r>
      <w:r w:rsidR="009A3AB6" w:rsidRPr="00997591">
        <w:rPr>
          <w:rFonts w:ascii="Verdana" w:hAnsi="Verdana"/>
          <w:sz w:val="20"/>
          <w:szCs w:val="20"/>
        </w:rPr>
        <w:t xml:space="preserve">podwyższone </w:t>
      </w:r>
      <w:r w:rsidR="003C07C9" w:rsidRPr="00997591">
        <w:rPr>
          <w:rFonts w:ascii="Verdana" w:hAnsi="Verdana"/>
          <w:sz w:val="20"/>
          <w:szCs w:val="20"/>
        </w:rPr>
        <w:t xml:space="preserve">zostały ceny </w:t>
      </w:r>
      <w:r w:rsidR="00997591">
        <w:rPr>
          <w:rFonts w:ascii="Verdana" w:hAnsi="Verdana"/>
          <w:sz w:val="20"/>
          <w:szCs w:val="20"/>
        </w:rPr>
        <w:t>niektórych biletów</w:t>
      </w:r>
      <w:r w:rsidR="0028072C">
        <w:rPr>
          <w:rFonts w:ascii="Verdana" w:hAnsi="Verdana"/>
          <w:sz w:val="20"/>
          <w:szCs w:val="20"/>
        </w:rPr>
        <w:t>,</w:t>
      </w:r>
      <w:r w:rsidR="00997591">
        <w:rPr>
          <w:rFonts w:ascii="Verdana" w:hAnsi="Verdana"/>
          <w:sz w:val="20"/>
          <w:szCs w:val="20"/>
        </w:rPr>
        <w:t xml:space="preserve"> wskazywano między innymi</w:t>
      </w:r>
      <w:r w:rsidR="003C07C9" w:rsidRPr="00997591">
        <w:rPr>
          <w:rFonts w:ascii="Verdana" w:hAnsi="Verdana"/>
          <w:sz w:val="20"/>
          <w:szCs w:val="20"/>
        </w:rPr>
        <w:t xml:space="preserve">: że zmiana dotyczyła </w:t>
      </w:r>
      <w:r w:rsidR="00997591">
        <w:rPr>
          <w:rFonts w:ascii="Verdana" w:hAnsi="Verdana"/>
          <w:sz w:val="20"/>
          <w:szCs w:val="20"/>
        </w:rPr>
        <w:t xml:space="preserve">cen biletów jednorazowych i </w:t>
      </w:r>
      <w:r w:rsidR="003C07C9" w:rsidRPr="00997591">
        <w:rPr>
          <w:rFonts w:ascii="Verdana" w:hAnsi="Verdana"/>
          <w:sz w:val="20"/>
          <w:szCs w:val="20"/>
        </w:rPr>
        <w:t>okresowych</w:t>
      </w:r>
      <w:r w:rsidR="009A3AB6" w:rsidRPr="00997591">
        <w:rPr>
          <w:rFonts w:ascii="Verdana" w:hAnsi="Verdana"/>
          <w:sz w:val="20"/>
          <w:szCs w:val="20"/>
        </w:rPr>
        <w:t xml:space="preserve"> (</w:t>
      </w:r>
      <w:r w:rsidR="003C07C9" w:rsidRPr="00997591">
        <w:rPr>
          <w:rFonts w:ascii="Verdana" w:hAnsi="Verdana"/>
          <w:sz w:val="20"/>
          <w:szCs w:val="20"/>
        </w:rPr>
        <w:t>czasowych, imiennych, aglomeracyjnych</w:t>
      </w:r>
      <w:r w:rsidR="009A3AB6" w:rsidRPr="00997591">
        <w:rPr>
          <w:rFonts w:ascii="Verdana" w:hAnsi="Verdana"/>
          <w:sz w:val="20"/>
          <w:szCs w:val="20"/>
        </w:rPr>
        <w:t>)</w:t>
      </w:r>
      <w:r w:rsidR="003C07C9" w:rsidRPr="00997591">
        <w:rPr>
          <w:rFonts w:ascii="Verdana" w:hAnsi="Verdana"/>
          <w:sz w:val="20"/>
          <w:szCs w:val="20"/>
        </w:rPr>
        <w:t xml:space="preserve"> i grupowych, przy jednoczesnym pozostawieniu na dotychczasowym poziomie cen biletów okresowych imiennych dla osób rozliczających podatek dochodowy we Wrocławiu, </w:t>
      </w:r>
      <w:r w:rsidR="003C07C9" w:rsidRPr="00997591">
        <w:rPr>
          <w:rFonts w:ascii="Verdana" w:hAnsi="Verdana"/>
          <w:sz w:val="20"/>
          <w:szCs w:val="20"/>
        </w:rPr>
        <w:lastRenderedPageBreak/>
        <w:t>uczestniczą</w:t>
      </w:r>
      <w:r w:rsidR="009A3AB6" w:rsidRPr="00997591">
        <w:rPr>
          <w:rFonts w:ascii="Verdana" w:hAnsi="Verdana"/>
          <w:sz w:val="20"/>
          <w:szCs w:val="20"/>
        </w:rPr>
        <w:t>cych</w:t>
      </w:r>
      <w:r w:rsidR="00997591">
        <w:rPr>
          <w:rFonts w:ascii="Verdana" w:hAnsi="Verdana"/>
          <w:sz w:val="20"/>
          <w:szCs w:val="20"/>
        </w:rPr>
        <w:t xml:space="preserve"> </w:t>
      </w:r>
      <w:r w:rsidR="003C07C9" w:rsidRPr="00997591">
        <w:rPr>
          <w:rFonts w:ascii="Verdana" w:hAnsi="Verdana"/>
          <w:sz w:val="20"/>
          <w:szCs w:val="20"/>
        </w:rPr>
        <w:t xml:space="preserve">w miejskim programie „Nasz Wrocław”. W związku z tym dotyczyła w szczególności osób nie będących stałymi użytkownikami komunikacji miejskiej, korzystających z niej sporadycznie, osób przyjezdnych. </w:t>
      </w:r>
      <w:r w:rsidR="000B3E6B" w:rsidRPr="00997591">
        <w:rPr>
          <w:rFonts w:ascii="Verdana" w:hAnsi="Verdana"/>
          <w:sz w:val="20"/>
          <w:szCs w:val="20"/>
        </w:rPr>
        <w:t>Nie dotyczyła natomiast pasażerów</w:t>
      </w:r>
      <w:r w:rsidR="003C07C9" w:rsidRPr="00997591">
        <w:rPr>
          <w:rFonts w:ascii="Verdana" w:hAnsi="Verdana"/>
          <w:sz w:val="20"/>
          <w:szCs w:val="20"/>
        </w:rPr>
        <w:t xml:space="preserve"> dojeżdżający</w:t>
      </w:r>
      <w:r w:rsidR="000B3E6B" w:rsidRPr="00997591">
        <w:rPr>
          <w:rFonts w:ascii="Verdana" w:hAnsi="Verdana"/>
          <w:sz w:val="20"/>
          <w:szCs w:val="20"/>
        </w:rPr>
        <w:t>ch</w:t>
      </w:r>
      <w:r w:rsidR="003C07C9" w:rsidRPr="00997591">
        <w:rPr>
          <w:rFonts w:ascii="Verdana" w:hAnsi="Verdana"/>
          <w:sz w:val="20"/>
          <w:szCs w:val="20"/>
        </w:rPr>
        <w:t xml:space="preserve"> codziennie do pracy czy uczelni komunikacją miejską, rozliczający</w:t>
      </w:r>
      <w:r w:rsidR="000B3E6B" w:rsidRPr="00997591">
        <w:rPr>
          <w:rFonts w:ascii="Verdana" w:hAnsi="Verdana"/>
          <w:sz w:val="20"/>
          <w:szCs w:val="20"/>
        </w:rPr>
        <w:t>ch</w:t>
      </w:r>
      <w:r w:rsidR="003C07C9" w:rsidRPr="00997591">
        <w:rPr>
          <w:rFonts w:ascii="Verdana" w:hAnsi="Verdana"/>
          <w:sz w:val="20"/>
          <w:szCs w:val="20"/>
        </w:rPr>
        <w:t xml:space="preserve"> się we Wrocławiu z podatku dochodowego</w:t>
      </w:r>
      <w:r w:rsidR="009A3AB6" w:rsidRPr="00997591">
        <w:rPr>
          <w:rFonts w:ascii="Verdana" w:hAnsi="Verdana"/>
          <w:sz w:val="20"/>
          <w:szCs w:val="20"/>
        </w:rPr>
        <w:t>. W związku z tym wprowadzona zmiana</w:t>
      </w:r>
      <w:r w:rsidR="000B3E6B" w:rsidRPr="00997591">
        <w:rPr>
          <w:rFonts w:ascii="Verdana" w:hAnsi="Verdana"/>
          <w:sz w:val="20"/>
          <w:szCs w:val="20"/>
        </w:rPr>
        <w:t xml:space="preserve"> nie mogła być </w:t>
      </w:r>
      <w:r w:rsidR="009A3AB6" w:rsidRPr="00997591">
        <w:rPr>
          <w:rFonts w:ascii="Verdana" w:hAnsi="Verdana"/>
          <w:sz w:val="20"/>
          <w:szCs w:val="20"/>
        </w:rPr>
        <w:t xml:space="preserve">przyczyną </w:t>
      </w:r>
      <w:r w:rsidR="000B3E6B" w:rsidRPr="00997591">
        <w:rPr>
          <w:rFonts w:ascii="Verdana" w:hAnsi="Verdana"/>
          <w:sz w:val="20"/>
          <w:szCs w:val="20"/>
        </w:rPr>
        <w:t xml:space="preserve">odejścia ich z komunikacji. </w:t>
      </w:r>
      <w:r w:rsidR="003700D5" w:rsidRPr="00997591">
        <w:rPr>
          <w:rFonts w:ascii="Verdana" w:hAnsi="Verdana"/>
          <w:sz w:val="20"/>
          <w:szCs w:val="20"/>
        </w:rPr>
        <w:t>Przyjęte rozwiązanie</w:t>
      </w:r>
      <w:r w:rsidR="0028072C">
        <w:rPr>
          <w:rFonts w:ascii="Verdana" w:hAnsi="Verdana"/>
          <w:sz w:val="20"/>
          <w:szCs w:val="20"/>
        </w:rPr>
        <w:t xml:space="preserve"> </w:t>
      </w:r>
      <w:r w:rsidR="003700D5" w:rsidRPr="00997591">
        <w:rPr>
          <w:rFonts w:ascii="Verdana" w:hAnsi="Verdana"/>
          <w:sz w:val="20"/>
          <w:szCs w:val="20"/>
        </w:rPr>
        <w:t xml:space="preserve">miało </w:t>
      </w:r>
      <w:r w:rsidR="000B3E6B" w:rsidRPr="00997591">
        <w:rPr>
          <w:rFonts w:ascii="Verdana" w:hAnsi="Verdana"/>
          <w:sz w:val="20"/>
          <w:szCs w:val="20"/>
        </w:rPr>
        <w:t>stanowić zachętę dl</w:t>
      </w:r>
      <w:r w:rsidR="003C07C9" w:rsidRPr="00997591">
        <w:rPr>
          <w:rFonts w:ascii="Verdana" w:hAnsi="Verdana"/>
          <w:sz w:val="20"/>
          <w:szCs w:val="20"/>
        </w:rPr>
        <w:t>a mieszkańców Wrocła</w:t>
      </w:r>
      <w:r w:rsidR="000B3E6B" w:rsidRPr="00997591">
        <w:rPr>
          <w:rFonts w:ascii="Verdana" w:hAnsi="Verdana"/>
          <w:sz w:val="20"/>
          <w:szCs w:val="20"/>
        </w:rPr>
        <w:t xml:space="preserve">wia do </w:t>
      </w:r>
      <w:r w:rsidR="003C07C9" w:rsidRPr="00997591">
        <w:rPr>
          <w:rFonts w:ascii="Verdana" w:hAnsi="Verdana"/>
          <w:sz w:val="20"/>
          <w:szCs w:val="20"/>
        </w:rPr>
        <w:t>aktualizacji miejsca zamieszkania w urzędzie</w:t>
      </w:r>
      <w:r w:rsidR="000B3E6B" w:rsidRPr="00997591">
        <w:rPr>
          <w:rFonts w:ascii="Verdana" w:hAnsi="Verdana"/>
          <w:sz w:val="20"/>
          <w:szCs w:val="20"/>
        </w:rPr>
        <w:t xml:space="preserve"> skarbowym,</w:t>
      </w:r>
      <w:r w:rsidR="003C07C9" w:rsidRPr="00997591">
        <w:rPr>
          <w:rFonts w:ascii="Verdana" w:hAnsi="Verdana"/>
          <w:sz w:val="20"/>
          <w:szCs w:val="20"/>
        </w:rPr>
        <w:t xml:space="preserve"> co </w:t>
      </w:r>
      <w:r w:rsidR="000B3E6B" w:rsidRPr="00997591">
        <w:rPr>
          <w:rFonts w:ascii="Verdana" w:hAnsi="Verdana"/>
          <w:sz w:val="20"/>
          <w:szCs w:val="20"/>
        </w:rPr>
        <w:t xml:space="preserve">również ma wpływ na zwiększenie dochodów </w:t>
      </w:r>
      <w:r w:rsidR="00997591">
        <w:rPr>
          <w:rFonts w:ascii="Verdana" w:hAnsi="Verdana"/>
          <w:sz w:val="20"/>
          <w:szCs w:val="20"/>
        </w:rPr>
        <w:t>Gminy.</w:t>
      </w:r>
    </w:p>
    <w:p w:rsidR="0044429C" w:rsidRPr="00997591" w:rsidRDefault="008A62F7" w:rsidP="00997591">
      <w:pPr>
        <w:spacing w:line="288" w:lineRule="auto"/>
        <w:rPr>
          <w:rFonts w:ascii="Verdana" w:hAnsi="Verdana"/>
          <w:sz w:val="20"/>
          <w:szCs w:val="20"/>
        </w:rPr>
      </w:pPr>
      <w:r w:rsidRPr="00997591">
        <w:rPr>
          <w:rFonts w:ascii="Verdana" w:hAnsi="Verdana"/>
          <w:sz w:val="20"/>
          <w:szCs w:val="20"/>
        </w:rPr>
        <w:t xml:space="preserve">Analizując przytoczone przez autorów </w:t>
      </w:r>
      <w:r w:rsidR="004B6C42" w:rsidRPr="00997591">
        <w:rPr>
          <w:rFonts w:ascii="Verdana" w:hAnsi="Verdana"/>
          <w:sz w:val="20"/>
          <w:szCs w:val="20"/>
        </w:rPr>
        <w:t xml:space="preserve">petycji z dnia </w:t>
      </w:r>
      <w:r w:rsidR="00F22D0E" w:rsidRPr="00997591">
        <w:rPr>
          <w:rFonts w:ascii="Verdana" w:hAnsi="Verdana"/>
          <w:sz w:val="20"/>
          <w:szCs w:val="20"/>
        </w:rPr>
        <w:t>16</w:t>
      </w:r>
      <w:r w:rsidR="004B6C42" w:rsidRPr="00997591">
        <w:rPr>
          <w:rFonts w:ascii="Verdana" w:hAnsi="Verdana"/>
          <w:sz w:val="20"/>
          <w:szCs w:val="20"/>
        </w:rPr>
        <w:t xml:space="preserve"> lutego </w:t>
      </w:r>
      <w:r w:rsidR="00997591">
        <w:rPr>
          <w:rFonts w:ascii="Verdana" w:hAnsi="Verdana"/>
          <w:sz w:val="20"/>
          <w:szCs w:val="20"/>
        </w:rPr>
        <w:t>bieżącego roku</w:t>
      </w:r>
      <w:r w:rsidR="004B6C42" w:rsidRPr="00997591">
        <w:rPr>
          <w:rFonts w:ascii="Verdana" w:hAnsi="Verdana"/>
          <w:sz w:val="20"/>
          <w:szCs w:val="20"/>
        </w:rPr>
        <w:t xml:space="preserve"> </w:t>
      </w:r>
      <w:r w:rsidRPr="00997591">
        <w:rPr>
          <w:rFonts w:ascii="Verdana" w:hAnsi="Verdana"/>
          <w:sz w:val="20"/>
          <w:szCs w:val="20"/>
        </w:rPr>
        <w:t>argumenty</w:t>
      </w:r>
      <w:r w:rsidR="00997591">
        <w:rPr>
          <w:rFonts w:ascii="Verdana" w:hAnsi="Verdana"/>
          <w:sz w:val="20"/>
          <w:szCs w:val="20"/>
        </w:rPr>
        <w:t xml:space="preserve"> </w:t>
      </w:r>
      <w:r w:rsidR="004076B0" w:rsidRPr="00997591">
        <w:rPr>
          <w:rFonts w:ascii="Verdana" w:hAnsi="Verdana"/>
          <w:sz w:val="20"/>
          <w:szCs w:val="20"/>
        </w:rPr>
        <w:t xml:space="preserve">za </w:t>
      </w:r>
      <w:r w:rsidR="00D263B5" w:rsidRPr="00997591">
        <w:rPr>
          <w:rFonts w:ascii="Verdana" w:hAnsi="Verdana"/>
          <w:sz w:val="20"/>
          <w:szCs w:val="20"/>
        </w:rPr>
        <w:t>przywróceniem</w:t>
      </w:r>
      <w:r w:rsidR="000F0C16" w:rsidRPr="00997591">
        <w:rPr>
          <w:rFonts w:ascii="Verdana" w:hAnsi="Verdana"/>
          <w:sz w:val="20"/>
          <w:szCs w:val="20"/>
        </w:rPr>
        <w:t xml:space="preserve"> cen biletów do stanu sprzed 1 stycznia 2021 r.</w:t>
      </w:r>
      <w:r w:rsidR="001C1D5B" w:rsidRPr="00997591">
        <w:rPr>
          <w:rFonts w:ascii="Verdana" w:hAnsi="Verdana"/>
          <w:sz w:val="20"/>
          <w:szCs w:val="20"/>
        </w:rPr>
        <w:t xml:space="preserve"> należy</w:t>
      </w:r>
      <w:r w:rsidR="009819FB" w:rsidRPr="00997591">
        <w:rPr>
          <w:rFonts w:ascii="Verdana" w:hAnsi="Verdana"/>
          <w:sz w:val="20"/>
          <w:szCs w:val="20"/>
        </w:rPr>
        <w:t xml:space="preserve"> zauważyć</w:t>
      </w:r>
      <w:r w:rsidR="001C1D5B" w:rsidRPr="00997591">
        <w:rPr>
          <w:rFonts w:ascii="Verdana" w:hAnsi="Verdana"/>
          <w:sz w:val="20"/>
          <w:szCs w:val="20"/>
        </w:rPr>
        <w:t xml:space="preserve">, że </w:t>
      </w:r>
      <w:r w:rsidR="009A3AB6" w:rsidRPr="00997591">
        <w:rPr>
          <w:rFonts w:ascii="Verdana" w:hAnsi="Verdana"/>
          <w:sz w:val="20"/>
          <w:szCs w:val="20"/>
        </w:rPr>
        <w:t xml:space="preserve">dane </w:t>
      </w:r>
      <w:r w:rsidR="00470463" w:rsidRPr="00997591">
        <w:rPr>
          <w:rFonts w:ascii="Verdana" w:hAnsi="Verdana"/>
          <w:sz w:val="20"/>
          <w:szCs w:val="20"/>
        </w:rPr>
        <w:t xml:space="preserve">ze </w:t>
      </w:r>
      <w:r w:rsidR="0044429C" w:rsidRPr="00997591">
        <w:rPr>
          <w:rFonts w:ascii="Verdana" w:hAnsi="Verdana"/>
          <w:sz w:val="20"/>
          <w:szCs w:val="20"/>
        </w:rPr>
        <w:t>sprzedaży biletów</w:t>
      </w:r>
      <w:r w:rsidR="0028072C">
        <w:rPr>
          <w:rFonts w:ascii="Verdana" w:hAnsi="Verdana"/>
          <w:sz w:val="20"/>
          <w:szCs w:val="20"/>
        </w:rPr>
        <w:t xml:space="preserve"> </w:t>
      </w:r>
      <w:r w:rsidR="009A3AB6" w:rsidRPr="00997591">
        <w:rPr>
          <w:rFonts w:ascii="Verdana" w:hAnsi="Verdana"/>
          <w:sz w:val="20"/>
          <w:szCs w:val="20"/>
        </w:rPr>
        <w:t xml:space="preserve">zostały zaprezentowane wybiórczo </w:t>
      </w:r>
      <w:r w:rsidR="002422E2" w:rsidRPr="00997591">
        <w:rPr>
          <w:rFonts w:ascii="Verdana" w:hAnsi="Verdana"/>
          <w:sz w:val="20"/>
          <w:szCs w:val="20"/>
        </w:rPr>
        <w:t xml:space="preserve">(tylko </w:t>
      </w:r>
      <w:r w:rsidR="009A3AB6" w:rsidRPr="00997591">
        <w:rPr>
          <w:rFonts w:ascii="Verdana" w:hAnsi="Verdana"/>
          <w:sz w:val="20"/>
          <w:szCs w:val="20"/>
        </w:rPr>
        <w:t>rok</w:t>
      </w:r>
      <w:r w:rsidR="002422E2" w:rsidRPr="00997591">
        <w:rPr>
          <w:rFonts w:ascii="Verdana" w:hAnsi="Verdana"/>
          <w:sz w:val="20"/>
          <w:szCs w:val="20"/>
        </w:rPr>
        <w:t xml:space="preserve"> 2019 i 2022</w:t>
      </w:r>
      <w:r w:rsidR="009A3AB6" w:rsidRPr="00997591">
        <w:rPr>
          <w:rFonts w:ascii="Verdana" w:hAnsi="Verdana"/>
          <w:sz w:val="20"/>
          <w:szCs w:val="20"/>
        </w:rPr>
        <w:t>, niepełny zakres taryfy biletowej</w:t>
      </w:r>
      <w:r w:rsidR="002422E2" w:rsidRPr="00997591">
        <w:rPr>
          <w:rFonts w:ascii="Verdana" w:hAnsi="Verdana"/>
          <w:sz w:val="20"/>
          <w:szCs w:val="20"/>
        </w:rPr>
        <w:t>)</w:t>
      </w:r>
      <w:r w:rsidR="00C007A8" w:rsidRPr="00997591">
        <w:rPr>
          <w:rFonts w:ascii="Verdana" w:hAnsi="Verdana"/>
          <w:sz w:val="20"/>
          <w:szCs w:val="20"/>
        </w:rPr>
        <w:t>. W związku z tym wyciągnięte na ic</w:t>
      </w:r>
      <w:r w:rsidR="003700D5" w:rsidRPr="00997591">
        <w:rPr>
          <w:rFonts w:ascii="Verdana" w:hAnsi="Verdana"/>
          <w:sz w:val="20"/>
          <w:szCs w:val="20"/>
        </w:rPr>
        <w:t>h</w:t>
      </w:r>
      <w:r w:rsidR="00C007A8" w:rsidRPr="00997591">
        <w:rPr>
          <w:rFonts w:ascii="Verdana" w:hAnsi="Verdana"/>
          <w:sz w:val="20"/>
          <w:szCs w:val="20"/>
        </w:rPr>
        <w:t xml:space="preserve"> podstawie wnioski są błędne i nie powinny </w:t>
      </w:r>
      <w:r w:rsidR="002020A5" w:rsidRPr="00997591">
        <w:rPr>
          <w:rFonts w:ascii="Verdana" w:hAnsi="Verdana"/>
          <w:sz w:val="20"/>
          <w:szCs w:val="20"/>
        </w:rPr>
        <w:t>stanowić podstawy do zmiany</w:t>
      </w:r>
      <w:r w:rsidR="00997591">
        <w:rPr>
          <w:rFonts w:ascii="Verdana" w:hAnsi="Verdana"/>
          <w:sz w:val="20"/>
          <w:szCs w:val="20"/>
        </w:rPr>
        <w:t xml:space="preserve"> </w:t>
      </w:r>
      <w:r w:rsidR="007D365C" w:rsidRPr="00997591">
        <w:rPr>
          <w:rFonts w:ascii="Verdana" w:hAnsi="Verdana"/>
          <w:sz w:val="20"/>
          <w:szCs w:val="20"/>
        </w:rPr>
        <w:t xml:space="preserve">(obniżenia) </w:t>
      </w:r>
      <w:r w:rsidR="00A35CB4" w:rsidRPr="00997591">
        <w:rPr>
          <w:rFonts w:ascii="Verdana" w:hAnsi="Verdana"/>
          <w:sz w:val="20"/>
          <w:szCs w:val="20"/>
        </w:rPr>
        <w:t>cen.</w:t>
      </w:r>
    </w:p>
    <w:p w:rsidR="00104046" w:rsidRPr="00997591" w:rsidRDefault="002020A5" w:rsidP="00997591">
      <w:pPr>
        <w:spacing w:line="288" w:lineRule="auto"/>
        <w:rPr>
          <w:rFonts w:ascii="Verdana" w:hAnsi="Verdana"/>
          <w:sz w:val="20"/>
          <w:szCs w:val="20"/>
        </w:rPr>
      </w:pPr>
      <w:r w:rsidRPr="00997591">
        <w:rPr>
          <w:rFonts w:ascii="Verdana" w:hAnsi="Verdana"/>
          <w:sz w:val="20"/>
          <w:szCs w:val="20"/>
        </w:rPr>
        <w:t xml:space="preserve">W uzasadnieniu </w:t>
      </w:r>
      <w:r w:rsidR="0076345F" w:rsidRPr="00997591">
        <w:rPr>
          <w:rFonts w:ascii="Verdana" w:hAnsi="Verdana"/>
          <w:sz w:val="20"/>
          <w:szCs w:val="20"/>
        </w:rPr>
        <w:t>petycji</w:t>
      </w:r>
      <w:r w:rsidRPr="00997591">
        <w:rPr>
          <w:rFonts w:ascii="Verdana" w:hAnsi="Verdana"/>
          <w:sz w:val="20"/>
          <w:szCs w:val="20"/>
        </w:rPr>
        <w:t xml:space="preserve"> autor powołuje się </w:t>
      </w:r>
      <w:r w:rsidR="004E0C97" w:rsidRPr="00997591">
        <w:rPr>
          <w:rFonts w:ascii="Verdana" w:hAnsi="Verdana"/>
          <w:sz w:val="20"/>
          <w:szCs w:val="20"/>
        </w:rPr>
        <w:t xml:space="preserve">tylko </w:t>
      </w:r>
      <w:r w:rsidRPr="00997591">
        <w:rPr>
          <w:rFonts w:ascii="Verdana" w:hAnsi="Verdana"/>
          <w:sz w:val="20"/>
          <w:szCs w:val="20"/>
        </w:rPr>
        <w:t xml:space="preserve">na wyniki sprzedaży biletów osiągnięte w </w:t>
      </w:r>
      <w:r w:rsidR="004E0C97" w:rsidRPr="00997591">
        <w:rPr>
          <w:rFonts w:ascii="Verdana" w:hAnsi="Verdana"/>
          <w:sz w:val="20"/>
          <w:szCs w:val="20"/>
        </w:rPr>
        <w:t xml:space="preserve">roku </w:t>
      </w:r>
      <w:r w:rsidRPr="00997591">
        <w:rPr>
          <w:rFonts w:ascii="Verdana" w:hAnsi="Verdana"/>
          <w:sz w:val="20"/>
          <w:szCs w:val="20"/>
        </w:rPr>
        <w:t>2019</w:t>
      </w:r>
      <w:r w:rsidR="004E0C97" w:rsidRPr="00997591">
        <w:rPr>
          <w:rFonts w:ascii="Verdana" w:hAnsi="Verdana"/>
          <w:sz w:val="20"/>
          <w:szCs w:val="20"/>
        </w:rPr>
        <w:t xml:space="preserve"> i 2022. Natomiast w celu wyciągnięcia wniosków należy przyjrzeć się całemu procesowi sprzedaży </w:t>
      </w:r>
      <w:r w:rsidR="00E3001C" w:rsidRPr="00997591">
        <w:rPr>
          <w:rFonts w:ascii="Verdana" w:hAnsi="Verdana"/>
          <w:sz w:val="20"/>
          <w:szCs w:val="20"/>
        </w:rPr>
        <w:t xml:space="preserve">i wynikach osiąganych </w:t>
      </w:r>
      <w:r w:rsidR="004E0C97" w:rsidRPr="00997591">
        <w:rPr>
          <w:rFonts w:ascii="Verdana" w:hAnsi="Verdana"/>
          <w:sz w:val="20"/>
          <w:szCs w:val="20"/>
        </w:rPr>
        <w:t>w cykliczny</w:t>
      </w:r>
      <w:r w:rsidR="00E3001C" w:rsidRPr="00997591">
        <w:rPr>
          <w:rFonts w:ascii="Verdana" w:hAnsi="Verdana"/>
          <w:sz w:val="20"/>
          <w:szCs w:val="20"/>
        </w:rPr>
        <w:t>ch</w:t>
      </w:r>
      <w:r w:rsidR="00997591">
        <w:rPr>
          <w:rFonts w:ascii="Verdana" w:hAnsi="Verdana"/>
          <w:sz w:val="20"/>
          <w:szCs w:val="20"/>
        </w:rPr>
        <w:t xml:space="preserve"> </w:t>
      </w:r>
      <w:r w:rsidR="009B722A" w:rsidRPr="00997591">
        <w:rPr>
          <w:rFonts w:ascii="Verdana" w:hAnsi="Verdana"/>
          <w:sz w:val="20"/>
          <w:szCs w:val="20"/>
        </w:rPr>
        <w:t>(</w:t>
      </w:r>
      <w:r w:rsidR="00E86499" w:rsidRPr="00997591">
        <w:rPr>
          <w:rFonts w:ascii="Verdana" w:hAnsi="Verdana"/>
          <w:sz w:val="20"/>
          <w:szCs w:val="20"/>
        </w:rPr>
        <w:t xml:space="preserve">np. </w:t>
      </w:r>
      <w:r w:rsidR="009B722A" w:rsidRPr="00997591">
        <w:rPr>
          <w:rFonts w:ascii="Verdana" w:hAnsi="Verdana"/>
          <w:sz w:val="20"/>
          <w:szCs w:val="20"/>
        </w:rPr>
        <w:t xml:space="preserve">rocznych) </w:t>
      </w:r>
      <w:r w:rsidR="001B0176" w:rsidRPr="00997591">
        <w:rPr>
          <w:rFonts w:ascii="Verdana" w:hAnsi="Verdana"/>
          <w:sz w:val="20"/>
          <w:szCs w:val="20"/>
        </w:rPr>
        <w:t xml:space="preserve">odstępach czasowych. Analizując sprzedaż biletów w okresie od </w:t>
      </w:r>
      <w:r w:rsidR="0014434C" w:rsidRPr="00997591">
        <w:rPr>
          <w:rFonts w:ascii="Verdana" w:hAnsi="Verdana"/>
          <w:sz w:val="20"/>
          <w:szCs w:val="20"/>
        </w:rPr>
        <w:t>2020</w:t>
      </w:r>
      <w:r w:rsidR="00997591">
        <w:rPr>
          <w:rFonts w:ascii="Verdana" w:hAnsi="Verdana"/>
          <w:sz w:val="20"/>
          <w:szCs w:val="20"/>
        </w:rPr>
        <w:t xml:space="preserve"> </w:t>
      </w:r>
      <w:r w:rsidR="001B0176" w:rsidRPr="00997591">
        <w:rPr>
          <w:rFonts w:ascii="Verdana" w:hAnsi="Verdana"/>
          <w:sz w:val="20"/>
          <w:szCs w:val="20"/>
        </w:rPr>
        <w:t>r.</w:t>
      </w:r>
      <w:r w:rsidR="00997591">
        <w:rPr>
          <w:rFonts w:ascii="Verdana" w:hAnsi="Verdana"/>
          <w:sz w:val="20"/>
          <w:szCs w:val="20"/>
        </w:rPr>
        <w:t>, kiedy to w związku z COVID</w:t>
      </w:r>
      <w:r w:rsidR="0014434C" w:rsidRPr="00997591">
        <w:rPr>
          <w:rFonts w:ascii="Verdana" w:hAnsi="Verdana"/>
          <w:sz w:val="20"/>
          <w:szCs w:val="20"/>
        </w:rPr>
        <w:t xml:space="preserve">-19 nastąpiło gwałtowne zmniejszenie sprzedaży </w:t>
      </w:r>
      <w:r w:rsidR="00852552" w:rsidRPr="00997591">
        <w:rPr>
          <w:rFonts w:ascii="Verdana" w:hAnsi="Verdana"/>
          <w:sz w:val="20"/>
          <w:szCs w:val="20"/>
        </w:rPr>
        <w:t>biletów</w:t>
      </w:r>
      <w:r w:rsidR="00997591">
        <w:rPr>
          <w:rFonts w:ascii="Verdana" w:hAnsi="Verdana"/>
          <w:sz w:val="20"/>
          <w:szCs w:val="20"/>
        </w:rPr>
        <w:t xml:space="preserve"> </w:t>
      </w:r>
      <w:r w:rsidR="00FB7E0C" w:rsidRPr="00997591">
        <w:rPr>
          <w:rFonts w:ascii="Verdana" w:hAnsi="Verdana"/>
          <w:sz w:val="20"/>
          <w:szCs w:val="20"/>
        </w:rPr>
        <w:t>(</w:t>
      </w:r>
      <w:r w:rsidR="0040301D" w:rsidRPr="00997591">
        <w:rPr>
          <w:rFonts w:ascii="Verdana" w:hAnsi="Verdana"/>
          <w:sz w:val="20"/>
          <w:szCs w:val="20"/>
        </w:rPr>
        <w:t>będące</w:t>
      </w:r>
      <w:r w:rsidR="00422400" w:rsidRPr="00997591">
        <w:rPr>
          <w:rFonts w:ascii="Verdana" w:hAnsi="Verdana"/>
          <w:sz w:val="20"/>
          <w:szCs w:val="20"/>
        </w:rPr>
        <w:t xml:space="preserve"> skutkiem </w:t>
      </w:r>
      <w:r w:rsidR="00997591">
        <w:rPr>
          <w:rFonts w:ascii="Verdana" w:hAnsi="Verdana"/>
          <w:sz w:val="20"/>
          <w:szCs w:val="20"/>
        </w:rPr>
        <w:t>między innymi</w:t>
      </w:r>
      <w:r w:rsidR="00186050" w:rsidRPr="00997591">
        <w:rPr>
          <w:rFonts w:ascii="Verdana" w:hAnsi="Verdana"/>
          <w:sz w:val="20"/>
          <w:szCs w:val="20"/>
        </w:rPr>
        <w:t xml:space="preserve"> </w:t>
      </w:r>
      <w:r w:rsidR="00422400" w:rsidRPr="00997591">
        <w:rPr>
          <w:rFonts w:ascii="Verdana" w:hAnsi="Verdana"/>
          <w:sz w:val="20"/>
          <w:szCs w:val="20"/>
        </w:rPr>
        <w:t xml:space="preserve">wprowadzonych mocą prawa </w:t>
      </w:r>
      <w:r w:rsidR="008D2E05" w:rsidRPr="00997591">
        <w:rPr>
          <w:rFonts w:ascii="Verdana" w:hAnsi="Verdana"/>
          <w:sz w:val="20"/>
          <w:szCs w:val="20"/>
        </w:rPr>
        <w:t xml:space="preserve">znacznych </w:t>
      </w:r>
      <w:r w:rsidR="00151C14" w:rsidRPr="00997591">
        <w:rPr>
          <w:rFonts w:ascii="Verdana" w:hAnsi="Verdana"/>
          <w:sz w:val="20"/>
          <w:szCs w:val="20"/>
        </w:rPr>
        <w:t>ograniczeń</w:t>
      </w:r>
      <w:r w:rsidR="00997591">
        <w:rPr>
          <w:rFonts w:ascii="Verdana" w:hAnsi="Verdana"/>
          <w:sz w:val="20"/>
          <w:szCs w:val="20"/>
        </w:rPr>
        <w:t xml:space="preserve"> </w:t>
      </w:r>
      <w:r w:rsidR="00383142" w:rsidRPr="00997591">
        <w:rPr>
          <w:rFonts w:ascii="Verdana" w:hAnsi="Verdana"/>
          <w:sz w:val="20"/>
          <w:szCs w:val="20"/>
        </w:rPr>
        <w:t xml:space="preserve">w zakresie </w:t>
      </w:r>
      <w:r w:rsidR="001935F4" w:rsidRPr="00997591">
        <w:rPr>
          <w:rFonts w:ascii="Verdana" w:hAnsi="Verdana"/>
          <w:sz w:val="20"/>
          <w:szCs w:val="20"/>
        </w:rPr>
        <w:t xml:space="preserve">dopuszczalnej liczby osób </w:t>
      </w:r>
      <w:r w:rsidR="0014434C" w:rsidRPr="00997591">
        <w:rPr>
          <w:rFonts w:ascii="Verdana" w:hAnsi="Verdana"/>
          <w:sz w:val="20"/>
          <w:szCs w:val="20"/>
        </w:rPr>
        <w:t xml:space="preserve">w </w:t>
      </w:r>
      <w:r w:rsidR="00821CA7" w:rsidRPr="00997591">
        <w:rPr>
          <w:rFonts w:ascii="Verdana" w:hAnsi="Verdana"/>
          <w:sz w:val="20"/>
          <w:szCs w:val="20"/>
        </w:rPr>
        <w:t xml:space="preserve">pojazdach </w:t>
      </w:r>
      <w:r w:rsidR="0014434C" w:rsidRPr="00997591">
        <w:rPr>
          <w:rFonts w:ascii="Verdana" w:hAnsi="Verdana"/>
          <w:sz w:val="20"/>
          <w:szCs w:val="20"/>
        </w:rPr>
        <w:t>komunikacji miejskiej</w:t>
      </w:r>
      <w:r w:rsidR="00FB7E0C" w:rsidRPr="00997591">
        <w:rPr>
          <w:rFonts w:ascii="Verdana" w:hAnsi="Verdana"/>
          <w:sz w:val="20"/>
          <w:szCs w:val="20"/>
        </w:rPr>
        <w:t>)</w:t>
      </w:r>
      <w:r w:rsidR="0014434C" w:rsidRPr="00997591">
        <w:rPr>
          <w:rFonts w:ascii="Verdana" w:hAnsi="Verdana"/>
          <w:sz w:val="20"/>
          <w:szCs w:val="20"/>
        </w:rPr>
        <w:t>,</w:t>
      </w:r>
      <w:r w:rsidR="001B0176" w:rsidRPr="00997591">
        <w:rPr>
          <w:rFonts w:ascii="Verdana" w:hAnsi="Verdana"/>
          <w:sz w:val="20"/>
          <w:szCs w:val="20"/>
        </w:rPr>
        <w:t xml:space="preserve"> do 2022 r. </w:t>
      </w:r>
      <w:r w:rsidR="00387F34" w:rsidRPr="00997591">
        <w:rPr>
          <w:rFonts w:ascii="Verdana" w:hAnsi="Verdana"/>
          <w:sz w:val="20"/>
          <w:szCs w:val="20"/>
        </w:rPr>
        <w:t xml:space="preserve">można zaobserwować wyraźny trend wzrostowy. </w:t>
      </w:r>
      <w:r w:rsidR="00ED6307" w:rsidRPr="00997591">
        <w:rPr>
          <w:rFonts w:ascii="Verdana" w:hAnsi="Verdana"/>
          <w:sz w:val="20"/>
          <w:szCs w:val="20"/>
        </w:rPr>
        <w:t xml:space="preserve">Taka teza oparta jest na następujących danych o </w:t>
      </w:r>
      <w:r w:rsidR="00387F34" w:rsidRPr="00997591">
        <w:rPr>
          <w:rFonts w:ascii="Verdana" w:hAnsi="Verdana"/>
          <w:sz w:val="20"/>
          <w:szCs w:val="20"/>
        </w:rPr>
        <w:t>sprzedaż</w:t>
      </w:r>
      <w:r w:rsidR="00ED6307" w:rsidRPr="00997591">
        <w:rPr>
          <w:rFonts w:ascii="Verdana" w:hAnsi="Verdana"/>
          <w:sz w:val="20"/>
          <w:szCs w:val="20"/>
        </w:rPr>
        <w:t>y</w:t>
      </w:r>
      <w:r w:rsidR="00387F34" w:rsidRPr="00997591">
        <w:rPr>
          <w:rFonts w:ascii="Verdana" w:hAnsi="Verdana"/>
          <w:sz w:val="20"/>
          <w:szCs w:val="20"/>
        </w:rPr>
        <w:t xml:space="preserve"> biletów</w:t>
      </w:r>
      <w:r w:rsidR="00ED6307" w:rsidRPr="00997591">
        <w:rPr>
          <w:rFonts w:ascii="Verdana" w:hAnsi="Verdana"/>
          <w:sz w:val="20"/>
          <w:szCs w:val="20"/>
        </w:rPr>
        <w:t>:</w:t>
      </w:r>
    </w:p>
    <w:p w:rsidR="00E86499" w:rsidRPr="00997591" w:rsidRDefault="00E86499" w:rsidP="00997591">
      <w:pPr>
        <w:spacing w:line="288" w:lineRule="auto"/>
        <w:rPr>
          <w:rFonts w:ascii="Verdana" w:hAnsi="Verdana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2405"/>
        <w:gridCol w:w="1379"/>
        <w:gridCol w:w="1379"/>
        <w:gridCol w:w="1379"/>
        <w:gridCol w:w="1379"/>
      </w:tblGrid>
      <w:tr w:rsidR="00392854" w:rsidRPr="00997591" w:rsidTr="00392854">
        <w:tc>
          <w:tcPr>
            <w:tcW w:w="2405" w:type="dxa"/>
            <w:vAlign w:val="center"/>
          </w:tcPr>
          <w:p w:rsidR="00392854" w:rsidRPr="00997591" w:rsidRDefault="00392854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Rodzaj biletów</w:t>
            </w:r>
          </w:p>
        </w:tc>
        <w:tc>
          <w:tcPr>
            <w:tcW w:w="1379" w:type="dxa"/>
            <w:vAlign w:val="center"/>
          </w:tcPr>
          <w:p w:rsidR="00392854" w:rsidRPr="00997591" w:rsidRDefault="00392854" w:rsidP="00997591">
            <w:pPr>
              <w:spacing w:line="288" w:lineRule="auto"/>
              <w:rPr>
                <w:rFonts w:ascii="Verdana" w:hAnsi="Verdana"/>
                <w:iCs/>
                <w:sz w:val="20"/>
                <w:szCs w:val="20"/>
              </w:rPr>
            </w:pPr>
            <w:r w:rsidRPr="00997591">
              <w:rPr>
                <w:rFonts w:ascii="Verdana" w:hAnsi="Verdana"/>
                <w:iCs/>
                <w:sz w:val="20"/>
                <w:szCs w:val="20"/>
              </w:rPr>
              <w:t>2019</w:t>
            </w:r>
          </w:p>
          <w:p w:rsidR="00B90A25" w:rsidRPr="00997591" w:rsidRDefault="008F4778" w:rsidP="00997591">
            <w:pPr>
              <w:spacing w:line="288" w:lineRule="auto"/>
              <w:rPr>
                <w:rFonts w:ascii="Verdana" w:hAnsi="Verdana"/>
                <w:iCs/>
                <w:sz w:val="20"/>
                <w:szCs w:val="20"/>
              </w:rPr>
            </w:pPr>
            <w:r w:rsidRPr="00997591">
              <w:rPr>
                <w:rFonts w:ascii="Verdana" w:hAnsi="Verdana"/>
                <w:iCs/>
                <w:sz w:val="20"/>
                <w:szCs w:val="20"/>
              </w:rPr>
              <w:t>[s</w:t>
            </w:r>
            <w:r w:rsidR="00B90A25" w:rsidRPr="00997591">
              <w:rPr>
                <w:rFonts w:ascii="Verdana" w:hAnsi="Verdana"/>
                <w:iCs/>
                <w:sz w:val="20"/>
                <w:szCs w:val="20"/>
              </w:rPr>
              <w:t>zt.</w:t>
            </w:r>
            <w:r w:rsidRPr="00997591">
              <w:rPr>
                <w:rFonts w:ascii="Verdana" w:hAnsi="Verdana"/>
                <w:iCs/>
                <w:sz w:val="20"/>
                <w:szCs w:val="20"/>
              </w:rPr>
              <w:t>]</w:t>
            </w:r>
          </w:p>
        </w:tc>
        <w:tc>
          <w:tcPr>
            <w:tcW w:w="1379" w:type="dxa"/>
            <w:vAlign w:val="center"/>
          </w:tcPr>
          <w:p w:rsidR="00392854" w:rsidRPr="00997591" w:rsidRDefault="00392854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2020</w:t>
            </w:r>
          </w:p>
          <w:p w:rsidR="008F4778" w:rsidRPr="00997591" w:rsidRDefault="008F4778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[szt.]</w:t>
            </w:r>
          </w:p>
        </w:tc>
        <w:tc>
          <w:tcPr>
            <w:tcW w:w="1379" w:type="dxa"/>
            <w:vAlign w:val="center"/>
          </w:tcPr>
          <w:p w:rsidR="00392854" w:rsidRPr="00997591" w:rsidRDefault="00392854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2021</w:t>
            </w:r>
          </w:p>
          <w:p w:rsidR="008F4778" w:rsidRPr="00997591" w:rsidRDefault="008F4778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[szt.]</w:t>
            </w:r>
          </w:p>
        </w:tc>
        <w:tc>
          <w:tcPr>
            <w:tcW w:w="1379" w:type="dxa"/>
            <w:vAlign w:val="center"/>
          </w:tcPr>
          <w:p w:rsidR="00392854" w:rsidRPr="00997591" w:rsidRDefault="00392854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2022</w:t>
            </w:r>
          </w:p>
          <w:p w:rsidR="008F4778" w:rsidRPr="00997591" w:rsidRDefault="008F4778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[szt.]</w:t>
            </w:r>
          </w:p>
        </w:tc>
      </w:tr>
      <w:tr w:rsidR="00AC7E0D" w:rsidRPr="00997591" w:rsidTr="00392854">
        <w:tc>
          <w:tcPr>
            <w:tcW w:w="2405" w:type="dxa"/>
            <w:vAlign w:val="center"/>
          </w:tcPr>
          <w:p w:rsidR="00392854" w:rsidRPr="00997591" w:rsidRDefault="00392854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Jednorazowe</w:t>
            </w:r>
          </w:p>
          <w:p w:rsidR="00392854" w:rsidRPr="00997591" w:rsidRDefault="00392854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(w tym grupowe)</w:t>
            </w:r>
          </w:p>
        </w:tc>
        <w:tc>
          <w:tcPr>
            <w:tcW w:w="1379" w:type="dxa"/>
            <w:vAlign w:val="center"/>
          </w:tcPr>
          <w:p w:rsidR="00392854" w:rsidRPr="00997591" w:rsidRDefault="00392854" w:rsidP="00997591">
            <w:pPr>
              <w:spacing w:line="288" w:lineRule="auto"/>
              <w:rPr>
                <w:rFonts w:ascii="Verdana" w:hAnsi="Verdana"/>
                <w:iCs/>
                <w:sz w:val="20"/>
                <w:szCs w:val="20"/>
              </w:rPr>
            </w:pPr>
            <w:r w:rsidRPr="00997591">
              <w:rPr>
                <w:rFonts w:ascii="Verdana" w:hAnsi="Verdana"/>
                <w:iCs/>
                <w:sz w:val="20"/>
                <w:szCs w:val="20"/>
              </w:rPr>
              <w:t xml:space="preserve">10,2 mln </w:t>
            </w:r>
          </w:p>
        </w:tc>
        <w:tc>
          <w:tcPr>
            <w:tcW w:w="1379" w:type="dxa"/>
            <w:vAlign w:val="center"/>
          </w:tcPr>
          <w:p w:rsidR="00392854" w:rsidRPr="00997591" w:rsidRDefault="00392854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6,8 mln</w:t>
            </w:r>
          </w:p>
        </w:tc>
        <w:tc>
          <w:tcPr>
            <w:tcW w:w="1379" w:type="dxa"/>
            <w:vAlign w:val="center"/>
          </w:tcPr>
          <w:p w:rsidR="00392854" w:rsidRPr="00997591" w:rsidRDefault="00392854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7,5 mln</w:t>
            </w:r>
          </w:p>
        </w:tc>
        <w:tc>
          <w:tcPr>
            <w:tcW w:w="1379" w:type="dxa"/>
            <w:vAlign w:val="center"/>
          </w:tcPr>
          <w:p w:rsidR="00392854" w:rsidRPr="00997591" w:rsidRDefault="00392854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8,6 mln</w:t>
            </w:r>
          </w:p>
        </w:tc>
      </w:tr>
      <w:tr w:rsidR="00AC7E0D" w:rsidRPr="00997591" w:rsidTr="00392854">
        <w:tc>
          <w:tcPr>
            <w:tcW w:w="2405" w:type="dxa"/>
            <w:vAlign w:val="center"/>
          </w:tcPr>
          <w:p w:rsidR="00392854" w:rsidRPr="00997591" w:rsidRDefault="00392854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Czasowe</w:t>
            </w:r>
          </w:p>
        </w:tc>
        <w:tc>
          <w:tcPr>
            <w:tcW w:w="1379" w:type="dxa"/>
            <w:vAlign w:val="center"/>
          </w:tcPr>
          <w:p w:rsidR="00392854" w:rsidRPr="00997591" w:rsidRDefault="00392854" w:rsidP="00997591">
            <w:pPr>
              <w:spacing w:line="288" w:lineRule="auto"/>
              <w:rPr>
                <w:rFonts w:ascii="Verdana" w:hAnsi="Verdana"/>
                <w:iCs/>
                <w:sz w:val="20"/>
                <w:szCs w:val="20"/>
              </w:rPr>
            </w:pPr>
            <w:r w:rsidRPr="00997591">
              <w:rPr>
                <w:rFonts w:ascii="Verdana" w:hAnsi="Verdana"/>
                <w:iCs/>
                <w:sz w:val="20"/>
                <w:szCs w:val="20"/>
              </w:rPr>
              <w:t>23,8 mln</w:t>
            </w:r>
          </w:p>
        </w:tc>
        <w:tc>
          <w:tcPr>
            <w:tcW w:w="1379" w:type="dxa"/>
            <w:vAlign w:val="center"/>
          </w:tcPr>
          <w:p w:rsidR="00392854" w:rsidRPr="00997591" w:rsidRDefault="00392854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14,1 mln</w:t>
            </w:r>
          </w:p>
        </w:tc>
        <w:tc>
          <w:tcPr>
            <w:tcW w:w="1379" w:type="dxa"/>
            <w:vAlign w:val="center"/>
          </w:tcPr>
          <w:p w:rsidR="00392854" w:rsidRPr="00997591" w:rsidRDefault="00392854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18,7 mln</w:t>
            </w:r>
          </w:p>
        </w:tc>
        <w:tc>
          <w:tcPr>
            <w:tcW w:w="1379" w:type="dxa"/>
            <w:vAlign w:val="center"/>
          </w:tcPr>
          <w:p w:rsidR="00392854" w:rsidRPr="00997591" w:rsidRDefault="00392854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24,2 mln</w:t>
            </w:r>
          </w:p>
        </w:tc>
      </w:tr>
      <w:tr w:rsidR="00AC7E0D" w:rsidRPr="00997591" w:rsidTr="00392854">
        <w:tc>
          <w:tcPr>
            <w:tcW w:w="2405" w:type="dxa"/>
            <w:vAlign w:val="center"/>
          </w:tcPr>
          <w:p w:rsidR="00392854" w:rsidRPr="00997591" w:rsidRDefault="00392854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Okresowe</w:t>
            </w:r>
          </w:p>
          <w:p w:rsidR="00392854" w:rsidRPr="00997591" w:rsidRDefault="00392854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(w tym aglomeracyjne)</w:t>
            </w:r>
          </w:p>
        </w:tc>
        <w:tc>
          <w:tcPr>
            <w:tcW w:w="1379" w:type="dxa"/>
            <w:vAlign w:val="center"/>
          </w:tcPr>
          <w:p w:rsidR="00392854" w:rsidRPr="00997591" w:rsidRDefault="00392854" w:rsidP="00997591">
            <w:pPr>
              <w:spacing w:line="288" w:lineRule="auto"/>
              <w:rPr>
                <w:rFonts w:ascii="Verdana" w:hAnsi="Verdana"/>
                <w:iCs/>
                <w:sz w:val="20"/>
                <w:szCs w:val="20"/>
              </w:rPr>
            </w:pPr>
            <w:r w:rsidRPr="00997591">
              <w:rPr>
                <w:rFonts w:ascii="Verdana" w:hAnsi="Verdana"/>
                <w:iCs/>
                <w:sz w:val="20"/>
                <w:szCs w:val="20"/>
              </w:rPr>
              <w:t>0,9</w:t>
            </w:r>
            <w:r w:rsidR="0077235B" w:rsidRPr="00997591">
              <w:rPr>
                <w:rFonts w:ascii="Verdana" w:hAnsi="Verdana"/>
                <w:iCs/>
                <w:sz w:val="20"/>
                <w:szCs w:val="20"/>
              </w:rPr>
              <w:t>4</w:t>
            </w:r>
            <w:r w:rsidRPr="00997591">
              <w:rPr>
                <w:rFonts w:ascii="Verdana" w:hAnsi="Verdana"/>
                <w:iCs/>
                <w:sz w:val="20"/>
                <w:szCs w:val="20"/>
              </w:rPr>
              <w:t xml:space="preserve"> mln</w:t>
            </w:r>
          </w:p>
        </w:tc>
        <w:tc>
          <w:tcPr>
            <w:tcW w:w="1379" w:type="dxa"/>
            <w:vAlign w:val="center"/>
          </w:tcPr>
          <w:p w:rsidR="00392854" w:rsidRPr="00997591" w:rsidRDefault="00392854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0,</w:t>
            </w:r>
            <w:r w:rsidR="00FC68F8" w:rsidRPr="00997591">
              <w:rPr>
                <w:rFonts w:ascii="Verdana" w:hAnsi="Verdana"/>
                <w:sz w:val="20"/>
                <w:szCs w:val="20"/>
              </w:rPr>
              <w:t xml:space="preserve">58 </w:t>
            </w:r>
            <w:r w:rsidRPr="00997591">
              <w:rPr>
                <w:rFonts w:ascii="Verdana" w:hAnsi="Verdana"/>
                <w:sz w:val="20"/>
                <w:szCs w:val="20"/>
              </w:rPr>
              <w:t>mln</w:t>
            </w:r>
          </w:p>
        </w:tc>
        <w:tc>
          <w:tcPr>
            <w:tcW w:w="1379" w:type="dxa"/>
            <w:vAlign w:val="center"/>
          </w:tcPr>
          <w:p w:rsidR="00392854" w:rsidRPr="00997591" w:rsidRDefault="00392854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0,6</w:t>
            </w:r>
            <w:r w:rsidR="0077235B" w:rsidRPr="00997591">
              <w:rPr>
                <w:rFonts w:ascii="Verdana" w:hAnsi="Verdana"/>
                <w:sz w:val="20"/>
                <w:szCs w:val="20"/>
              </w:rPr>
              <w:t>4</w:t>
            </w:r>
            <w:r w:rsidRPr="00997591">
              <w:rPr>
                <w:rFonts w:ascii="Verdana" w:hAnsi="Verdana"/>
                <w:sz w:val="20"/>
                <w:szCs w:val="20"/>
              </w:rPr>
              <w:t xml:space="preserve"> mln</w:t>
            </w:r>
          </w:p>
        </w:tc>
        <w:tc>
          <w:tcPr>
            <w:tcW w:w="1379" w:type="dxa"/>
            <w:vAlign w:val="center"/>
          </w:tcPr>
          <w:p w:rsidR="00392854" w:rsidRPr="00997591" w:rsidRDefault="00392854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0,8</w:t>
            </w:r>
            <w:r w:rsidR="0077235B" w:rsidRPr="00997591">
              <w:rPr>
                <w:rFonts w:ascii="Verdana" w:hAnsi="Verdana"/>
                <w:sz w:val="20"/>
                <w:szCs w:val="20"/>
              </w:rPr>
              <w:t>3</w:t>
            </w:r>
            <w:r w:rsidRPr="00997591">
              <w:rPr>
                <w:rFonts w:ascii="Verdana" w:hAnsi="Verdana"/>
                <w:sz w:val="20"/>
                <w:szCs w:val="20"/>
              </w:rPr>
              <w:t xml:space="preserve"> mln</w:t>
            </w:r>
          </w:p>
        </w:tc>
      </w:tr>
      <w:tr w:rsidR="00AC7E0D" w:rsidRPr="00997591" w:rsidTr="00392854">
        <w:tc>
          <w:tcPr>
            <w:tcW w:w="2405" w:type="dxa"/>
            <w:vAlign w:val="center"/>
          </w:tcPr>
          <w:p w:rsidR="00392854" w:rsidRPr="00997591" w:rsidRDefault="00392854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RAZEM</w:t>
            </w:r>
          </w:p>
        </w:tc>
        <w:tc>
          <w:tcPr>
            <w:tcW w:w="1379" w:type="dxa"/>
            <w:vAlign w:val="center"/>
          </w:tcPr>
          <w:p w:rsidR="00392854" w:rsidRPr="00997591" w:rsidRDefault="00392854" w:rsidP="00997591">
            <w:pPr>
              <w:spacing w:line="288" w:lineRule="auto"/>
              <w:rPr>
                <w:rFonts w:ascii="Verdana" w:hAnsi="Verdana"/>
                <w:iCs/>
                <w:sz w:val="20"/>
                <w:szCs w:val="20"/>
              </w:rPr>
            </w:pPr>
            <w:r w:rsidRPr="00997591">
              <w:rPr>
                <w:rFonts w:ascii="Verdana" w:hAnsi="Verdana"/>
                <w:iCs/>
                <w:sz w:val="20"/>
                <w:szCs w:val="20"/>
              </w:rPr>
              <w:t>34,</w:t>
            </w:r>
            <w:r w:rsidR="0077235B" w:rsidRPr="00997591">
              <w:rPr>
                <w:rFonts w:ascii="Verdana" w:hAnsi="Verdana"/>
                <w:iCs/>
                <w:sz w:val="20"/>
                <w:szCs w:val="20"/>
              </w:rPr>
              <w:t xml:space="preserve">84 </w:t>
            </w:r>
            <w:r w:rsidRPr="00997591">
              <w:rPr>
                <w:rFonts w:ascii="Verdana" w:hAnsi="Verdana"/>
                <w:iCs/>
                <w:sz w:val="20"/>
                <w:szCs w:val="20"/>
              </w:rPr>
              <w:t>mln</w:t>
            </w:r>
          </w:p>
        </w:tc>
        <w:tc>
          <w:tcPr>
            <w:tcW w:w="1379" w:type="dxa"/>
            <w:vAlign w:val="center"/>
          </w:tcPr>
          <w:p w:rsidR="00392854" w:rsidRPr="00997591" w:rsidRDefault="00392854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21,</w:t>
            </w:r>
            <w:r w:rsidR="0077235B" w:rsidRPr="00997591">
              <w:rPr>
                <w:rFonts w:ascii="Verdana" w:hAnsi="Verdana"/>
                <w:sz w:val="20"/>
                <w:szCs w:val="20"/>
              </w:rPr>
              <w:t xml:space="preserve">48 </w:t>
            </w:r>
            <w:r w:rsidRPr="00997591">
              <w:rPr>
                <w:rFonts w:ascii="Verdana" w:hAnsi="Verdana"/>
                <w:sz w:val="20"/>
                <w:szCs w:val="20"/>
              </w:rPr>
              <w:t>mln</w:t>
            </w:r>
          </w:p>
        </w:tc>
        <w:tc>
          <w:tcPr>
            <w:tcW w:w="1379" w:type="dxa"/>
            <w:vAlign w:val="center"/>
          </w:tcPr>
          <w:p w:rsidR="00392854" w:rsidRPr="00997591" w:rsidRDefault="00392854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26,8</w:t>
            </w:r>
            <w:r w:rsidR="00792319" w:rsidRPr="00997591">
              <w:rPr>
                <w:rFonts w:ascii="Verdana" w:hAnsi="Verdana"/>
                <w:sz w:val="20"/>
                <w:szCs w:val="20"/>
              </w:rPr>
              <w:t>4</w:t>
            </w:r>
            <w:r w:rsidRPr="00997591">
              <w:rPr>
                <w:rFonts w:ascii="Verdana" w:hAnsi="Verdana"/>
                <w:sz w:val="20"/>
                <w:szCs w:val="20"/>
              </w:rPr>
              <w:t xml:space="preserve"> mln</w:t>
            </w:r>
          </w:p>
        </w:tc>
        <w:tc>
          <w:tcPr>
            <w:tcW w:w="1379" w:type="dxa"/>
            <w:vAlign w:val="center"/>
          </w:tcPr>
          <w:p w:rsidR="00392854" w:rsidRPr="00997591" w:rsidRDefault="00392854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33,6</w:t>
            </w:r>
            <w:r w:rsidR="00792319" w:rsidRPr="00997591">
              <w:rPr>
                <w:rFonts w:ascii="Verdana" w:hAnsi="Verdana"/>
                <w:sz w:val="20"/>
                <w:szCs w:val="20"/>
              </w:rPr>
              <w:t>3</w:t>
            </w:r>
            <w:r w:rsidRPr="00997591">
              <w:rPr>
                <w:rFonts w:ascii="Verdana" w:hAnsi="Verdana"/>
                <w:sz w:val="20"/>
                <w:szCs w:val="20"/>
              </w:rPr>
              <w:t xml:space="preserve"> mln</w:t>
            </w:r>
          </w:p>
        </w:tc>
      </w:tr>
    </w:tbl>
    <w:p w:rsidR="00FC68F8" w:rsidRPr="00997591" w:rsidRDefault="007C729C" w:rsidP="00997591">
      <w:pPr>
        <w:spacing w:line="288" w:lineRule="auto"/>
        <w:rPr>
          <w:rFonts w:ascii="Verdana" w:hAnsi="Verdana"/>
          <w:sz w:val="20"/>
          <w:szCs w:val="20"/>
        </w:rPr>
      </w:pPr>
      <w:r w:rsidRPr="00997591">
        <w:rPr>
          <w:rFonts w:ascii="Verdana" w:hAnsi="Verdana"/>
          <w:sz w:val="20"/>
          <w:szCs w:val="20"/>
        </w:rPr>
        <w:t>c</w:t>
      </w:r>
      <w:r w:rsidR="00FC68F8" w:rsidRPr="00997591">
        <w:rPr>
          <w:rFonts w:ascii="Verdana" w:hAnsi="Verdana"/>
          <w:sz w:val="20"/>
          <w:szCs w:val="20"/>
        </w:rPr>
        <w:t>o przekłada się na wskaźniki wzrostu (liczone w stosunku do roku poprzedniego):</w:t>
      </w:r>
    </w:p>
    <w:tbl>
      <w:tblPr>
        <w:tblStyle w:val="Tabela-Siatka"/>
        <w:tblW w:w="0" w:type="auto"/>
        <w:tblLook w:val="04A0"/>
      </w:tblPr>
      <w:tblGrid>
        <w:gridCol w:w="2405"/>
        <w:gridCol w:w="1379"/>
        <w:gridCol w:w="1379"/>
        <w:gridCol w:w="1379"/>
      </w:tblGrid>
      <w:tr w:rsidR="00FC68F8" w:rsidRPr="00997591" w:rsidTr="00EB6851">
        <w:tc>
          <w:tcPr>
            <w:tcW w:w="2405" w:type="dxa"/>
            <w:vAlign w:val="center"/>
          </w:tcPr>
          <w:p w:rsidR="00FC68F8" w:rsidRPr="00997591" w:rsidRDefault="00FC68F8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Rodzaj biletów</w:t>
            </w:r>
          </w:p>
        </w:tc>
        <w:tc>
          <w:tcPr>
            <w:tcW w:w="1379" w:type="dxa"/>
            <w:vAlign w:val="center"/>
          </w:tcPr>
          <w:p w:rsidR="00FC68F8" w:rsidRPr="00997591" w:rsidRDefault="00FC68F8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2020</w:t>
            </w:r>
          </w:p>
        </w:tc>
        <w:tc>
          <w:tcPr>
            <w:tcW w:w="1379" w:type="dxa"/>
            <w:vAlign w:val="center"/>
          </w:tcPr>
          <w:p w:rsidR="00FC68F8" w:rsidRPr="00997591" w:rsidRDefault="00FC68F8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2021</w:t>
            </w:r>
          </w:p>
        </w:tc>
        <w:tc>
          <w:tcPr>
            <w:tcW w:w="1379" w:type="dxa"/>
            <w:vAlign w:val="center"/>
          </w:tcPr>
          <w:p w:rsidR="00FC68F8" w:rsidRPr="00997591" w:rsidRDefault="00FC68F8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2022</w:t>
            </w:r>
          </w:p>
        </w:tc>
      </w:tr>
      <w:tr w:rsidR="00FC68F8" w:rsidRPr="00997591" w:rsidTr="00EB6851">
        <w:tc>
          <w:tcPr>
            <w:tcW w:w="2405" w:type="dxa"/>
            <w:vAlign w:val="center"/>
          </w:tcPr>
          <w:p w:rsidR="00FC68F8" w:rsidRPr="00997591" w:rsidRDefault="00FC68F8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Jednorazowe</w:t>
            </w:r>
          </w:p>
          <w:p w:rsidR="00FC68F8" w:rsidRPr="00997591" w:rsidRDefault="00FC68F8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(w tym grupowe)</w:t>
            </w:r>
          </w:p>
        </w:tc>
        <w:tc>
          <w:tcPr>
            <w:tcW w:w="1379" w:type="dxa"/>
            <w:vAlign w:val="center"/>
          </w:tcPr>
          <w:p w:rsidR="00FC68F8" w:rsidRPr="00997591" w:rsidRDefault="00792319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379" w:type="dxa"/>
            <w:vAlign w:val="center"/>
          </w:tcPr>
          <w:p w:rsidR="00FC68F8" w:rsidRPr="00997591" w:rsidRDefault="00FC68F8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10%</w:t>
            </w:r>
          </w:p>
        </w:tc>
        <w:tc>
          <w:tcPr>
            <w:tcW w:w="1379" w:type="dxa"/>
            <w:vAlign w:val="center"/>
          </w:tcPr>
          <w:p w:rsidR="00FC68F8" w:rsidRPr="00997591" w:rsidRDefault="00FC68F8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15%</w:t>
            </w:r>
          </w:p>
        </w:tc>
      </w:tr>
      <w:tr w:rsidR="00FC68F8" w:rsidRPr="00997591" w:rsidTr="00EB6851">
        <w:tc>
          <w:tcPr>
            <w:tcW w:w="2405" w:type="dxa"/>
            <w:vAlign w:val="center"/>
          </w:tcPr>
          <w:p w:rsidR="00FC68F8" w:rsidRPr="00997591" w:rsidRDefault="00FC68F8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Czasowe</w:t>
            </w:r>
          </w:p>
        </w:tc>
        <w:tc>
          <w:tcPr>
            <w:tcW w:w="1379" w:type="dxa"/>
            <w:vAlign w:val="center"/>
          </w:tcPr>
          <w:p w:rsidR="00FC68F8" w:rsidRPr="00997591" w:rsidRDefault="00792319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379" w:type="dxa"/>
            <w:vAlign w:val="center"/>
          </w:tcPr>
          <w:p w:rsidR="00FC68F8" w:rsidRPr="00997591" w:rsidRDefault="00FC68F8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33%</w:t>
            </w:r>
          </w:p>
        </w:tc>
        <w:tc>
          <w:tcPr>
            <w:tcW w:w="1379" w:type="dxa"/>
            <w:vAlign w:val="center"/>
          </w:tcPr>
          <w:p w:rsidR="00FC68F8" w:rsidRPr="00997591" w:rsidRDefault="00FC68F8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29%</w:t>
            </w:r>
          </w:p>
        </w:tc>
      </w:tr>
      <w:tr w:rsidR="00FC68F8" w:rsidRPr="00997591" w:rsidTr="00EB6851">
        <w:tc>
          <w:tcPr>
            <w:tcW w:w="2405" w:type="dxa"/>
            <w:vAlign w:val="center"/>
          </w:tcPr>
          <w:p w:rsidR="00FC68F8" w:rsidRPr="00997591" w:rsidRDefault="00FC68F8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Okresowe</w:t>
            </w:r>
          </w:p>
          <w:p w:rsidR="00FC68F8" w:rsidRPr="00997591" w:rsidRDefault="00FC68F8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(w tym aglomeracyjne)</w:t>
            </w:r>
          </w:p>
        </w:tc>
        <w:tc>
          <w:tcPr>
            <w:tcW w:w="1379" w:type="dxa"/>
            <w:vAlign w:val="center"/>
          </w:tcPr>
          <w:p w:rsidR="00FC68F8" w:rsidRPr="00997591" w:rsidRDefault="00792319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379" w:type="dxa"/>
            <w:vAlign w:val="center"/>
          </w:tcPr>
          <w:p w:rsidR="00FC68F8" w:rsidRPr="00997591" w:rsidRDefault="0077235B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1</w:t>
            </w:r>
            <w:r w:rsidR="00FC68F8" w:rsidRPr="00997591">
              <w:rPr>
                <w:rFonts w:ascii="Verdana" w:hAnsi="Verdana"/>
                <w:sz w:val="20"/>
                <w:szCs w:val="20"/>
              </w:rPr>
              <w:t>0%</w:t>
            </w:r>
          </w:p>
        </w:tc>
        <w:tc>
          <w:tcPr>
            <w:tcW w:w="1379" w:type="dxa"/>
            <w:vAlign w:val="center"/>
          </w:tcPr>
          <w:p w:rsidR="00FC68F8" w:rsidRPr="00997591" w:rsidRDefault="0077235B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3</w:t>
            </w:r>
            <w:r w:rsidR="00FC68F8" w:rsidRPr="00997591">
              <w:rPr>
                <w:rFonts w:ascii="Verdana" w:hAnsi="Verdana"/>
                <w:sz w:val="20"/>
                <w:szCs w:val="20"/>
              </w:rPr>
              <w:t>0%</w:t>
            </w:r>
          </w:p>
        </w:tc>
      </w:tr>
      <w:tr w:rsidR="00FC68F8" w:rsidRPr="00997591" w:rsidTr="00EB6851">
        <w:tc>
          <w:tcPr>
            <w:tcW w:w="2405" w:type="dxa"/>
            <w:vAlign w:val="center"/>
          </w:tcPr>
          <w:p w:rsidR="00FC68F8" w:rsidRPr="00997591" w:rsidRDefault="00FC68F8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RAZEM</w:t>
            </w:r>
          </w:p>
        </w:tc>
        <w:tc>
          <w:tcPr>
            <w:tcW w:w="1379" w:type="dxa"/>
            <w:vAlign w:val="center"/>
          </w:tcPr>
          <w:p w:rsidR="00FC68F8" w:rsidRPr="00997591" w:rsidRDefault="00792319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379" w:type="dxa"/>
            <w:vAlign w:val="center"/>
          </w:tcPr>
          <w:p w:rsidR="00FC68F8" w:rsidRPr="00997591" w:rsidRDefault="00FC68F8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25%</w:t>
            </w:r>
          </w:p>
        </w:tc>
        <w:tc>
          <w:tcPr>
            <w:tcW w:w="1379" w:type="dxa"/>
            <w:vAlign w:val="center"/>
          </w:tcPr>
          <w:p w:rsidR="00FC68F8" w:rsidRPr="00997591" w:rsidRDefault="00FC68F8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25%</w:t>
            </w:r>
          </w:p>
        </w:tc>
      </w:tr>
    </w:tbl>
    <w:p w:rsidR="00997591" w:rsidRDefault="00997591" w:rsidP="00997591">
      <w:pPr>
        <w:spacing w:line="288" w:lineRule="auto"/>
        <w:rPr>
          <w:rFonts w:ascii="Verdana" w:hAnsi="Verdana"/>
          <w:sz w:val="20"/>
          <w:szCs w:val="20"/>
        </w:rPr>
      </w:pPr>
    </w:p>
    <w:p w:rsidR="00997591" w:rsidRDefault="00997591" w:rsidP="00997591">
      <w:pPr>
        <w:spacing w:line="288" w:lineRule="auto"/>
        <w:rPr>
          <w:rFonts w:ascii="Verdana" w:hAnsi="Verdana"/>
          <w:sz w:val="20"/>
          <w:szCs w:val="20"/>
        </w:rPr>
      </w:pPr>
    </w:p>
    <w:p w:rsidR="00997591" w:rsidRDefault="00997591" w:rsidP="00997591">
      <w:pPr>
        <w:spacing w:line="288" w:lineRule="auto"/>
        <w:rPr>
          <w:rFonts w:ascii="Verdana" w:hAnsi="Verdana"/>
          <w:sz w:val="20"/>
          <w:szCs w:val="20"/>
        </w:rPr>
      </w:pPr>
    </w:p>
    <w:p w:rsidR="00997591" w:rsidRDefault="00997591" w:rsidP="00997591">
      <w:pPr>
        <w:spacing w:line="288" w:lineRule="auto"/>
        <w:rPr>
          <w:rFonts w:ascii="Verdana" w:hAnsi="Verdana"/>
          <w:sz w:val="20"/>
          <w:szCs w:val="20"/>
        </w:rPr>
      </w:pPr>
    </w:p>
    <w:p w:rsidR="00997591" w:rsidRDefault="00997591" w:rsidP="00997591">
      <w:pPr>
        <w:spacing w:line="288" w:lineRule="auto"/>
        <w:rPr>
          <w:rFonts w:ascii="Verdana" w:hAnsi="Verdana"/>
          <w:sz w:val="20"/>
          <w:szCs w:val="20"/>
        </w:rPr>
      </w:pPr>
    </w:p>
    <w:p w:rsidR="00997591" w:rsidRDefault="00997591" w:rsidP="00997591">
      <w:pPr>
        <w:spacing w:line="288" w:lineRule="auto"/>
        <w:rPr>
          <w:rFonts w:ascii="Verdana" w:hAnsi="Verdana"/>
          <w:sz w:val="20"/>
          <w:szCs w:val="20"/>
        </w:rPr>
      </w:pPr>
    </w:p>
    <w:p w:rsidR="00997591" w:rsidRDefault="00997591" w:rsidP="00997591">
      <w:pPr>
        <w:spacing w:line="288" w:lineRule="auto"/>
        <w:rPr>
          <w:rFonts w:ascii="Verdana" w:hAnsi="Verdana"/>
          <w:sz w:val="20"/>
          <w:szCs w:val="20"/>
        </w:rPr>
      </w:pPr>
    </w:p>
    <w:p w:rsidR="00387F34" w:rsidRPr="00997591" w:rsidRDefault="00845EEB" w:rsidP="00997591">
      <w:pPr>
        <w:spacing w:line="288" w:lineRule="auto"/>
        <w:rPr>
          <w:rFonts w:ascii="Verdana" w:hAnsi="Verdana"/>
          <w:sz w:val="20"/>
          <w:szCs w:val="20"/>
        </w:rPr>
      </w:pPr>
      <w:r w:rsidRPr="00997591">
        <w:rPr>
          <w:rFonts w:ascii="Verdana" w:hAnsi="Verdana"/>
          <w:sz w:val="20"/>
          <w:szCs w:val="20"/>
        </w:rPr>
        <w:lastRenderedPageBreak/>
        <w:t>Wartość</w:t>
      </w:r>
      <w:r w:rsidR="00387F34" w:rsidRPr="00997591">
        <w:rPr>
          <w:rFonts w:ascii="Verdana" w:hAnsi="Verdana"/>
          <w:sz w:val="20"/>
          <w:szCs w:val="20"/>
        </w:rPr>
        <w:t xml:space="preserve"> sprzedanych biletów </w:t>
      </w:r>
      <w:r w:rsidR="0014434C" w:rsidRPr="00997591">
        <w:rPr>
          <w:rFonts w:ascii="Verdana" w:hAnsi="Verdana"/>
          <w:sz w:val="20"/>
          <w:szCs w:val="20"/>
        </w:rPr>
        <w:t xml:space="preserve">we wskazywanym okresie </w:t>
      </w:r>
      <w:r w:rsidR="00387F34" w:rsidRPr="00997591">
        <w:rPr>
          <w:rFonts w:ascii="Verdana" w:hAnsi="Verdana"/>
          <w:sz w:val="20"/>
          <w:szCs w:val="20"/>
        </w:rPr>
        <w:t>wyniosła:</w:t>
      </w:r>
    </w:p>
    <w:tbl>
      <w:tblPr>
        <w:tblStyle w:val="Tabela-Siatka"/>
        <w:tblW w:w="0" w:type="auto"/>
        <w:tblLook w:val="04A0"/>
      </w:tblPr>
      <w:tblGrid>
        <w:gridCol w:w="2405"/>
        <w:gridCol w:w="1379"/>
        <w:gridCol w:w="1379"/>
        <w:gridCol w:w="1379"/>
        <w:gridCol w:w="1379"/>
      </w:tblGrid>
      <w:tr w:rsidR="00D4478C" w:rsidRPr="00997591" w:rsidTr="00D4478C">
        <w:tc>
          <w:tcPr>
            <w:tcW w:w="2405" w:type="dxa"/>
            <w:vAlign w:val="center"/>
          </w:tcPr>
          <w:p w:rsidR="00D4478C" w:rsidRPr="00997591" w:rsidRDefault="00D4478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Rodzaj biletów</w:t>
            </w:r>
          </w:p>
        </w:tc>
        <w:tc>
          <w:tcPr>
            <w:tcW w:w="1379" w:type="dxa"/>
            <w:vAlign w:val="center"/>
          </w:tcPr>
          <w:p w:rsidR="00D4478C" w:rsidRPr="00997591" w:rsidRDefault="00D4478C" w:rsidP="00997591">
            <w:pPr>
              <w:spacing w:line="288" w:lineRule="auto"/>
              <w:rPr>
                <w:rFonts w:ascii="Verdana" w:hAnsi="Verdana"/>
                <w:iCs/>
                <w:sz w:val="20"/>
                <w:szCs w:val="20"/>
              </w:rPr>
            </w:pPr>
            <w:r w:rsidRPr="00997591">
              <w:rPr>
                <w:rFonts w:ascii="Verdana" w:hAnsi="Verdana"/>
                <w:iCs/>
                <w:sz w:val="20"/>
                <w:szCs w:val="20"/>
              </w:rPr>
              <w:t>2019</w:t>
            </w:r>
          </w:p>
          <w:p w:rsidR="00C41B5F" w:rsidRPr="00997591" w:rsidRDefault="006E3E54" w:rsidP="00997591">
            <w:pPr>
              <w:spacing w:line="288" w:lineRule="auto"/>
              <w:rPr>
                <w:rFonts w:ascii="Verdana" w:hAnsi="Verdana"/>
                <w:iCs/>
                <w:sz w:val="20"/>
                <w:szCs w:val="20"/>
              </w:rPr>
            </w:pPr>
            <w:r w:rsidRPr="00997591">
              <w:rPr>
                <w:rFonts w:ascii="Verdana" w:hAnsi="Verdana"/>
                <w:iCs/>
                <w:sz w:val="20"/>
                <w:szCs w:val="20"/>
              </w:rPr>
              <w:t>[zł]</w:t>
            </w:r>
          </w:p>
        </w:tc>
        <w:tc>
          <w:tcPr>
            <w:tcW w:w="1379" w:type="dxa"/>
            <w:vAlign w:val="center"/>
          </w:tcPr>
          <w:p w:rsidR="00D4478C" w:rsidRPr="00997591" w:rsidRDefault="00D4478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2020</w:t>
            </w:r>
          </w:p>
          <w:p w:rsidR="006E3E54" w:rsidRPr="00997591" w:rsidRDefault="006E3E54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[zł]</w:t>
            </w:r>
          </w:p>
        </w:tc>
        <w:tc>
          <w:tcPr>
            <w:tcW w:w="1379" w:type="dxa"/>
            <w:vAlign w:val="center"/>
          </w:tcPr>
          <w:p w:rsidR="00D4478C" w:rsidRPr="00997591" w:rsidRDefault="00D4478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2021</w:t>
            </w:r>
          </w:p>
          <w:p w:rsidR="006E3E54" w:rsidRPr="00997591" w:rsidRDefault="006E3E54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[zł]</w:t>
            </w:r>
          </w:p>
        </w:tc>
        <w:tc>
          <w:tcPr>
            <w:tcW w:w="1379" w:type="dxa"/>
            <w:vAlign w:val="center"/>
          </w:tcPr>
          <w:p w:rsidR="00D4478C" w:rsidRPr="00997591" w:rsidRDefault="00D4478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2022</w:t>
            </w:r>
          </w:p>
          <w:p w:rsidR="006E3E54" w:rsidRPr="00997591" w:rsidRDefault="006E3E54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[zł]</w:t>
            </w:r>
          </w:p>
        </w:tc>
      </w:tr>
      <w:tr w:rsidR="00D4478C" w:rsidRPr="00997591" w:rsidTr="00D4478C">
        <w:tc>
          <w:tcPr>
            <w:tcW w:w="2405" w:type="dxa"/>
            <w:vAlign w:val="center"/>
          </w:tcPr>
          <w:p w:rsidR="00D4478C" w:rsidRPr="00997591" w:rsidRDefault="00D4478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Jednorazowe</w:t>
            </w:r>
          </w:p>
          <w:p w:rsidR="00D4478C" w:rsidRPr="00997591" w:rsidRDefault="00D4478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(w tym grupowe)</w:t>
            </w:r>
          </w:p>
        </w:tc>
        <w:tc>
          <w:tcPr>
            <w:tcW w:w="1379" w:type="dxa"/>
            <w:vAlign w:val="center"/>
          </w:tcPr>
          <w:p w:rsidR="00D4478C" w:rsidRPr="00997591" w:rsidRDefault="00D4478C" w:rsidP="00997591">
            <w:pPr>
              <w:spacing w:line="288" w:lineRule="auto"/>
              <w:rPr>
                <w:rFonts w:ascii="Verdana" w:hAnsi="Verdana"/>
                <w:iCs/>
                <w:sz w:val="20"/>
                <w:szCs w:val="20"/>
              </w:rPr>
            </w:pPr>
            <w:r w:rsidRPr="00997591">
              <w:rPr>
                <w:rFonts w:ascii="Verdana" w:hAnsi="Verdana"/>
                <w:iCs/>
                <w:sz w:val="20"/>
                <w:szCs w:val="20"/>
              </w:rPr>
              <w:t xml:space="preserve">28,1 mln </w:t>
            </w:r>
          </w:p>
        </w:tc>
        <w:tc>
          <w:tcPr>
            <w:tcW w:w="1379" w:type="dxa"/>
            <w:vAlign w:val="center"/>
          </w:tcPr>
          <w:p w:rsidR="00D4478C" w:rsidRPr="00997591" w:rsidRDefault="00D4478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18,9 mln</w:t>
            </w:r>
          </w:p>
        </w:tc>
        <w:tc>
          <w:tcPr>
            <w:tcW w:w="1379" w:type="dxa"/>
            <w:vAlign w:val="center"/>
          </w:tcPr>
          <w:p w:rsidR="00D4478C" w:rsidRPr="00997591" w:rsidRDefault="00D4478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26,2 mln</w:t>
            </w:r>
          </w:p>
        </w:tc>
        <w:tc>
          <w:tcPr>
            <w:tcW w:w="1379" w:type="dxa"/>
            <w:vAlign w:val="center"/>
          </w:tcPr>
          <w:p w:rsidR="00D4478C" w:rsidRPr="00997591" w:rsidRDefault="00D4478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33,4 mln</w:t>
            </w:r>
          </w:p>
        </w:tc>
      </w:tr>
      <w:tr w:rsidR="00D4478C" w:rsidRPr="00997591" w:rsidTr="00D4478C">
        <w:tc>
          <w:tcPr>
            <w:tcW w:w="2405" w:type="dxa"/>
            <w:vAlign w:val="center"/>
          </w:tcPr>
          <w:p w:rsidR="00D4478C" w:rsidRPr="00997591" w:rsidRDefault="00D4478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Czasowe</w:t>
            </w:r>
          </w:p>
        </w:tc>
        <w:tc>
          <w:tcPr>
            <w:tcW w:w="1379" w:type="dxa"/>
            <w:vAlign w:val="center"/>
          </w:tcPr>
          <w:p w:rsidR="00D4478C" w:rsidRPr="00997591" w:rsidRDefault="00D4478C" w:rsidP="00997591">
            <w:pPr>
              <w:spacing w:line="288" w:lineRule="auto"/>
              <w:rPr>
                <w:rFonts w:ascii="Verdana" w:hAnsi="Verdana"/>
                <w:iCs/>
                <w:sz w:val="20"/>
                <w:szCs w:val="20"/>
              </w:rPr>
            </w:pPr>
            <w:r w:rsidRPr="00997591">
              <w:rPr>
                <w:rFonts w:ascii="Verdana" w:hAnsi="Verdana"/>
                <w:iCs/>
                <w:sz w:val="20"/>
                <w:szCs w:val="20"/>
              </w:rPr>
              <w:t>62,5 mln</w:t>
            </w:r>
          </w:p>
        </w:tc>
        <w:tc>
          <w:tcPr>
            <w:tcW w:w="1379" w:type="dxa"/>
            <w:vAlign w:val="center"/>
          </w:tcPr>
          <w:p w:rsidR="00D4478C" w:rsidRPr="00997591" w:rsidRDefault="00D4478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35,4 mln</w:t>
            </w:r>
          </w:p>
        </w:tc>
        <w:tc>
          <w:tcPr>
            <w:tcW w:w="1379" w:type="dxa"/>
            <w:vAlign w:val="center"/>
          </w:tcPr>
          <w:p w:rsidR="00D4478C" w:rsidRPr="00997591" w:rsidRDefault="00D4478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56,6 mln</w:t>
            </w:r>
          </w:p>
        </w:tc>
        <w:tc>
          <w:tcPr>
            <w:tcW w:w="1379" w:type="dxa"/>
            <w:vAlign w:val="center"/>
          </w:tcPr>
          <w:p w:rsidR="00D4478C" w:rsidRPr="00997591" w:rsidRDefault="00D4478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77,7 mln</w:t>
            </w:r>
          </w:p>
        </w:tc>
      </w:tr>
      <w:tr w:rsidR="00D4478C" w:rsidRPr="00997591" w:rsidTr="00D4478C">
        <w:tc>
          <w:tcPr>
            <w:tcW w:w="2405" w:type="dxa"/>
            <w:vAlign w:val="center"/>
          </w:tcPr>
          <w:p w:rsidR="00D4478C" w:rsidRPr="00997591" w:rsidRDefault="00D4478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Okresowe</w:t>
            </w:r>
          </w:p>
          <w:p w:rsidR="00D4478C" w:rsidRPr="00997591" w:rsidRDefault="00D4478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(w tym aglomeracyjne)</w:t>
            </w:r>
          </w:p>
        </w:tc>
        <w:tc>
          <w:tcPr>
            <w:tcW w:w="1379" w:type="dxa"/>
            <w:vAlign w:val="center"/>
          </w:tcPr>
          <w:p w:rsidR="00D4478C" w:rsidRPr="00997591" w:rsidRDefault="00D4478C" w:rsidP="00997591">
            <w:pPr>
              <w:spacing w:line="288" w:lineRule="auto"/>
              <w:rPr>
                <w:rFonts w:ascii="Verdana" w:hAnsi="Verdana"/>
                <w:iCs/>
                <w:sz w:val="20"/>
                <w:szCs w:val="20"/>
              </w:rPr>
            </w:pPr>
            <w:r w:rsidRPr="00997591">
              <w:rPr>
                <w:rFonts w:ascii="Verdana" w:hAnsi="Verdana"/>
                <w:iCs/>
                <w:sz w:val="20"/>
                <w:szCs w:val="20"/>
              </w:rPr>
              <w:t>83,0 mln</w:t>
            </w:r>
          </w:p>
        </w:tc>
        <w:tc>
          <w:tcPr>
            <w:tcW w:w="1379" w:type="dxa"/>
            <w:vAlign w:val="center"/>
          </w:tcPr>
          <w:p w:rsidR="00D4478C" w:rsidRPr="00997591" w:rsidRDefault="00D4478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50,5 mln</w:t>
            </w:r>
          </w:p>
        </w:tc>
        <w:tc>
          <w:tcPr>
            <w:tcW w:w="1379" w:type="dxa"/>
            <w:vAlign w:val="center"/>
          </w:tcPr>
          <w:p w:rsidR="00D4478C" w:rsidRPr="00997591" w:rsidRDefault="00D4478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57,8 mln</w:t>
            </w:r>
          </w:p>
        </w:tc>
        <w:tc>
          <w:tcPr>
            <w:tcW w:w="1379" w:type="dxa"/>
            <w:vAlign w:val="center"/>
          </w:tcPr>
          <w:p w:rsidR="00D4478C" w:rsidRPr="00997591" w:rsidRDefault="00D4478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76,8 mln</w:t>
            </w:r>
          </w:p>
        </w:tc>
      </w:tr>
      <w:tr w:rsidR="00D4478C" w:rsidRPr="00997591" w:rsidTr="00D4478C">
        <w:tc>
          <w:tcPr>
            <w:tcW w:w="2405" w:type="dxa"/>
            <w:vAlign w:val="center"/>
          </w:tcPr>
          <w:p w:rsidR="00D4478C" w:rsidRPr="00997591" w:rsidRDefault="00D4478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RAZEM</w:t>
            </w:r>
          </w:p>
        </w:tc>
        <w:tc>
          <w:tcPr>
            <w:tcW w:w="1379" w:type="dxa"/>
            <w:vAlign w:val="center"/>
          </w:tcPr>
          <w:p w:rsidR="00D4478C" w:rsidRPr="00997591" w:rsidRDefault="00D4478C" w:rsidP="00997591">
            <w:pPr>
              <w:spacing w:line="288" w:lineRule="auto"/>
              <w:rPr>
                <w:rFonts w:ascii="Verdana" w:hAnsi="Verdana"/>
                <w:iCs/>
                <w:sz w:val="20"/>
                <w:szCs w:val="20"/>
              </w:rPr>
            </w:pPr>
            <w:r w:rsidRPr="00997591">
              <w:rPr>
                <w:rFonts w:ascii="Verdana" w:hAnsi="Verdana"/>
                <w:iCs/>
                <w:sz w:val="20"/>
                <w:szCs w:val="20"/>
              </w:rPr>
              <w:t>173,6 mln</w:t>
            </w:r>
          </w:p>
        </w:tc>
        <w:tc>
          <w:tcPr>
            <w:tcW w:w="1379" w:type="dxa"/>
            <w:vAlign w:val="center"/>
          </w:tcPr>
          <w:p w:rsidR="00D4478C" w:rsidRPr="00997591" w:rsidRDefault="00D4478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104,8 mln</w:t>
            </w:r>
          </w:p>
        </w:tc>
        <w:tc>
          <w:tcPr>
            <w:tcW w:w="1379" w:type="dxa"/>
            <w:vAlign w:val="center"/>
          </w:tcPr>
          <w:p w:rsidR="00D4478C" w:rsidRPr="00997591" w:rsidRDefault="00D4478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140,5 mln</w:t>
            </w:r>
          </w:p>
        </w:tc>
        <w:tc>
          <w:tcPr>
            <w:tcW w:w="1379" w:type="dxa"/>
            <w:vAlign w:val="center"/>
          </w:tcPr>
          <w:p w:rsidR="00D4478C" w:rsidRPr="00997591" w:rsidRDefault="00D4478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187,9 mln</w:t>
            </w:r>
          </w:p>
        </w:tc>
      </w:tr>
    </w:tbl>
    <w:p w:rsidR="007C729C" w:rsidRPr="00997591" w:rsidRDefault="007C729C" w:rsidP="00997591">
      <w:pPr>
        <w:spacing w:line="288" w:lineRule="auto"/>
        <w:rPr>
          <w:rFonts w:ascii="Verdana" w:hAnsi="Verdana"/>
          <w:sz w:val="20"/>
          <w:szCs w:val="20"/>
        </w:rPr>
      </w:pPr>
      <w:r w:rsidRPr="00997591">
        <w:rPr>
          <w:rFonts w:ascii="Verdana" w:hAnsi="Verdana"/>
          <w:sz w:val="20"/>
          <w:szCs w:val="20"/>
        </w:rPr>
        <w:t>co daje odpowiednio wzrost (liczony w stosunku do roku poprzedniego):</w:t>
      </w:r>
    </w:p>
    <w:tbl>
      <w:tblPr>
        <w:tblStyle w:val="Tabela-Siatka"/>
        <w:tblW w:w="0" w:type="auto"/>
        <w:tblLook w:val="04A0"/>
      </w:tblPr>
      <w:tblGrid>
        <w:gridCol w:w="2405"/>
        <w:gridCol w:w="1379"/>
        <w:gridCol w:w="1379"/>
        <w:gridCol w:w="1379"/>
      </w:tblGrid>
      <w:tr w:rsidR="007C729C" w:rsidRPr="00997591" w:rsidTr="00EB6851">
        <w:tc>
          <w:tcPr>
            <w:tcW w:w="2405" w:type="dxa"/>
            <w:vAlign w:val="center"/>
          </w:tcPr>
          <w:p w:rsidR="007C729C" w:rsidRPr="00997591" w:rsidRDefault="007C729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Rodzaj biletów</w:t>
            </w:r>
          </w:p>
        </w:tc>
        <w:tc>
          <w:tcPr>
            <w:tcW w:w="1379" w:type="dxa"/>
            <w:vAlign w:val="center"/>
          </w:tcPr>
          <w:p w:rsidR="007C729C" w:rsidRPr="00997591" w:rsidRDefault="007C729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2020</w:t>
            </w:r>
          </w:p>
        </w:tc>
        <w:tc>
          <w:tcPr>
            <w:tcW w:w="1379" w:type="dxa"/>
            <w:vAlign w:val="center"/>
          </w:tcPr>
          <w:p w:rsidR="007C729C" w:rsidRPr="00997591" w:rsidRDefault="007C729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2021</w:t>
            </w:r>
          </w:p>
        </w:tc>
        <w:tc>
          <w:tcPr>
            <w:tcW w:w="1379" w:type="dxa"/>
            <w:vAlign w:val="center"/>
          </w:tcPr>
          <w:p w:rsidR="007C729C" w:rsidRPr="00997591" w:rsidRDefault="007C729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2022</w:t>
            </w:r>
          </w:p>
        </w:tc>
      </w:tr>
      <w:tr w:rsidR="007C729C" w:rsidRPr="00997591" w:rsidTr="00EB6851">
        <w:tc>
          <w:tcPr>
            <w:tcW w:w="2405" w:type="dxa"/>
            <w:vAlign w:val="center"/>
          </w:tcPr>
          <w:p w:rsidR="007C729C" w:rsidRPr="00997591" w:rsidRDefault="007C729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Jednorazowe</w:t>
            </w:r>
          </w:p>
          <w:p w:rsidR="007C729C" w:rsidRPr="00997591" w:rsidRDefault="007C729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(w tym grupowe)</w:t>
            </w:r>
          </w:p>
        </w:tc>
        <w:tc>
          <w:tcPr>
            <w:tcW w:w="1379" w:type="dxa"/>
            <w:vAlign w:val="center"/>
          </w:tcPr>
          <w:p w:rsidR="007C729C" w:rsidRPr="00997591" w:rsidRDefault="007C729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379" w:type="dxa"/>
            <w:vAlign w:val="center"/>
          </w:tcPr>
          <w:p w:rsidR="007C729C" w:rsidRPr="00997591" w:rsidRDefault="007C729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39%</w:t>
            </w:r>
          </w:p>
        </w:tc>
        <w:tc>
          <w:tcPr>
            <w:tcW w:w="1379" w:type="dxa"/>
            <w:vAlign w:val="center"/>
          </w:tcPr>
          <w:p w:rsidR="007C729C" w:rsidRPr="00997591" w:rsidRDefault="007C729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27%</w:t>
            </w:r>
          </w:p>
        </w:tc>
      </w:tr>
      <w:tr w:rsidR="007C729C" w:rsidRPr="00997591" w:rsidTr="00EB6851">
        <w:tc>
          <w:tcPr>
            <w:tcW w:w="2405" w:type="dxa"/>
            <w:vAlign w:val="center"/>
          </w:tcPr>
          <w:p w:rsidR="007C729C" w:rsidRPr="00997591" w:rsidRDefault="007C729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Czasowe</w:t>
            </w:r>
          </w:p>
        </w:tc>
        <w:tc>
          <w:tcPr>
            <w:tcW w:w="1379" w:type="dxa"/>
            <w:vAlign w:val="center"/>
          </w:tcPr>
          <w:p w:rsidR="007C729C" w:rsidRPr="00997591" w:rsidRDefault="007C729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379" w:type="dxa"/>
            <w:vAlign w:val="center"/>
          </w:tcPr>
          <w:p w:rsidR="007C729C" w:rsidRPr="00997591" w:rsidRDefault="007C729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60%</w:t>
            </w:r>
          </w:p>
        </w:tc>
        <w:tc>
          <w:tcPr>
            <w:tcW w:w="1379" w:type="dxa"/>
            <w:vAlign w:val="center"/>
          </w:tcPr>
          <w:p w:rsidR="007C729C" w:rsidRPr="00997591" w:rsidRDefault="007C729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37%</w:t>
            </w:r>
          </w:p>
        </w:tc>
      </w:tr>
      <w:tr w:rsidR="007C729C" w:rsidRPr="00997591" w:rsidTr="00EB6851">
        <w:tc>
          <w:tcPr>
            <w:tcW w:w="2405" w:type="dxa"/>
            <w:vAlign w:val="center"/>
          </w:tcPr>
          <w:p w:rsidR="007C729C" w:rsidRPr="00997591" w:rsidRDefault="007C729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Okresowe</w:t>
            </w:r>
          </w:p>
          <w:p w:rsidR="007C729C" w:rsidRPr="00997591" w:rsidRDefault="007C729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(w tym aglomeracyjne)</w:t>
            </w:r>
          </w:p>
        </w:tc>
        <w:tc>
          <w:tcPr>
            <w:tcW w:w="1379" w:type="dxa"/>
            <w:vAlign w:val="center"/>
          </w:tcPr>
          <w:p w:rsidR="007C729C" w:rsidRPr="00997591" w:rsidRDefault="007C729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379" w:type="dxa"/>
            <w:vAlign w:val="center"/>
          </w:tcPr>
          <w:p w:rsidR="007C729C" w:rsidRPr="00997591" w:rsidRDefault="007C729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14%</w:t>
            </w:r>
          </w:p>
        </w:tc>
        <w:tc>
          <w:tcPr>
            <w:tcW w:w="1379" w:type="dxa"/>
            <w:vAlign w:val="center"/>
          </w:tcPr>
          <w:p w:rsidR="007C729C" w:rsidRPr="00997591" w:rsidRDefault="007C729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33%</w:t>
            </w:r>
          </w:p>
        </w:tc>
      </w:tr>
      <w:tr w:rsidR="007C729C" w:rsidRPr="00997591" w:rsidTr="00EB6851">
        <w:tc>
          <w:tcPr>
            <w:tcW w:w="2405" w:type="dxa"/>
            <w:vAlign w:val="center"/>
          </w:tcPr>
          <w:p w:rsidR="007C729C" w:rsidRPr="00997591" w:rsidRDefault="007C729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RAZEM</w:t>
            </w:r>
          </w:p>
        </w:tc>
        <w:tc>
          <w:tcPr>
            <w:tcW w:w="1379" w:type="dxa"/>
            <w:vAlign w:val="center"/>
          </w:tcPr>
          <w:p w:rsidR="007C729C" w:rsidRPr="00997591" w:rsidRDefault="007C729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379" w:type="dxa"/>
            <w:vAlign w:val="center"/>
          </w:tcPr>
          <w:p w:rsidR="007C729C" w:rsidRPr="00997591" w:rsidRDefault="007C729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14%</w:t>
            </w:r>
          </w:p>
        </w:tc>
        <w:tc>
          <w:tcPr>
            <w:tcW w:w="1379" w:type="dxa"/>
            <w:vAlign w:val="center"/>
          </w:tcPr>
          <w:p w:rsidR="007C729C" w:rsidRPr="00997591" w:rsidRDefault="007C729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34%</w:t>
            </w:r>
          </w:p>
        </w:tc>
      </w:tr>
    </w:tbl>
    <w:p w:rsidR="001B0176" w:rsidRPr="00997591" w:rsidRDefault="00387F34" w:rsidP="00997591">
      <w:pPr>
        <w:spacing w:line="288" w:lineRule="auto"/>
        <w:rPr>
          <w:rFonts w:ascii="Verdana" w:hAnsi="Verdana"/>
          <w:sz w:val="20"/>
          <w:szCs w:val="20"/>
        </w:rPr>
      </w:pPr>
      <w:r w:rsidRPr="00997591">
        <w:rPr>
          <w:rFonts w:ascii="Verdana" w:hAnsi="Verdana"/>
          <w:sz w:val="20"/>
          <w:szCs w:val="20"/>
        </w:rPr>
        <w:t xml:space="preserve">Jednocześnie podkreślić należy, że </w:t>
      </w:r>
      <w:r w:rsidR="004B6E35" w:rsidRPr="00997591">
        <w:rPr>
          <w:rFonts w:ascii="Verdana" w:hAnsi="Verdana"/>
          <w:sz w:val="20"/>
          <w:szCs w:val="20"/>
        </w:rPr>
        <w:t xml:space="preserve">biorąc </w:t>
      </w:r>
      <w:r w:rsidR="006F2AFD" w:rsidRPr="00997591">
        <w:rPr>
          <w:rFonts w:ascii="Verdana" w:hAnsi="Verdana"/>
          <w:sz w:val="20"/>
          <w:szCs w:val="20"/>
        </w:rPr>
        <w:t xml:space="preserve">pod uwagę </w:t>
      </w:r>
      <w:r w:rsidR="00631951" w:rsidRPr="00997591">
        <w:rPr>
          <w:rFonts w:ascii="Verdana" w:hAnsi="Verdana"/>
          <w:sz w:val="20"/>
          <w:szCs w:val="20"/>
        </w:rPr>
        <w:t>dane sprzedażowe</w:t>
      </w:r>
      <w:r w:rsidR="006F2AFD" w:rsidRPr="00997591">
        <w:rPr>
          <w:rFonts w:ascii="Verdana" w:hAnsi="Verdana"/>
          <w:sz w:val="20"/>
          <w:szCs w:val="20"/>
        </w:rPr>
        <w:t xml:space="preserve"> osiągane </w:t>
      </w:r>
      <w:r w:rsidRPr="00997591">
        <w:rPr>
          <w:rFonts w:ascii="Verdana" w:hAnsi="Verdana"/>
          <w:sz w:val="20"/>
          <w:szCs w:val="20"/>
        </w:rPr>
        <w:t>w roku 2023</w:t>
      </w:r>
      <w:r w:rsidR="00631951" w:rsidRPr="00997591">
        <w:rPr>
          <w:rFonts w:ascii="Verdana" w:hAnsi="Verdana"/>
          <w:sz w:val="20"/>
          <w:szCs w:val="20"/>
        </w:rPr>
        <w:t xml:space="preserve"> w stosunku do</w:t>
      </w:r>
      <w:r w:rsidR="00E84552" w:rsidRPr="00997591">
        <w:rPr>
          <w:rFonts w:ascii="Verdana" w:hAnsi="Verdana"/>
          <w:sz w:val="20"/>
          <w:szCs w:val="20"/>
        </w:rPr>
        <w:t xml:space="preserve"> analogicznego okresu</w:t>
      </w:r>
      <w:r w:rsidR="00631951" w:rsidRPr="00997591">
        <w:rPr>
          <w:rFonts w:ascii="Verdana" w:hAnsi="Verdana"/>
          <w:sz w:val="20"/>
          <w:szCs w:val="20"/>
        </w:rPr>
        <w:t xml:space="preserve"> roku 2022</w:t>
      </w:r>
      <w:r w:rsidR="006F2AFD" w:rsidRPr="00997591">
        <w:rPr>
          <w:rFonts w:ascii="Verdana" w:hAnsi="Verdana"/>
          <w:sz w:val="20"/>
          <w:szCs w:val="20"/>
        </w:rPr>
        <w:t>,</w:t>
      </w:r>
      <w:r w:rsidR="0028072C">
        <w:rPr>
          <w:rFonts w:ascii="Verdana" w:hAnsi="Verdana"/>
          <w:sz w:val="20"/>
          <w:szCs w:val="20"/>
        </w:rPr>
        <w:t xml:space="preserve"> </w:t>
      </w:r>
      <w:r w:rsidR="00E86499" w:rsidRPr="00997591">
        <w:rPr>
          <w:rFonts w:ascii="Verdana" w:hAnsi="Verdana"/>
          <w:sz w:val="20"/>
          <w:szCs w:val="20"/>
        </w:rPr>
        <w:t xml:space="preserve">nadal zauważa się utrzymującą </w:t>
      </w:r>
      <w:r w:rsidR="00327AF2" w:rsidRPr="00997591">
        <w:rPr>
          <w:rFonts w:ascii="Verdana" w:hAnsi="Verdana"/>
          <w:sz w:val="20"/>
          <w:szCs w:val="20"/>
        </w:rPr>
        <w:t>tendencj</w:t>
      </w:r>
      <w:r w:rsidR="00E86499" w:rsidRPr="00997591">
        <w:rPr>
          <w:rFonts w:ascii="Verdana" w:hAnsi="Verdana"/>
          <w:sz w:val="20"/>
          <w:szCs w:val="20"/>
        </w:rPr>
        <w:t>ę</w:t>
      </w:r>
      <w:r w:rsidR="00327AF2" w:rsidRPr="00997591">
        <w:rPr>
          <w:rFonts w:ascii="Verdana" w:hAnsi="Verdana"/>
          <w:sz w:val="20"/>
          <w:szCs w:val="20"/>
        </w:rPr>
        <w:t xml:space="preserve"> wzrostow</w:t>
      </w:r>
      <w:r w:rsidR="00E86499" w:rsidRPr="00997591">
        <w:rPr>
          <w:rFonts w:ascii="Verdana" w:hAnsi="Verdana"/>
          <w:sz w:val="20"/>
          <w:szCs w:val="20"/>
        </w:rPr>
        <w:t>ą</w:t>
      </w:r>
      <w:r w:rsidRPr="00997591">
        <w:rPr>
          <w:rFonts w:ascii="Verdana" w:hAnsi="Verdana"/>
          <w:sz w:val="20"/>
          <w:szCs w:val="20"/>
        </w:rPr>
        <w:t xml:space="preserve">. Porównanie sprzedaży w okresie od stycznia do </w:t>
      </w:r>
      <w:r w:rsidR="0014434C" w:rsidRPr="00997591">
        <w:rPr>
          <w:rFonts w:ascii="Verdana" w:hAnsi="Verdana"/>
          <w:sz w:val="20"/>
          <w:szCs w:val="20"/>
        </w:rPr>
        <w:t xml:space="preserve">marca </w:t>
      </w:r>
      <w:r w:rsidRPr="00997591">
        <w:rPr>
          <w:rFonts w:ascii="Verdana" w:hAnsi="Verdana"/>
          <w:sz w:val="20"/>
          <w:szCs w:val="20"/>
        </w:rPr>
        <w:t xml:space="preserve">roku 2022 </w:t>
      </w:r>
      <w:r w:rsidR="0076405B" w:rsidRPr="00997591">
        <w:rPr>
          <w:rFonts w:ascii="Verdana" w:hAnsi="Verdana"/>
          <w:sz w:val="20"/>
          <w:szCs w:val="20"/>
        </w:rPr>
        <w:t>do analogicznego okresu</w:t>
      </w:r>
      <w:r w:rsidR="0028072C">
        <w:rPr>
          <w:rFonts w:ascii="Verdana" w:hAnsi="Verdana"/>
          <w:sz w:val="20"/>
          <w:szCs w:val="20"/>
        </w:rPr>
        <w:t xml:space="preserve"> </w:t>
      </w:r>
      <w:r w:rsidR="00E86499" w:rsidRPr="00997591">
        <w:rPr>
          <w:rFonts w:ascii="Verdana" w:hAnsi="Verdana"/>
          <w:sz w:val="20"/>
          <w:szCs w:val="20"/>
        </w:rPr>
        <w:t xml:space="preserve">roku </w:t>
      </w:r>
      <w:r w:rsidRPr="00997591">
        <w:rPr>
          <w:rFonts w:ascii="Verdana" w:hAnsi="Verdana"/>
          <w:sz w:val="20"/>
          <w:szCs w:val="20"/>
        </w:rPr>
        <w:t>2023 przedstawia poniższa tabela:</w:t>
      </w:r>
    </w:p>
    <w:tbl>
      <w:tblPr>
        <w:tblStyle w:val="Tabela-Siatka"/>
        <w:tblW w:w="0" w:type="auto"/>
        <w:tblLook w:val="04A0"/>
      </w:tblPr>
      <w:tblGrid>
        <w:gridCol w:w="2405"/>
        <w:gridCol w:w="1379"/>
        <w:gridCol w:w="1376"/>
        <w:gridCol w:w="1376"/>
        <w:gridCol w:w="1376"/>
      </w:tblGrid>
      <w:tr w:rsidR="0096688E" w:rsidRPr="00997591" w:rsidTr="0096688E">
        <w:tc>
          <w:tcPr>
            <w:tcW w:w="2405" w:type="dxa"/>
            <w:vAlign w:val="center"/>
          </w:tcPr>
          <w:p w:rsidR="0096688E" w:rsidRPr="00997591" w:rsidRDefault="0096688E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Rodzaj biletów</w:t>
            </w:r>
          </w:p>
        </w:tc>
        <w:tc>
          <w:tcPr>
            <w:tcW w:w="1379" w:type="dxa"/>
            <w:vAlign w:val="center"/>
          </w:tcPr>
          <w:p w:rsidR="0096688E" w:rsidRPr="00997591" w:rsidRDefault="0096688E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I-II</w:t>
            </w:r>
            <w:r w:rsidR="0014434C" w:rsidRPr="00997591">
              <w:rPr>
                <w:rFonts w:ascii="Verdana" w:hAnsi="Verdana"/>
                <w:sz w:val="20"/>
                <w:szCs w:val="20"/>
              </w:rPr>
              <w:t>I</w:t>
            </w:r>
            <w:r w:rsidRPr="00997591">
              <w:rPr>
                <w:rFonts w:ascii="Verdana" w:hAnsi="Verdana"/>
                <w:sz w:val="20"/>
                <w:szCs w:val="20"/>
              </w:rPr>
              <w:t xml:space="preserve"> 2022</w:t>
            </w:r>
          </w:p>
          <w:p w:rsidR="0096688E" w:rsidRPr="00997591" w:rsidRDefault="0096688E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376" w:type="dxa"/>
            <w:vAlign w:val="center"/>
          </w:tcPr>
          <w:p w:rsidR="0096688E" w:rsidRPr="00997591" w:rsidRDefault="0096688E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I-II</w:t>
            </w:r>
            <w:r w:rsidR="0014434C" w:rsidRPr="00997591">
              <w:rPr>
                <w:rFonts w:ascii="Verdana" w:hAnsi="Verdana"/>
                <w:sz w:val="20"/>
                <w:szCs w:val="20"/>
              </w:rPr>
              <w:t>I</w:t>
            </w:r>
            <w:r w:rsidRPr="00997591">
              <w:rPr>
                <w:rFonts w:ascii="Verdana" w:hAnsi="Verdana"/>
                <w:sz w:val="20"/>
                <w:szCs w:val="20"/>
              </w:rPr>
              <w:t xml:space="preserve"> 2023</w:t>
            </w:r>
          </w:p>
          <w:p w:rsidR="0096688E" w:rsidRPr="00997591" w:rsidRDefault="0096688E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376" w:type="dxa"/>
            <w:vAlign w:val="center"/>
          </w:tcPr>
          <w:p w:rsidR="0096688E" w:rsidRPr="00997591" w:rsidRDefault="0096688E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I-I</w:t>
            </w:r>
            <w:r w:rsidR="0014434C" w:rsidRPr="00997591">
              <w:rPr>
                <w:rFonts w:ascii="Verdana" w:hAnsi="Verdana"/>
                <w:sz w:val="20"/>
                <w:szCs w:val="20"/>
              </w:rPr>
              <w:t>I</w:t>
            </w:r>
            <w:r w:rsidRPr="00997591">
              <w:rPr>
                <w:rFonts w:ascii="Verdana" w:hAnsi="Verdana"/>
                <w:sz w:val="20"/>
                <w:szCs w:val="20"/>
              </w:rPr>
              <w:t>I 2022</w:t>
            </w:r>
          </w:p>
          <w:p w:rsidR="0096688E" w:rsidRPr="00997591" w:rsidRDefault="0096688E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zł</w:t>
            </w:r>
          </w:p>
        </w:tc>
        <w:tc>
          <w:tcPr>
            <w:tcW w:w="1376" w:type="dxa"/>
            <w:vAlign w:val="center"/>
          </w:tcPr>
          <w:p w:rsidR="0096688E" w:rsidRPr="00997591" w:rsidRDefault="0096688E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I-II</w:t>
            </w:r>
            <w:r w:rsidR="0014434C" w:rsidRPr="00997591">
              <w:rPr>
                <w:rFonts w:ascii="Verdana" w:hAnsi="Verdana"/>
                <w:sz w:val="20"/>
                <w:szCs w:val="20"/>
              </w:rPr>
              <w:t>I</w:t>
            </w:r>
            <w:r w:rsidRPr="00997591">
              <w:rPr>
                <w:rFonts w:ascii="Verdana" w:hAnsi="Verdana"/>
                <w:sz w:val="20"/>
                <w:szCs w:val="20"/>
              </w:rPr>
              <w:t xml:space="preserve"> 2023</w:t>
            </w:r>
          </w:p>
          <w:p w:rsidR="0096688E" w:rsidRPr="00997591" w:rsidRDefault="0096688E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zł</w:t>
            </w:r>
          </w:p>
        </w:tc>
      </w:tr>
      <w:tr w:rsidR="0096688E" w:rsidRPr="00997591" w:rsidTr="0096688E">
        <w:tc>
          <w:tcPr>
            <w:tcW w:w="2405" w:type="dxa"/>
            <w:vAlign w:val="center"/>
          </w:tcPr>
          <w:p w:rsidR="0096688E" w:rsidRPr="00997591" w:rsidRDefault="0096688E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Jednorazowe</w:t>
            </w:r>
          </w:p>
          <w:p w:rsidR="0096688E" w:rsidRPr="00997591" w:rsidRDefault="0096688E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(w tym grupowe)</w:t>
            </w:r>
          </w:p>
        </w:tc>
        <w:tc>
          <w:tcPr>
            <w:tcW w:w="1379" w:type="dxa"/>
            <w:vAlign w:val="center"/>
          </w:tcPr>
          <w:p w:rsidR="0096688E" w:rsidRPr="00997591" w:rsidRDefault="0096688E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1,</w:t>
            </w:r>
            <w:r w:rsidR="0014434C" w:rsidRPr="00997591">
              <w:rPr>
                <w:rFonts w:ascii="Verdana" w:hAnsi="Verdana"/>
                <w:sz w:val="20"/>
                <w:szCs w:val="20"/>
              </w:rPr>
              <w:t xml:space="preserve">68 </w:t>
            </w:r>
            <w:r w:rsidRPr="00997591">
              <w:rPr>
                <w:rFonts w:ascii="Verdana" w:hAnsi="Verdana"/>
                <w:sz w:val="20"/>
                <w:szCs w:val="20"/>
              </w:rPr>
              <w:t>mln</w:t>
            </w:r>
          </w:p>
        </w:tc>
        <w:tc>
          <w:tcPr>
            <w:tcW w:w="1376" w:type="dxa"/>
            <w:vAlign w:val="center"/>
          </w:tcPr>
          <w:p w:rsidR="0096688E" w:rsidRPr="00997591" w:rsidRDefault="0096688E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1,</w:t>
            </w:r>
            <w:r w:rsidR="0014434C" w:rsidRPr="00997591">
              <w:rPr>
                <w:rFonts w:ascii="Verdana" w:hAnsi="Verdana"/>
                <w:sz w:val="20"/>
                <w:szCs w:val="20"/>
              </w:rPr>
              <w:t xml:space="preserve">96 </w:t>
            </w:r>
            <w:r w:rsidRPr="00997591">
              <w:rPr>
                <w:rFonts w:ascii="Verdana" w:hAnsi="Verdana"/>
                <w:sz w:val="20"/>
                <w:szCs w:val="20"/>
              </w:rPr>
              <w:t>mln</w:t>
            </w:r>
          </w:p>
        </w:tc>
        <w:tc>
          <w:tcPr>
            <w:tcW w:w="1376" w:type="dxa"/>
            <w:vAlign w:val="center"/>
          </w:tcPr>
          <w:p w:rsidR="0096688E" w:rsidRPr="00997591" w:rsidRDefault="00FC68F8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6,40</w:t>
            </w:r>
            <w:r w:rsidR="0096688E" w:rsidRPr="00997591">
              <w:rPr>
                <w:rFonts w:ascii="Verdana" w:hAnsi="Verdana"/>
                <w:sz w:val="20"/>
                <w:szCs w:val="20"/>
              </w:rPr>
              <w:t xml:space="preserve"> mln</w:t>
            </w:r>
          </w:p>
        </w:tc>
        <w:tc>
          <w:tcPr>
            <w:tcW w:w="1376" w:type="dxa"/>
            <w:vAlign w:val="center"/>
          </w:tcPr>
          <w:p w:rsidR="0096688E" w:rsidRPr="00997591" w:rsidRDefault="00FC68F8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7,70</w:t>
            </w:r>
            <w:r w:rsidR="0096688E" w:rsidRPr="00997591">
              <w:rPr>
                <w:rFonts w:ascii="Verdana" w:hAnsi="Verdana"/>
                <w:sz w:val="20"/>
                <w:szCs w:val="20"/>
              </w:rPr>
              <w:t xml:space="preserve"> mln</w:t>
            </w:r>
          </w:p>
        </w:tc>
      </w:tr>
      <w:tr w:rsidR="0096688E" w:rsidRPr="00997591" w:rsidTr="0096688E">
        <w:tc>
          <w:tcPr>
            <w:tcW w:w="2405" w:type="dxa"/>
            <w:vAlign w:val="center"/>
          </w:tcPr>
          <w:p w:rsidR="0096688E" w:rsidRPr="00997591" w:rsidRDefault="0096688E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Czasowe</w:t>
            </w:r>
          </w:p>
        </w:tc>
        <w:tc>
          <w:tcPr>
            <w:tcW w:w="1379" w:type="dxa"/>
            <w:vAlign w:val="center"/>
          </w:tcPr>
          <w:p w:rsidR="0096688E" w:rsidRPr="00997591" w:rsidRDefault="0014434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4,99</w:t>
            </w:r>
            <w:r w:rsidR="0096688E" w:rsidRPr="00997591">
              <w:rPr>
                <w:rFonts w:ascii="Verdana" w:hAnsi="Verdana"/>
                <w:sz w:val="20"/>
                <w:szCs w:val="20"/>
              </w:rPr>
              <w:t xml:space="preserve"> mln</w:t>
            </w:r>
          </w:p>
        </w:tc>
        <w:tc>
          <w:tcPr>
            <w:tcW w:w="1376" w:type="dxa"/>
            <w:vAlign w:val="center"/>
          </w:tcPr>
          <w:p w:rsidR="0096688E" w:rsidRPr="00997591" w:rsidRDefault="0014434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6,46</w:t>
            </w:r>
            <w:r w:rsidR="0096688E" w:rsidRPr="00997591">
              <w:rPr>
                <w:rFonts w:ascii="Verdana" w:hAnsi="Verdana"/>
                <w:sz w:val="20"/>
                <w:szCs w:val="20"/>
              </w:rPr>
              <w:t xml:space="preserve"> mln</w:t>
            </w:r>
          </w:p>
        </w:tc>
        <w:tc>
          <w:tcPr>
            <w:tcW w:w="1376" w:type="dxa"/>
            <w:vAlign w:val="center"/>
          </w:tcPr>
          <w:p w:rsidR="0096688E" w:rsidRPr="00997591" w:rsidRDefault="00FC68F8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15,54</w:t>
            </w:r>
            <w:r w:rsidR="0096688E" w:rsidRPr="00997591">
              <w:rPr>
                <w:rFonts w:ascii="Verdana" w:hAnsi="Verdana"/>
                <w:sz w:val="20"/>
                <w:szCs w:val="20"/>
              </w:rPr>
              <w:t xml:space="preserve"> mln</w:t>
            </w:r>
          </w:p>
        </w:tc>
        <w:tc>
          <w:tcPr>
            <w:tcW w:w="1376" w:type="dxa"/>
            <w:vAlign w:val="center"/>
          </w:tcPr>
          <w:p w:rsidR="0096688E" w:rsidRPr="00997591" w:rsidRDefault="00FC68F8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20,50</w:t>
            </w:r>
            <w:r w:rsidR="0096688E" w:rsidRPr="00997591">
              <w:rPr>
                <w:rFonts w:ascii="Verdana" w:hAnsi="Verdana"/>
                <w:sz w:val="20"/>
                <w:szCs w:val="20"/>
              </w:rPr>
              <w:t xml:space="preserve"> mln</w:t>
            </w:r>
          </w:p>
        </w:tc>
      </w:tr>
      <w:tr w:rsidR="0096688E" w:rsidRPr="00997591" w:rsidTr="0096688E">
        <w:tc>
          <w:tcPr>
            <w:tcW w:w="2405" w:type="dxa"/>
            <w:vAlign w:val="center"/>
          </w:tcPr>
          <w:p w:rsidR="0096688E" w:rsidRPr="00997591" w:rsidRDefault="0096688E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Okresowe</w:t>
            </w:r>
          </w:p>
          <w:p w:rsidR="0096688E" w:rsidRPr="00997591" w:rsidRDefault="0096688E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(w tym aglomeracyjne)</w:t>
            </w:r>
          </w:p>
        </w:tc>
        <w:tc>
          <w:tcPr>
            <w:tcW w:w="1379" w:type="dxa"/>
            <w:vAlign w:val="center"/>
          </w:tcPr>
          <w:p w:rsidR="0096688E" w:rsidRPr="00997591" w:rsidRDefault="0014434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0,19</w:t>
            </w:r>
            <w:r w:rsidR="0096688E" w:rsidRPr="00997591">
              <w:rPr>
                <w:rFonts w:ascii="Verdana" w:hAnsi="Verdana"/>
                <w:sz w:val="20"/>
                <w:szCs w:val="20"/>
              </w:rPr>
              <w:t xml:space="preserve"> mln</w:t>
            </w:r>
          </w:p>
        </w:tc>
        <w:tc>
          <w:tcPr>
            <w:tcW w:w="1376" w:type="dxa"/>
            <w:vAlign w:val="center"/>
          </w:tcPr>
          <w:p w:rsidR="0096688E" w:rsidRPr="00997591" w:rsidRDefault="0096688E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0,</w:t>
            </w:r>
            <w:r w:rsidR="00FC68F8" w:rsidRPr="00997591">
              <w:rPr>
                <w:rFonts w:ascii="Verdana" w:hAnsi="Verdana"/>
                <w:sz w:val="20"/>
                <w:szCs w:val="20"/>
              </w:rPr>
              <w:t xml:space="preserve">25 </w:t>
            </w:r>
            <w:r w:rsidRPr="00997591">
              <w:rPr>
                <w:rFonts w:ascii="Verdana" w:hAnsi="Verdana"/>
                <w:sz w:val="20"/>
                <w:szCs w:val="20"/>
              </w:rPr>
              <w:t>mln</w:t>
            </w:r>
            <w:r w:rsidR="00E86499" w:rsidRPr="00997591"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1376" w:type="dxa"/>
            <w:vAlign w:val="center"/>
          </w:tcPr>
          <w:p w:rsidR="0096688E" w:rsidRPr="00997591" w:rsidRDefault="00FC68F8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18,06</w:t>
            </w:r>
            <w:r w:rsidR="0096688E" w:rsidRPr="00997591">
              <w:rPr>
                <w:rFonts w:ascii="Verdana" w:hAnsi="Verdana"/>
                <w:sz w:val="20"/>
                <w:szCs w:val="20"/>
              </w:rPr>
              <w:t xml:space="preserve"> mln</w:t>
            </w:r>
          </w:p>
        </w:tc>
        <w:tc>
          <w:tcPr>
            <w:tcW w:w="1376" w:type="dxa"/>
            <w:vAlign w:val="center"/>
          </w:tcPr>
          <w:p w:rsidR="0096688E" w:rsidRPr="00997591" w:rsidRDefault="00FC68F8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23,79</w:t>
            </w:r>
            <w:r w:rsidR="0096688E" w:rsidRPr="00997591">
              <w:rPr>
                <w:rFonts w:ascii="Verdana" w:hAnsi="Verdana"/>
                <w:sz w:val="20"/>
                <w:szCs w:val="20"/>
              </w:rPr>
              <w:t xml:space="preserve"> mln</w:t>
            </w:r>
            <w:r w:rsidR="00E86499" w:rsidRPr="00997591">
              <w:rPr>
                <w:rFonts w:ascii="Verdana" w:hAnsi="Verdana"/>
                <w:sz w:val="20"/>
                <w:szCs w:val="20"/>
              </w:rPr>
              <w:t>*</w:t>
            </w:r>
          </w:p>
        </w:tc>
      </w:tr>
      <w:tr w:rsidR="0096688E" w:rsidRPr="00997591" w:rsidTr="0096688E">
        <w:tc>
          <w:tcPr>
            <w:tcW w:w="2405" w:type="dxa"/>
            <w:vAlign w:val="center"/>
          </w:tcPr>
          <w:p w:rsidR="0096688E" w:rsidRPr="00997591" w:rsidRDefault="0096688E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RAZEM</w:t>
            </w:r>
          </w:p>
        </w:tc>
        <w:tc>
          <w:tcPr>
            <w:tcW w:w="1379" w:type="dxa"/>
            <w:vAlign w:val="center"/>
          </w:tcPr>
          <w:p w:rsidR="0096688E" w:rsidRPr="00997591" w:rsidRDefault="0014434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6,86</w:t>
            </w:r>
            <w:r w:rsidR="0096688E" w:rsidRPr="00997591">
              <w:rPr>
                <w:rFonts w:ascii="Verdana" w:hAnsi="Verdana"/>
                <w:sz w:val="20"/>
                <w:szCs w:val="20"/>
              </w:rPr>
              <w:t xml:space="preserve"> mln</w:t>
            </w:r>
          </w:p>
        </w:tc>
        <w:tc>
          <w:tcPr>
            <w:tcW w:w="1376" w:type="dxa"/>
            <w:vAlign w:val="center"/>
          </w:tcPr>
          <w:p w:rsidR="0096688E" w:rsidRPr="00997591" w:rsidRDefault="00FC68F8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8,67</w:t>
            </w:r>
            <w:r w:rsidR="0096688E" w:rsidRPr="00997591">
              <w:rPr>
                <w:rFonts w:ascii="Verdana" w:hAnsi="Verdana"/>
                <w:sz w:val="20"/>
                <w:szCs w:val="20"/>
              </w:rPr>
              <w:t xml:space="preserve"> mln</w:t>
            </w:r>
          </w:p>
        </w:tc>
        <w:tc>
          <w:tcPr>
            <w:tcW w:w="1376" w:type="dxa"/>
            <w:vAlign w:val="center"/>
          </w:tcPr>
          <w:p w:rsidR="0096688E" w:rsidRPr="00997591" w:rsidRDefault="00FC68F8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40,00</w:t>
            </w:r>
            <w:r w:rsidR="0096688E" w:rsidRPr="00997591">
              <w:rPr>
                <w:rFonts w:ascii="Verdana" w:hAnsi="Verdana"/>
                <w:sz w:val="20"/>
                <w:szCs w:val="20"/>
              </w:rPr>
              <w:t xml:space="preserve"> mln</w:t>
            </w:r>
          </w:p>
        </w:tc>
        <w:tc>
          <w:tcPr>
            <w:tcW w:w="1376" w:type="dxa"/>
            <w:vAlign w:val="center"/>
          </w:tcPr>
          <w:p w:rsidR="0096688E" w:rsidRPr="00997591" w:rsidRDefault="00FC68F8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51,99</w:t>
            </w:r>
            <w:r w:rsidR="0096688E" w:rsidRPr="00997591">
              <w:rPr>
                <w:rFonts w:ascii="Verdana" w:hAnsi="Verdana"/>
                <w:sz w:val="20"/>
                <w:szCs w:val="20"/>
              </w:rPr>
              <w:t xml:space="preserve"> mln</w:t>
            </w:r>
          </w:p>
        </w:tc>
      </w:tr>
    </w:tbl>
    <w:p w:rsidR="00DA4572" w:rsidRPr="00997591" w:rsidRDefault="00DA4572" w:rsidP="00997591">
      <w:pPr>
        <w:spacing w:line="288" w:lineRule="auto"/>
        <w:rPr>
          <w:rFonts w:ascii="Verdana" w:hAnsi="Verdana"/>
          <w:iCs/>
          <w:sz w:val="20"/>
          <w:szCs w:val="20"/>
        </w:rPr>
      </w:pPr>
      <w:r w:rsidRPr="00997591">
        <w:rPr>
          <w:rFonts w:ascii="Verdana" w:hAnsi="Verdana"/>
          <w:iCs/>
          <w:sz w:val="20"/>
          <w:szCs w:val="20"/>
        </w:rPr>
        <w:t>(</w:t>
      </w:r>
      <w:r w:rsidR="00C10CDF" w:rsidRPr="00997591">
        <w:rPr>
          <w:rFonts w:ascii="Verdana" w:hAnsi="Verdana"/>
          <w:iCs/>
          <w:sz w:val="20"/>
          <w:szCs w:val="20"/>
        </w:rPr>
        <w:t xml:space="preserve">* </w:t>
      </w:r>
      <w:r w:rsidRPr="00997591">
        <w:rPr>
          <w:rFonts w:ascii="Verdana" w:hAnsi="Verdana"/>
          <w:iCs/>
          <w:sz w:val="20"/>
          <w:szCs w:val="20"/>
        </w:rPr>
        <w:t xml:space="preserve">na dzień 4.04.2023 r. brak pełnego raportu ze sprzedaży biletów </w:t>
      </w:r>
      <w:r w:rsidR="00C10CDF" w:rsidRPr="00997591">
        <w:rPr>
          <w:rFonts w:ascii="Verdana" w:hAnsi="Verdana"/>
          <w:iCs/>
          <w:sz w:val="20"/>
          <w:szCs w:val="20"/>
        </w:rPr>
        <w:t>aglomeracyjnych w marcu br.)</w:t>
      </w:r>
    </w:p>
    <w:p w:rsidR="003C701C" w:rsidRPr="00997591" w:rsidRDefault="003C701C" w:rsidP="00997591">
      <w:pPr>
        <w:spacing w:line="288" w:lineRule="auto"/>
        <w:rPr>
          <w:rFonts w:ascii="Verdana" w:hAnsi="Verdana"/>
          <w:sz w:val="20"/>
          <w:szCs w:val="20"/>
        </w:rPr>
      </w:pPr>
      <w:r w:rsidRPr="00997591">
        <w:rPr>
          <w:rFonts w:ascii="Verdana" w:hAnsi="Verdana"/>
          <w:sz w:val="20"/>
          <w:szCs w:val="20"/>
        </w:rPr>
        <w:t>Co daje odpowiednio wzrost:</w:t>
      </w:r>
    </w:p>
    <w:tbl>
      <w:tblPr>
        <w:tblStyle w:val="Tabela-Siatka"/>
        <w:tblW w:w="0" w:type="auto"/>
        <w:tblLook w:val="04A0"/>
      </w:tblPr>
      <w:tblGrid>
        <w:gridCol w:w="2405"/>
        <w:gridCol w:w="1379"/>
        <w:gridCol w:w="1379"/>
      </w:tblGrid>
      <w:tr w:rsidR="003C701C" w:rsidRPr="00997591" w:rsidTr="00EB6851">
        <w:tc>
          <w:tcPr>
            <w:tcW w:w="2405" w:type="dxa"/>
            <w:vAlign w:val="center"/>
          </w:tcPr>
          <w:p w:rsidR="003C701C" w:rsidRPr="00997591" w:rsidRDefault="003C701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Rodzaj biletów</w:t>
            </w:r>
          </w:p>
        </w:tc>
        <w:tc>
          <w:tcPr>
            <w:tcW w:w="1379" w:type="dxa"/>
            <w:vAlign w:val="center"/>
          </w:tcPr>
          <w:p w:rsidR="003C701C" w:rsidRPr="00997591" w:rsidRDefault="003C701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Szt.</w:t>
            </w:r>
          </w:p>
        </w:tc>
        <w:tc>
          <w:tcPr>
            <w:tcW w:w="1379" w:type="dxa"/>
            <w:vAlign w:val="center"/>
          </w:tcPr>
          <w:p w:rsidR="003C701C" w:rsidRPr="00997591" w:rsidRDefault="003C701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zł</w:t>
            </w:r>
          </w:p>
        </w:tc>
      </w:tr>
      <w:tr w:rsidR="003C701C" w:rsidRPr="00997591" w:rsidTr="00EB6851">
        <w:tc>
          <w:tcPr>
            <w:tcW w:w="2405" w:type="dxa"/>
            <w:vAlign w:val="center"/>
          </w:tcPr>
          <w:p w:rsidR="003C701C" w:rsidRPr="00997591" w:rsidRDefault="003C701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Jednorazowe</w:t>
            </w:r>
          </w:p>
          <w:p w:rsidR="003C701C" w:rsidRPr="00997591" w:rsidRDefault="003C701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(w tym grupowe)</w:t>
            </w:r>
          </w:p>
        </w:tc>
        <w:tc>
          <w:tcPr>
            <w:tcW w:w="1379" w:type="dxa"/>
            <w:vAlign w:val="center"/>
          </w:tcPr>
          <w:p w:rsidR="003C701C" w:rsidRPr="00997591" w:rsidRDefault="003C701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17%</w:t>
            </w:r>
          </w:p>
        </w:tc>
        <w:tc>
          <w:tcPr>
            <w:tcW w:w="1379" w:type="dxa"/>
            <w:vAlign w:val="center"/>
          </w:tcPr>
          <w:p w:rsidR="003C701C" w:rsidRPr="00997591" w:rsidRDefault="003C701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20%</w:t>
            </w:r>
          </w:p>
        </w:tc>
      </w:tr>
      <w:tr w:rsidR="003C701C" w:rsidRPr="00997591" w:rsidTr="00EB6851">
        <w:tc>
          <w:tcPr>
            <w:tcW w:w="2405" w:type="dxa"/>
            <w:vAlign w:val="center"/>
          </w:tcPr>
          <w:p w:rsidR="003C701C" w:rsidRPr="00997591" w:rsidRDefault="003C701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Czasowe</w:t>
            </w:r>
          </w:p>
        </w:tc>
        <w:tc>
          <w:tcPr>
            <w:tcW w:w="1379" w:type="dxa"/>
            <w:vAlign w:val="center"/>
          </w:tcPr>
          <w:p w:rsidR="003C701C" w:rsidRPr="00997591" w:rsidRDefault="003C701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29%</w:t>
            </w:r>
          </w:p>
        </w:tc>
        <w:tc>
          <w:tcPr>
            <w:tcW w:w="1379" w:type="dxa"/>
            <w:vAlign w:val="center"/>
          </w:tcPr>
          <w:p w:rsidR="003C701C" w:rsidRPr="00997591" w:rsidRDefault="003C701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16%</w:t>
            </w:r>
          </w:p>
        </w:tc>
      </w:tr>
      <w:tr w:rsidR="003C701C" w:rsidRPr="00997591" w:rsidTr="00EB6851">
        <w:tc>
          <w:tcPr>
            <w:tcW w:w="2405" w:type="dxa"/>
            <w:vAlign w:val="center"/>
          </w:tcPr>
          <w:p w:rsidR="003C701C" w:rsidRPr="00997591" w:rsidRDefault="003C701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Okresowe</w:t>
            </w:r>
          </w:p>
          <w:p w:rsidR="003C701C" w:rsidRPr="00997591" w:rsidRDefault="003C701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(w tym aglomeracyjne)</w:t>
            </w:r>
          </w:p>
        </w:tc>
        <w:tc>
          <w:tcPr>
            <w:tcW w:w="1379" w:type="dxa"/>
            <w:vAlign w:val="center"/>
          </w:tcPr>
          <w:p w:rsidR="003C701C" w:rsidRPr="00997591" w:rsidRDefault="003C701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32%</w:t>
            </w:r>
          </w:p>
        </w:tc>
        <w:tc>
          <w:tcPr>
            <w:tcW w:w="1379" w:type="dxa"/>
            <w:vAlign w:val="center"/>
          </w:tcPr>
          <w:p w:rsidR="003C701C" w:rsidRPr="00997591" w:rsidRDefault="003C701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32%</w:t>
            </w:r>
          </w:p>
        </w:tc>
      </w:tr>
      <w:tr w:rsidR="003C701C" w:rsidRPr="00997591" w:rsidTr="00EB6851">
        <w:tc>
          <w:tcPr>
            <w:tcW w:w="2405" w:type="dxa"/>
            <w:vAlign w:val="center"/>
          </w:tcPr>
          <w:p w:rsidR="003C701C" w:rsidRPr="00997591" w:rsidRDefault="003C701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RAZEM</w:t>
            </w:r>
          </w:p>
        </w:tc>
        <w:tc>
          <w:tcPr>
            <w:tcW w:w="1379" w:type="dxa"/>
            <w:vAlign w:val="center"/>
          </w:tcPr>
          <w:p w:rsidR="003C701C" w:rsidRPr="00997591" w:rsidRDefault="003C701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26%</w:t>
            </w:r>
          </w:p>
        </w:tc>
        <w:tc>
          <w:tcPr>
            <w:tcW w:w="1379" w:type="dxa"/>
            <w:vAlign w:val="center"/>
          </w:tcPr>
          <w:p w:rsidR="003C701C" w:rsidRPr="00997591" w:rsidRDefault="003C701C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30%</w:t>
            </w:r>
          </w:p>
        </w:tc>
      </w:tr>
    </w:tbl>
    <w:p w:rsidR="001B0176" w:rsidRPr="00997591" w:rsidRDefault="00121CB6" w:rsidP="00997591">
      <w:pPr>
        <w:spacing w:line="288" w:lineRule="auto"/>
        <w:rPr>
          <w:rFonts w:ascii="Verdana" w:hAnsi="Verdana"/>
          <w:sz w:val="20"/>
          <w:szCs w:val="20"/>
        </w:rPr>
      </w:pPr>
      <w:r w:rsidRPr="00997591">
        <w:rPr>
          <w:rFonts w:ascii="Verdana" w:hAnsi="Verdana"/>
          <w:sz w:val="20"/>
          <w:szCs w:val="20"/>
        </w:rPr>
        <w:t>Jak widać</w:t>
      </w:r>
      <w:r w:rsidR="00D5133A" w:rsidRPr="00997591">
        <w:rPr>
          <w:rFonts w:ascii="Verdana" w:hAnsi="Verdana"/>
          <w:sz w:val="20"/>
          <w:szCs w:val="20"/>
        </w:rPr>
        <w:t xml:space="preserve"> z </w:t>
      </w:r>
      <w:r w:rsidR="00C24B56" w:rsidRPr="00997591">
        <w:rPr>
          <w:rFonts w:ascii="Verdana" w:hAnsi="Verdana"/>
          <w:sz w:val="20"/>
          <w:szCs w:val="20"/>
        </w:rPr>
        <w:t>zaprezentowanych wyników</w:t>
      </w:r>
      <w:r w:rsidR="000166EA" w:rsidRPr="00997591">
        <w:rPr>
          <w:rFonts w:ascii="Verdana" w:hAnsi="Verdana"/>
          <w:sz w:val="20"/>
          <w:szCs w:val="20"/>
        </w:rPr>
        <w:t>,</w:t>
      </w:r>
      <w:r w:rsidR="00997591">
        <w:rPr>
          <w:rFonts w:ascii="Verdana" w:hAnsi="Verdana"/>
          <w:sz w:val="20"/>
          <w:szCs w:val="20"/>
        </w:rPr>
        <w:t xml:space="preserve"> </w:t>
      </w:r>
      <w:r w:rsidR="003C701C" w:rsidRPr="00997591">
        <w:rPr>
          <w:rFonts w:ascii="Verdana" w:hAnsi="Verdana"/>
          <w:sz w:val="20"/>
          <w:szCs w:val="20"/>
        </w:rPr>
        <w:t>począwszy od 2021</w:t>
      </w:r>
      <w:r w:rsidR="00997591">
        <w:rPr>
          <w:rFonts w:ascii="Verdana" w:hAnsi="Verdana"/>
          <w:sz w:val="20"/>
          <w:szCs w:val="20"/>
        </w:rPr>
        <w:t xml:space="preserve"> </w:t>
      </w:r>
      <w:r w:rsidR="001F6528" w:rsidRPr="00997591">
        <w:rPr>
          <w:rFonts w:ascii="Verdana" w:hAnsi="Verdana"/>
          <w:sz w:val="20"/>
          <w:szCs w:val="20"/>
        </w:rPr>
        <w:t xml:space="preserve">r. </w:t>
      </w:r>
      <w:r w:rsidRPr="00997591">
        <w:rPr>
          <w:rFonts w:ascii="Verdana" w:hAnsi="Verdana"/>
          <w:sz w:val="20"/>
          <w:szCs w:val="20"/>
        </w:rPr>
        <w:t>wyraźn</w:t>
      </w:r>
      <w:r w:rsidR="00D5133A" w:rsidRPr="00997591">
        <w:rPr>
          <w:rFonts w:ascii="Verdana" w:hAnsi="Verdana"/>
          <w:sz w:val="20"/>
          <w:szCs w:val="20"/>
        </w:rPr>
        <w:t>ie widać wzrost</w:t>
      </w:r>
      <w:r w:rsidR="00997591">
        <w:rPr>
          <w:rFonts w:ascii="Verdana" w:hAnsi="Verdana"/>
          <w:sz w:val="20"/>
          <w:szCs w:val="20"/>
        </w:rPr>
        <w:t xml:space="preserve"> </w:t>
      </w:r>
      <w:r w:rsidR="00D5133A" w:rsidRPr="00997591">
        <w:rPr>
          <w:rFonts w:ascii="Verdana" w:hAnsi="Verdana"/>
          <w:sz w:val="20"/>
          <w:szCs w:val="20"/>
        </w:rPr>
        <w:t>sprzedaży biletów (zarówno liczbowy, jak i kwotowy)</w:t>
      </w:r>
      <w:r w:rsidRPr="00997591">
        <w:rPr>
          <w:rFonts w:ascii="Verdana" w:hAnsi="Verdana"/>
          <w:sz w:val="20"/>
          <w:szCs w:val="20"/>
        </w:rPr>
        <w:t xml:space="preserve">. </w:t>
      </w:r>
      <w:r w:rsidR="00651F11" w:rsidRPr="00997591">
        <w:rPr>
          <w:rFonts w:ascii="Verdana" w:hAnsi="Verdana"/>
          <w:sz w:val="20"/>
          <w:szCs w:val="20"/>
        </w:rPr>
        <w:t>Co więcej</w:t>
      </w:r>
      <w:r w:rsidR="008D2E05" w:rsidRPr="00997591">
        <w:rPr>
          <w:rFonts w:ascii="Verdana" w:hAnsi="Verdana"/>
          <w:sz w:val="20"/>
          <w:szCs w:val="20"/>
        </w:rPr>
        <w:t>,</w:t>
      </w:r>
      <w:r w:rsidR="00997591">
        <w:rPr>
          <w:rFonts w:ascii="Verdana" w:hAnsi="Verdana"/>
          <w:sz w:val="20"/>
          <w:szCs w:val="20"/>
        </w:rPr>
        <w:t xml:space="preserve"> </w:t>
      </w:r>
      <w:r w:rsidR="00983038" w:rsidRPr="00997591">
        <w:rPr>
          <w:rFonts w:ascii="Verdana" w:hAnsi="Verdana"/>
          <w:sz w:val="20"/>
          <w:szCs w:val="20"/>
        </w:rPr>
        <w:t xml:space="preserve">sprzedaż w okresie </w:t>
      </w:r>
      <w:r w:rsidR="008D2E05" w:rsidRPr="00997591">
        <w:rPr>
          <w:rFonts w:ascii="Verdana" w:hAnsi="Verdana"/>
          <w:sz w:val="20"/>
          <w:szCs w:val="20"/>
        </w:rPr>
        <w:t>styczeń – marzec 2023 roku</w:t>
      </w:r>
      <w:r w:rsidR="00997591">
        <w:rPr>
          <w:rFonts w:ascii="Verdana" w:hAnsi="Verdana"/>
          <w:sz w:val="20"/>
          <w:szCs w:val="20"/>
        </w:rPr>
        <w:t xml:space="preserve"> </w:t>
      </w:r>
      <w:r w:rsidR="008D2E05" w:rsidRPr="00997591">
        <w:rPr>
          <w:rFonts w:ascii="Verdana" w:hAnsi="Verdana"/>
          <w:sz w:val="20"/>
          <w:szCs w:val="20"/>
        </w:rPr>
        <w:t>przekroczyła</w:t>
      </w:r>
      <w:r w:rsidR="00983038" w:rsidRPr="00997591">
        <w:rPr>
          <w:rFonts w:ascii="Verdana" w:hAnsi="Verdana"/>
          <w:sz w:val="20"/>
          <w:szCs w:val="20"/>
        </w:rPr>
        <w:t xml:space="preserve"> już wartości z analogicznego okresu 2019</w:t>
      </w:r>
      <w:r w:rsidR="008D2E05" w:rsidRPr="00997591">
        <w:rPr>
          <w:rFonts w:ascii="Verdana" w:hAnsi="Verdana"/>
          <w:sz w:val="20"/>
          <w:szCs w:val="20"/>
        </w:rPr>
        <w:t xml:space="preserve"> roku.</w:t>
      </w:r>
    </w:p>
    <w:p w:rsidR="001B0176" w:rsidRPr="00997591" w:rsidRDefault="005B5D46" w:rsidP="00997591">
      <w:pPr>
        <w:spacing w:line="288" w:lineRule="auto"/>
        <w:rPr>
          <w:rFonts w:ascii="Verdana" w:hAnsi="Verdana"/>
          <w:sz w:val="20"/>
          <w:szCs w:val="20"/>
        </w:rPr>
      </w:pPr>
      <w:r w:rsidRPr="00997591">
        <w:rPr>
          <w:rFonts w:ascii="Verdana" w:hAnsi="Verdana"/>
          <w:sz w:val="20"/>
          <w:szCs w:val="20"/>
        </w:rPr>
        <w:t>Podkreślić</w:t>
      </w:r>
      <w:r w:rsidR="00607E06" w:rsidRPr="00997591">
        <w:rPr>
          <w:rFonts w:ascii="Verdana" w:hAnsi="Verdana"/>
          <w:sz w:val="20"/>
          <w:szCs w:val="20"/>
        </w:rPr>
        <w:t xml:space="preserve"> należy, że </w:t>
      </w:r>
      <w:r w:rsidR="005F7F5F" w:rsidRPr="00997591">
        <w:rPr>
          <w:rFonts w:ascii="Verdana" w:hAnsi="Verdana"/>
          <w:sz w:val="20"/>
          <w:szCs w:val="20"/>
        </w:rPr>
        <w:t>n</w:t>
      </w:r>
      <w:r w:rsidR="00121CB6" w:rsidRPr="00997591">
        <w:rPr>
          <w:rFonts w:ascii="Verdana" w:hAnsi="Verdana"/>
          <w:sz w:val="20"/>
          <w:szCs w:val="20"/>
        </w:rPr>
        <w:t>iezmiernie ważnym</w:t>
      </w:r>
      <w:r w:rsidR="0028072C">
        <w:rPr>
          <w:rFonts w:ascii="Verdana" w:hAnsi="Verdana"/>
          <w:sz w:val="20"/>
          <w:szCs w:val="20"/>
        </w:rPr>
        <w:t xml:space="preserve"> </w:t>
      </w:r>
      <w:r w:rsidR="00121CB6" w:rsidRPr="00997591">
        <w:rPr>
          <w:rFonts w:ascii="Verdana" w:hAnsi="Verdana"/>
          <w:sz w:val="20"/>
          <w:szCs w:val="20"/>
        </w:rPr>
        <w:t xml:space="preserve">faktem mającym wpływ na wielkość sprzedaży biletów był obowiązujący w kraju od 20 marca 2020 r. do </w:t>
      </w:r>
      <w:r w:rsidR="001B0176" w:rsidRPr="00997591">
        <w:rPr>
          <w:rFonts w:ascii="Verdana" w:hAnsi="Verdana"/>
          <w:sz w:val="20"/>
          <w:szCs w:val="20"/>
        </w:rPr>
        <w:t xml:space="preserve">16 maja </w:t>
      </w:r>
      <w:r w:rsidR="00E86499" w:rsidRPr="00997591">
        <w:rPr>
          <w:rFonts w:ascii="Verdana" w:hAnsi="Verdana"/>
          <w:sz w:val="20"/>
          <w:szCs w:val="20"/>
        </w:rPr>
        <w:t>2022</w:t>
      </w:r>
      <w:r w:rsidR="00997591">
        <w:rPr>
          <w:rFonts w:ascii="Verdana" w:hAnsi="Verdana"/>
          <w:sz w:val="20"/>
          <w:szCs w:val="20"/>
        </w:rPr>
        <w:t xml:space="preserve"> </w:t>
      </w:r>
      <w:r w:rsidR="001B0176" w:rsidRPr="00997591">
        <w:rPr>
          <w:rFonts w:ascii="Verdana" w:hAnsi="Verdana"/>
          <w:sz w:val="20"/>
          <w:szCs w:val="20"/>
        </w:rPr>
        <w:lastRenderedPageBreak/>
        <w:t>r</w:t>
      </w:r>
      <w:r w:rsidR="00531DF2" w:rsidRPr="00997591">
        <w:rPr>
          <w:rFonts w:ascii="Verdana" w:hAnsi="Verdana"/>
          <w:sz w:val="20"/>
          <w:szCs w:val="20"/>
        </w:rPr>
        <w:t>.</w:t>
      </w:r>
      <w:r w:rsidR="0028072C">
        <w:rPr>
          <w:rFonts w:ascii="Verdana" w:hAnsi="Verdana"/>
          <w:sz w:val="20"/>
          <w:szCs w:val="20"/>
        </w:rPr>
        <w:t xml:space="preserve"> </w:t>
      </w:r>
      <w:r w:rsidR="00531DF2" w:rsidRPr="00997591">
        <w:rPr>
          <w:rFonts w:ascii="Verdana" w:hAnsi="Verdana"/>
          <w:sz w:val="20"/>
          <w:szCs w:val="20"/>
        </w:rPr>
        <w:t xml:space="preserve">stan </w:t>
      </w:r>
      <w:r w:rsidR="00064DB2" w:rsidRPr="00997591">
        <w:rPr>
          <w:rFonts w:ascii="Verdana" w:hAnsi="Verdana"/>
          <w:sz w:val="20"/>
          <w:szCs w:val="20"/>
        </w:rPr>
        <w:t>epi</w:t>
      </w:r>
      <w:r w:rsidR="00531DF2" w:rsidRPr="00997591">
        <w:rPr>
          <w:rFonts w:ascii="Verdana" w:hAnsi="Verdana"/>
          <w:sz w:val="20"/>
          <w:szCs w:val="20"/>
        </w:rPr>
        <w:t>demii COVID-19</w:t>
      </w:r>
      <w:r w:rsidR="000166EA" w:rsidRPr="00997591">
        <w:rPr>
          <w:rFonts w:ascii="Verdana" w:hAnsi="Verdana"/>
          <w:sz w:val="20"/>
          <w:szCs w:val="20"/>
        </w:rPr>
        <w:t xml:space="preserve">. Tak więc rok 2022 nie był </w:t>
      </w:r>
      <w:r w:rsidR="00EC64F6" w:rsidRPr="00997591">
        <w:rPr>
          <w:rFonts w:ascii="Verdana" w:hAnsi="Verdana"/>
          <w:sz w:val="20"/>
          <w:szCs w:val="20"/>
        </w:rPr>
        <w:t xml:space="preserve">rokiem </w:t>
      </w:r>
      <w:r w:rsidR="000166EA" w:rsidRPr="00997591">
        <w:rPr>
          <w:rFonts w:ascii="Verdana" w:hAnsi="Verdana"/>
          <w:sz w:val="20"/>
          <w:szCs w:val="20"/>
        </w:rPr>
        <w:t>„</w:t>
      </w:r>
      <w:r w:rsidR="00D97FF5" w:rsidRPr="00997591">
        <w:rPr>
          <w:rFonts w:ascii="Verdana" w:hAnsi="Verdana"/>
          <w:sz w:val="20"/>
          <w:szCs w:val="20"/>
        </w:rPr>
        <w:t>postpandemicznym</w:t>
      </w:r>
      <w:r w:rsidR="000166EA" w:rsidRPr="00997591">
        <w:rPr>
          <w:rFonts w:ascii="Verdana" w:hAnsi="Verdana"/>
          <w:sz w:val="20"/>
          <w:szCs w:val="20"/>
        </w:rPr>
        <w:t>”, jak to</w:t>
      </w:r>
      <w:r w:rsidR="0096688E" w:rsidRPr="00997591">
        <w:rPr>
          <w:rFonts w:ascii="Verdana" w:hAnsi="Verdana"/>
          <w:sz w:val="20"/>
          <w:szCs w:val="20"/>
        </w:rPr>
        <w:t xml:space="preserve"> zostało to określone w petycji</w:t>
      </w:r>
      <w:r w:rsidR="00D97FF5" w:rsidRPr="00997591">
        <w:rPr>
          <w:rFonts w:ascii="Verdana" w:hAnsi="Verdana"/>
          <w:sz w:val="20"/>
          <w:szCs w:val="20"/>
        </w:rPr>
        <w:t>.</w:t>
      </w:r>
      <w:r w:rsidR="00997591">
        <w:rPr>
          <w:rFonts w:ascii="Verdana" w:hAnsi="Verdana"/>
          <w:sz w:val="20"/>
          <w:szCs w:val="20"/>
        </w:rPr>
        <w:t xml:space="preserve"> </w:t>
      </w:r>
      <w:r w:rsidR="00E86499" w:rsidRPr="00997591">
        <w:rPr>
          <w:rFonts w:ascii="Verdana" w:hAnsi="Verdana"/>
          <w:sz w:val="20"/>
          <w:szCs w:val="20"/>
        </w:rPr>
        <w:t>W związku z tym naturalną konsekwencją było ograniczenie w tym czasie</w:t>
      </w:r>
      <w:r w:rsidR="00997591">
        <w:rPr>
          <w:rFonts w:ascii="Verdana" w:hAnsi="Verdana"/>
          <w:sz w:val="20"/>
          <w:szCs w:val="20"/>
        </w:rPr>
        <w:t xml:space="preserve"> </w:t>
      </w:r>
      <w:r w:rsidR="001B0176" w:rsidRPr="00997591">
        <w:rPr>
          <w:rFonts w:ascii="Verdana" w:hAnsi="Verdana"/>
          <w:sz w:val="20"/>
          <w:szCs w:val="20"/>
        </w:rPr>
        <w:t>liczb</w:t>
      </w:r>
      <w:r w:rsidR="00E86499" w:rsidRPr="00997591">
        <w:rPr>
          <w:rFonts w:ascii="Verdana" w:hAnsi="Verdana"/>
          <w:sz w:val="20"/>
          <w:szCs w:val="20"/>
        </w:rPr>
        <w:t>y</w:t>
      </w:r>
      <w:r w:rsidR="001B0176" w:rsidRPr="00997591">
        <w:rPr>
          <w:rFonts w:ascii="Verdana" w:hAnsi="Verdana"/>
          <w:sz w:val="20"/>
          <w:szCs w:val="20"/>
        </w:rPr>
        <w:t xml:space="preserve"> pasażerów komunikacji miejskiej</w:t>
      </w:r>
      <w:r w:rsidR="00E86499" w:rsidRPr="00997591">
        <w:rPr>
          <w:rFonts w:ascii="Verdana" w:hAnsi="Verdana"/>
          <w:sz w:val="20"/>
          <w:szCs w:val="20"/>
        </w:rPr>
        <w:t xml:space="preserve">. Wynikało to zarówno </w:t>
      </w:r>
      <w:r w:rsidR="00B775D1" w:rsidRPr="00997591">
        <w:rPr>
          <w:rFonts w:ascii="Verdana" w:hAnsi="Verdana"/>
          <w:sz w:val="20"/>
          <w:szCs w:val="20"/>
        </w:rPr>
        <w:t>ze w</w:t>
      </w:r>
      <w:r w:rsidR="00997591">
        <w:rPr>
          <w:rFonts w:ascii="Verdana" w:hAnsi="Verdana"/>
          <w:sz w:val="20"/>
          <w:szCs w:val="20"/>
        </w:rPr>
        <w:t xml:space="preserve">zględu na obowiązujące czasowo </w:t>
      </w:r>
      <w:r w:rsidR="00B775D1" w:rsidRPr="00997591">
        <w:rPr>
          <w:rFonts w:ascii="Verdana" w:hAnsi="Verdana"/>
          <w:sz w:val="20"/>
          <w:szCs w:val="20"/>
        </w:rPr>
        <w:t>przepis</w:t>
      </w:r>
      <w:r w:rsidR="00740062" w:rsidRPr="00997591">
        <w:rPr>
          <w:rFonts w:ascii="Verdana" w:hAnsi="Verdana"/>
          <w:sz w:val="20"/>
          <w:szCs w:val="20"/>
        </w:rPr>
        <w:t xml:space="preserve">y </w:t>
      </w:r>
      <w:r w:rsidR="00B775D1" w:rsidRPr="00997591">
        <w:rPr>
          <w:rFonts w:ascii="Verdana" w:hAnsi="Verdana"/>
          <w:sz w:val="20"/>
          <w:szCs w:val="20"/>
        </w:rPr>
        <w:t>prawa, jak również</w:t>
      </w:r>
      <w:r w:rsidR="00740062" w:rsidRPr="00997591">
        <w:rPr>
          <w:rFonts w:ascii="Verdana" w:hAnsi="Verdana"/>
          <w:sz w:val="20"/>
          <w:szCs w:val="20"/>
        </w:rPr>
        <w:t xml:space="preserve"> na przyjęte </w:t>
      </w:r>
      <w:r w:rsidR="004D443C" w:rsidRPr="00997591">
        <w:rPr>
          <w:rFonts w:ascii="Verdana" w:hAnsi="Verdana"/>
          <w:sz w:val="20"/>
          <w:szCs w:val="20"/>
        </w:rPr>
        <w:t xml:space="preserve">przez poszczególne </w:t>
      </w:r>
      <w:r w:rsidR="006528C7" w:rsidRPr="00997591">
        <w:rPr>
          <w:rFonts w:ascii="Verdana" w:hAnsi="Verdana"/>
          <w:sz w:val="20"/>
          <w:szCs w:val="20"/>
        </w:rPr>
        <w:t>podmioty</w:t>
      </w:r>
      <w:r w:rsidR="00997591">
        <w:rPr>
          <w:rFonts w:ascii="Verdana" w:hAnsi="Verdana"/>
          <w:sz w:val="20"/>
          <w:szCs w:val="20"/>
        </w:rPr>
        <w:t xml:space="preserve"> </w:t>
      </w:r>
      <w:r w:rsidR="00740062" w:rsidRPr="00997591">
        <w:rPr>
          <w:rFonts w:ascii="Verdana" w:hAnsi="Verdana"/>
          <w:sz w:val="20"/>
          <w:szCs w:val="20"/>
        </w:rPr>
        <w:t xml:space="preserve">sposoby </w:t>
      </w:r>
      <w:r w:rsidR="00B25034" w:rsidRPr="00997591">
        <w:rPr>
          <w:rFonts w:ascii="Verdana" w:hAnsi="Verdana"/>
          <w:sz w:val="20"/>
          <w:szCs w:val="20"/>
        </w:rPr>
        <w:t>realizacji</w:t>
      </w:r>
      <w:r w:rsidR="00997591">
        <w:rPr>
          <w:rFonts w:ascii="Verdana" w:hAnsi="Verdana"/>
          <w:sz w:val="20"/>
          <w:szCs w:val="20"/>
        </w:rPr>
        <w:t xml:space="preserve"> </w:t>
      </w:r>
      <w:r w:rsidR="003741F8" w:rsidRPr="00997591">
        <w:rPr>
          <w:rFonts w:ascii="Verdana" w:hAnsi="Verdana"/>
          <w:sz w:val="20"/>
          <w:szCs w:val="20"/>
        </w:rPr>
        <w:t xml:space="preserve">swoich </w:t>
      </w:r>
      <w:r w:rsidR="00B25034" w:rsidRPr="00997591">
        <w:rPr>
          <w:rFonts w:ascii="Verdana" w:hAnsi="Verdana"/>
          <w:sz w:val="20"/>
          <w:szCs w:val="20"/>
        </w:rPr>
        <w:t>zadań</w:t>
      </w:r>
      <w:r w:rsidR="001B0176" w:rsidRPr="00997591">
        <w:rPr>
          <w:rFonts w:ascii="Verdana" w:hAnsi="Verdana"/>
          <w:sz w:val="20"/>
          <w:szCs w:val="20"/>
        </w:rPr>
        <w:t>.</w:t>
      </w:r>
      <w:r w:rsidR="00997591">
        <w:rPr>
          <w:rFonts w:ascii="Verdana" w:hAnsi="Verdana"/>
          <w:sz w:val="20"/>
          <w:szCs w:val="20"/>
        </w:rPr>
        <w:t xml:space="preserve"> </w:t>
      </w:r>
      <w:r w:rsidR="00E86499" w:rsidRPr="00997591">
        <w:rPr>
          <w:rFonts w:ascii="Verdana" w:hAnsi="Verdana"/>
          <w:sz w:val="20"/>
          <w:szCs w:val="20"/>
        </w:rPr>
        <w:t>Przykładem tego mogą być</w:t>
      </w:r>
      <w:r w:rsidR="00E26C33" w:rsidRPr="00997591">
        <w:rPr>
          <w:rFonts w:ascii="Verdana" w:hAnsi="Verdana"/>
          <w:sz w:val="20"/>
          <w:szCs w:val="20"/>
        </w:rPr>
        <w:t xml:space="preserve"> np.</w:t>
      </w:r>
      <w:r w:rsidR="00997591">
        <w:rPr>
          <w:rFonts w:ascii="Verdana" w:hAnsi="Verdana"/>
          <w:sz w:val="20"/>
          <w:szCs w:val="20"/>
        </w:rPr>
        <w:t xml:space="preserve"> </w:t>
      </w:r>
      <w:r w:rsidR="00E26C33" w:rsidRPr="00997591">
        <w:rPr>
          <w:rFonts w:ascii="Verdana" w:hAnsi="Verdana"/>
          <w:sz w:val="20"/>
          <w:szCs w:val="20"/>
        </w:rPr>
        <w:t>niektóre</w:t>
      </w:r>
      <w:r w:rsidR="00997591">
        <w:rPr>
          <w:rFonts w:ascii="Verdana" w:hAnsi="Verdana"/>
          <w:sz w:val="20"/>
          <w:szCs w:val="20"/>
        </w:rPr>
        <w:t xml:space="preserve"> </w:t>
      </w:r>
      <w:r w:rsidR="002754A9" w:rsidRPr="00997591">
        <w:rPr>
          <w:rFonts w:ascii="Verdana" w:hAnsi="Verdana"/>
          <w:sz w:val="20"/>
          <w:szCs w:val="20"/>
        </w:rPr>
        <w:t>uczelnie</w:t>
      </w:r>
      <w:r w:rsidR="00997591">
        <w:rPr>
          <w:rFonts w:ascii="Verdana" w:hAnsi="Verdana"/>
          <w:sz w:val="20"/>
          <w:szCs w:val="20"/>
        </w:rPr>
        <w:t xml:space="preserve"> </w:t>
      </w:r>
      <w:r w:rsidR="00952D53" w:rsidRPr="00997591">
        <w:rPr>
          <w:rFonts w:ascii="Verdana" w:hAnsi="Verdana"/>
          <w:sz w:val="20"/>
          <w:szCs w:val="20"/>
        </w:rPr>
        <w:t xml:space="preserve">wyższe </w:t>
      </w:r>
      <w:r w:rsidR="001B0176" w:rsidRPr="00997591">
        <w:rPr>
          <w:rFonts w:ascii="Verdana" w:hAnsi="Verdana"/>
          <w:sz w:val="20"/>
          <w:szCs w:val="20"/>
        </w:rPr>
        <w:t>w mieście</w:t>
      </w:r>
      <w:r w:rsidR="00E86499" w:rsidRPr="00997591">
        <w:rPr>
          <w:rFonts w:ascii="Verdana" w:hAnsi="Verdana"/>
          <w:sz w:val="20"/>
          <w:szCs w:val="20"/>
        </w:rPr>
        <w:t>, które</w:t>
      </w:r>
      <w:r w:rsidR="00997591">
        <w:rPr>
          <w:rFonts w:ascii="Verdana" w:hAnsi="Verdana"/>
          <w:sz w:val="20"/>
          <w:szCs w:val="20"/>
        </w:rPr>
        <w:t xml:space="preserve"> </w:t>
      </w:r>
      <w:r w:rsidR="00952D53" w:rsidRPr="00997591">
        <w:rPr>
          <w:rFonts w:ascii="Verdana" w:hAnsi="Verdana"/>
          <w:sz w:val="20"/>
          <w:szCs w:val="20"/>
        </w:rPr>
        <w:t xml:space="preserve">od początku </w:t>
      </w:r>
      <w:r w:rsidR="00EB5AD0" w:rsidRPr="00997591">
        <w:rPr>
          <w:rFonts w:ascii="Verdana" w:hAnsi="Verdana"/>
          <w:sz w:val="20"/>
          <w:szCs w:val="20"/>
        </w:rPr>
        <w:t xml:space="preserve">epidemii </w:t>
      </w:r>
      <w:r w:rsidR="0096688E" w:rsidRPr="00997591">
        <w:rPr>
          <w:rFonts w:ascii="Verdana" w:hAnsi="Verdana"/>
          <w:sz w:val="20"/>
          <w:szCs w:val="20"/>
        </w:rPr>
        <w:t xml:space="preserve">do końca roku akademickiego 2021/2022 </w:t>
      </w:r>
      <w:r w:rsidR="00E86499" w:rsidRPr="00997591">
        <w:rPr>
          <w:rFonts w:ascii="Verdana" w:hAnsi="Verdana"/>
          <w:sz w:val="20"/>
          <w:szCs w:val="20"/>
        </w:rPr>
        <w:t xml:space="preserve">kontynuowały </w:t>
      </w:r>
      <w:r w:rsidR="001B0176" w:rsidRPr="00997591">
        <w:rPr>
          <w:rFonts w:ascii="Verdana" w:hAnsi="Verdana"/>
          <w:sz w:val="20"/>
          <w:szCs w:val="20"/>
        </w:rPr>
        <w:t>naukę w systemie zdalnym bądź hybrydowym, co prze</w:t>
      </w:r>
      <w:r w:rsidR="00861E6A" w:rsidRPr="00997591">
        <w:rPr>
          <w:rFonts w:ascii="Verdana" w:hAnsi="Verdana"/>
          <w:sz w:val="20"/>
          <w:szCs w:val="20"/>
        </w:rPr>
        <w:t>łożyło</w:t>
      </w:r>
      <w:r w:rsidR="001B0176" w:rsidRPr="00997591">
        <w:rPr>
          <w:rFonts w:ascii="Verdana" w:hAnsi="Verdana"/>
          <w:sz w:val="20"/>
          <w:szCs w:val="20"/>
        </w:rPr>
        <w:t xml:space="preserve"> się na liczbę studentów </w:t>
      </w:r>
      <w:r w:rsidR="00121CB6" w:rsidRPr="00997591">
        <w:rPr>
          <w:rFonts w:ascii="Verdana" w:hAnsi="Verdana"/>
          <w:sz w:val="20"/>
          <w:szCs w:val="20"/>
        </w:rPr>
        <w:t xml:space="preserve">przebywających </w:t>
      </w:r>
      <w:r w:rsidR="00425498" w:rsidRPr="00997591">
        <w:rPr>
          <w:rFonts w:ascii="Verdana" w:hAnsi="Verdana"/>
          <w:sz w:val="20"/>
          <w:szCs w:val="20"/>
        </w:rPr>
        <w:t xml:space="preserve">w tym czasie </w:t>
      </w:r>
      <w:r w:rsidR="001B0176" w:rsidRPr="00997591">
        <w:rPr>
          <w:rFonts w:ascii="Verdana" w:hAnsi="Verdana"/>
          <w:sz w:val="20"/>
          <w:szCs w:val="20"/>
        </w:rPr>
        <w:t>we Wrocławiu, a tym samym na sprzedaż biletów (zwłaszcza okresowych</w:t>
      </w:r>
      <w:r w:rsidR="00D97FF5" w:rsidRPr="00997591">
        <w:rPr>
          <w:rFonts w:ascii="Verdana" w:hAnsi="Verdana"/>
          <w:sz w:val="20"/>
          <w:szCs w:val="20"/>
        </w:rPr>
        <w:t>, w tym semestralnych</w:t>
      </w:r>
      <w:r w:rsidR="001B0176" w:rsidRPr="00997591">
        <w:rPr>
          <w:rFonts w:ascii="Verdana" w:hAnsi="Verdana"/>
          <w:sz w:val="20"/>
          <w:szCs w:val="20"/>
        </w:rPr>
        <w:t>)</w:t>
      </w:r>
      <w:r w:rsidR="00121CB6" w:rsidRPr="00997591">
        <w:rPr>
          <w:rFonts w:ascii="Verdana" w:hAnsi="Verdana"/>
          <w:sz w:val="20"/>
          <w:szCs w:val="20"/>
        </w:rPr>
        <w:t xml:space="preserve">. Analogiczne </w:t>
      </w:r>
      <w:r w:rsidR="000166EA" w:rsidRPr="00997591">
        <w:rPr>
          <w:rFonts w:ascii="Verdana" w:hAnsi="Verdana"/>
          <w:sz w:val="20"/>
          <w:szCs w:val="20"/>
        </w:rPr>
        <w:t>decyzje</w:t>
      </w:r>
      <w:r w:rsidR="001F53FD" w:rsidRPr="00997591">
        <w:rPr>
          <w:rFonts w:ascii="Verdana" w:hAnsi="Verdana"/>
          <w:sz w:val="20"/>
          <w:szCs w:val="20"/>
        </w:rPr>
        <w:t>, których skutki miały odzwierciedlenie w zmniejszeniu sprzedaży biletów</w:t>
      </w:r>
      <w:r w:rsidR="00D55023" w:rsidRPr="00997591">
        <w:rPr>
          <w:rFonts w:ascii="Verdana" w:hAnsi="Verdana"/>
          <w:sz w:val="20"/>
          <w:szCs w:val="20"/>
        </w:rPr>
        <w:t>,</w:t>
      </w:r>
      <w:r w:rsidR="0028072C">
        <w:rPr>
          <w:rFonts w:ascii="Verdana" w:hAnsi="Verdana"/>
          <w:sz w:val="20"/>
          <w:szCs w:val="20"/>
        </w:rPr>
        <w:t xml:space="preserve"> </w:t>
      </w:r>
      <w:r w:rsidR="000166EA" w:rsidRPr="00997591">
        <w:rPr>
          <w:rFonts w:ascii="Verdana" w:hAnsi="Verdana"/>
          <w:sz w:val="20"/>
          <w:szCs w:val="20"/>
        </w:rPr>
        <w:t>podjęło</w:t>
      </w:r>
      <w:r w:rsidR="00121CB6" w:rsidRPr="00997591">
        <w:rPr>
          <w:rFonts w:ascii="Verdana" w:hAnsi="Verdana"/>
          <w:sz w:val="20"/>
          <w:szCs w:val="20"/>
        </w:rPr>
        <w:t xml:space="preserve"> wiel</w:t>
      </w:r>
      <w:r w:rsidR="000166EA" w:rsidRPr="00997591">
        <w:rPr>
          <w:rFonts w:ascii="Verdana" w:hAnsi="Verdana"/>
          <w:sz w:val="20"/>
          <w:szCs w:val="20"/>
        </w:rPr>
        <w:t>e przedsiębiorstw</w:t>
      </w:r>
      <w:r w:rsidR="00121CB6" w:rsidRPr="00997591">
        <w:rPr>
          <w:rFonts w:ascii="Verdana" w:hAnsi="Verdana"/>
          <w:sz w:val="20"/>
          <w:szCs w:val="20"/>
        </w:rPr>
        <w:t>, a część z nich (</w:t>
      </w:r>
      <w:r w:rsidR="0096688E" w:rsidRPr="00997591">
        <w:rPr>
          <w:rFonts w:ascii="Verdana" w:hAnsi="Verdana"/>
          <w:sz w:val="20"/>
          <w:szCs w:val="20"/>
        </w:rPr>
        <w:t>szczególnie</w:t>
      </w:r>
      <w:r w:rsidR="00121CB6" w:rsidRPr="00997591">
        <w:rPr>
          <w:rFonts w:ascii="Verdana" w:hAnsi="Verdana"/>
          <w:sz w:val="20"/>
          <w:szCs w:val="20"/>
        </w:rPr>
        <w:t xml:space="preserve"> w sektorze</w:t>
      </w:r>
      <w:r w:rsidR="00997591">
        <w:rPr>
          <w:rFonts w:ascii="Verdana" w:hAnsi="Verdana"/>
          <w:sz w:val="20"/>
          <w:szCs w:val="20"/>
        </w:rPr>
        <w:t xml:space="preserve"> technologii informatycznych -</w:t>
      </w:r>
      <w:r w:rsidR="00121CB6" w:rsidRPr="00997591">
        <w:rPr>
          <w:rFonts w:ascii="Verdana" w:hAnsi="Verdana"/>
          <w:sz w:val="20"/>
          <w:szCs w:val="20"/>
        </w:rPr>
        <w:t xml:space="preserve"> IT) do </w:t>
      </w:r>
      <w:r w:rsidR="000166EA" w:rsidRPr="00997591">
        <w:rPr>
          <w:rFonts w:ascii="Verdana" w:hAnsi="Verdana"/>
          <w:sz w:val="20"/>
          <w:szCs w:val="20"/>
        </w:rPr>
        <w:t xml:space="preserve">dzisiaj </w:t>
      </w:r>
      <w:r w:rsidR="0096688E" w:rsidRPr="00997591">
        <w:rPr>
          <w:rFonts w:ascii="Verdana" w:hAnsi="Verdana"/>
          <w:sz w:val="20"/>
          <w:szCs w:val="20"/>
        </w:rPr>
        <w:t xml:space="preserve">działa </w:t>
      </w:r>
      <w:r w:rsidR="000166EA" w:rsidRPr="00997591">
        <w:rPr>
          <w:rFonts w:ascii="Verdana" w:hAnsi="Verdana"/>
          <w:sz w:val="20"/>
          <w:szCs w:val="20"/>
        </w:rPr>
        <w:t>w trybie</w:t>
      </w:r>
      <w:r w:rsidR="00121CB6" w:rsidRPr="00997591">
        <w:rPr>
          <w:rFonts w:ascii="Verdana" w:hAnsi="Verdana"/>
          <w:sz w:val="20"/>
          <w:szCs w:val="20"/>
        </w:rPr>
        <w:t xml:space="preserve"> pracy zdalnej, bądź hybrydowej.</w:t>
      </w:r>
    </w:p>
    <w:p w:rsidR="00BE7A83" w:rsidRPr="00997591" w:rsidRDefault="00CD6811" w:rsidP="00997591">
      <w:pPr>
        <w:spacing w:line="288" w:lineRule="auto"/>
        <w:rPr>
          <w:rFonts w:ascii="Verdana" w:hAnsi="Verdana"/>
          <w:sz w:val="20"/>
          <w:szCs w:val="20"/>
        </w:rPr>
      </w:pPr>
      <w:r w:rsidRPr="00997591">
        <w:rPr>
          <w:rFonts w:ascii="Verdana" w:hAnsi="Verdana"/>
          <w:sz w:val="20"/>
          <w:szCs w:val="20"/>
        </w:rPr>
        <w:t>Na marginesie</w:t>
      </w:r>
      <w:r w:rsidR="003432DC" w:rsidRPr="00997591">
        <w:rPr>
          <w:rFonts w:ascii="Verdana" w:hAnsi="Verdana"/>
          <w:sz w:val="20"/>
          <w:szCs w:val="20"/>
        </w:rPr>
        <w:t>,</w:t>
      </w:r>
      <w:r w:rsidR="00D97FF5" w:rsidRPr="00997591">
        <w:rPr>
          <w:rFonts w:ascii="Verdana" w:hAnsi="Verdana"/>
          <w:sz w:val="20"/>
          <w:szCs w:val="20"/>
        </w:rPr>
        <w:t xml:space="preserve"> w </w:t>
      </w:r>
      <w:r w:rsidR="003432DC" w:rsidRPr="00997591">
        <w:rPr>
          <w:rFonts w:ascii="Verdana" w:hAnsi="Verdana"/>
          <w:sz w:val="20"/>
          <w:szCs w:val="20"/>
        </w:rPr>
        <w:t>zaprezentowanych</w:t>
      </w:r>
      <w:r w:rsidR="00D97FF5" w:rsidRPr="00997591">
        <w:rPr>
          <w:rFonts w:ascii="Verdana" w:hAnsi="Verdana"/>
          <w:sz w:val="20"/>
          <w:szCs w:val="20"/>
        </w:rPr>
        <w:t xml:space="preserve"> wynikach nie ujęto danych dotyczących biletów 7-dniowych „Nasz Wrocław”</w:t>
      </w:r>
      <w:r w:rsidR="0028072C">
        <w:rPr>
          <w:rFonts w:ascii="Verdana" w:hAnsi="Verdana"/>
          <w:sz w:val="20"/>
          <w:szCs w:val="20"/>
        </w:rPr>
        <w:t xml:space="preserve"> </w:t>
      </w:r>
      <w:r w:rsidR="00D97FF5" w:rsidRPr="00997591">
        <w:rPr>
          <w:rFonts w:ascii="Verdana" w:hAnsi="Verdana"/>
          <w:sz w:val="20"/>
          <w:szCs w:val="20"/>
        </w:rPr>
        <w:t xml:space="preserve">oraz biletów aglomeracyjnych, które </w:t>
      </w:r>
      <w:r w:rsidR="003432DC" w:rsidRPr="00997591">
        <w:rPr>
          <w:rFonts w:ascii="Verdana" w:hAnsi="Verdana"/>
          <w:sz w:val="20"/>
          <w:szCs w:val="20"/>
        </w:rPr>
        <w:t xml:space="preserve">są również biletami wrocławskiej komunikacji miejskiej, </w:t>
      </w:r>
      <w:r w:rsidR="000166EA" w:rsidRPr="00997591">
        <w:rPr>
          <w:rFonts w:ascii="Verdana" w:hAnsi="Verdana"/>
          <w:sz w:val="20"/>
          <w:szCs w:val="20"/>
        </w:rPr>
        <w:t>a ich</w:t>
      </w:r>
      <w:r w:rsidR="003432DC" w:rsidRPr="00997591">
        <w:rPr>
          <w:rFonts w:ascii="Verdana" w:hAnsi="Verdana"/>
          <w:sz w:val="20"/>
          <w:szCs w:val="20"/>
        </w:rPr>
        <w:t xml:space="preserve"> sprzedaż przekłada się </w:t>
      </w:r>
      <w:r w:rsidR="00D55023" w:rsidRPr="00997591">
        <w:rPr>
          <w:rFonts w:ascii="Verdana" w:hAnsi="Verdana"/>
          <w:sz w:val="20"/>
          <w:szCs w:val="20"/>
        </w:rPr>
        <w:t>bezpośrednio</w:t>
      </w:r>
      <w:r w:rsidR="003432DC" w:rsidRPr="00997591">
        <w:rPr>
          <w:rFonts w:ascii="Verdana" w:hAnsi="Verdana"/>
          <w:sz w:val="20"/>
          <w:szCs w:val="20"/>
        </w:rPr>
        <w:t xml:space="preserve"> na</w:t>
      </w:r>
      <w:r w:rsidR="00EA66B3" w:rsidRPr="00997591">
        <w:rPr>
          <w:rFonts w:ascii="Verdana" w:hAnsi="Verdana"/>
          <w:sz w:val="20"/>
          <w:szCs w:val="20"/>
        </w:rPr>
        <w:t xml:space="preserve"> prezentowane</w:t>
      </w:r>
      <w:r w:rsidR="003432DC" w:rsidRPr="00997591">
        <w:rPr>
          <w:rFonts w:ascii="Verdana" w:hAnsi="Verdana"/>
          <w:sz w:val="20"/>
          <w:szCs w:val="20"/>
        </w:rPr>
        <w:t xml:space="preserve"> liczb</w:t>
      </w:r>
      <w:r w:rsidR="00EA66B3" w:rsidRPr="00997591">
        <w:rPr>
          <w:rFonts w:ascii="Verdana" w:hAnsi="Verdana"/>
          <w:sz w:val="20"/>
          <w:szCs w:val="20"/>
        </w:rPr>
        <w:t>y</w:t>
      </w:r>
      <w:r w:rsidR="003432DC" w:rsidRPr="00997591">
        <w:rPr>
          <w:rFonts w:ascii="Verdana" w:hAnsi="Verdana"/>
          <w:sz w:val="20"/>
          <w:szCs w:val="20"/>
        </w:rPr>
        <w:t xml:space="preserve"> pasażerów.</w:t>
      </w:r>
    </w:p>
    <w:p w:rsidR="00845EEB" w:rsidRPr="00997591" w:rsidRDefault="00CF766F" w:rsidP="00997591">
      <w:pPr>
        <w:spacing w:line="288" w:lineRule="auto"/>
        <w:rPr>
          <w:rFonts w:ascii="Verdana" w:hAnsi="Verdana"/>
          <w:sz w:val="20"/>
          <w:szCs w:val="20"/>
        </w:rPr>
      </w:pPr>
      <w:r w:rsidRPr="00997591">
        <w:rPr>
          <w:rFonts w:ascii="Verdana" w:hAnsi="Verdana"/>
          <w:sz w:val="20"/>
          <w:szCs w:val="20"/>
        </w:rPr>
        <w:t>Podsumowując</w:t>
      </w:r>
      <w:r w:rsidR="00BF2371" w:rsidRPr="00997591">
        <w:rPr>
          <w:rFonts w:ascii="Verdana" w:hAnsi="Verdana"/>
          <w:sz w:val="20"/>
          <w:szCs w:val="20"/>
        </w:rPr>
        <w:t>: m</w:t>
      </w:r>
      <w:r w:rsidR="00845EEB" w:rsidRPr="00997591">
        <w:rPr>
          <w:rFonts w:ascii="Verdana" w:hAnsi="Verdana"/>
          <w:sz w:val="20"/>
          <w:szCs w:val="20"/>
        </w:rPr>
        <w:t>imo trwającego do maja 2022 r. okresu pandemii</w:t>
      </w:r>
      <w:r w:rsidR="000166EA" w:rsidRPr="00997591">
        <w:rPr>
          <w:rFonts w:ascii="Verdana" w:hAnsi="Verdana"/>
          <w:sz w:val="20"/>
          <w:szCs w:val="20"/>
        </w:rPr>
        <w:t xml:space="preserve"> i szeregu </w:t>
      </w:r>
      <w:r w:rsidR="00636A6A" w:rsidRPr="00997591">
        <w:rPr>
          <w:rFonts w:ascii="Verdana" w:hAnsi="Verdana"/>
          <w:sz w:val="20"/>
          <w:szCs w:val="20"/>
        </w:rPr>
        <w:t xml:space="preserve">wynikających z tego </w:t>
      </w:r>
      <w:r w:rsidR="000166EA" w:rsidRPr="00997591">
        <w:rPr>
          <w:rFonts w:ascii="Verdana" w:hAnsi="Verdana"/>
          <w:sz w:val="20"/>
          <w:szCs w:val="20"/>
        </w:rPr>
        <w:t>ograniczeń</w:t>
      </w:r>
      <w:r w:rsidR="0028072C">
        <w:rPr>
          <w:rFonts w:ascii="Verdana" w:hAnsi="Verdana"/>
          <w:sz w:val="20"/>
          <w:szCs w:val="20"/>
        </w:rPr>
        <w:t xml:space="preserve"> </w:t>
      </w:r>
      <w:r w:rsidR="00636A6A" w:rsidRPr="00997591">
        <w:rPr>
          <w:rFonts w:ascii="Verdana" w:hAnsi="Verdana"/>
          <w:sz w:val="20"/>
          <w:szCs w:val="20"/>
        </w:rPr>
        <w:t>w komunikacji miejskiej</w:t>
      </w:r>
      <w:r w:rsidR="000166EA" w:rsidRPr="00997591">
        <w:rPr>
          <w:rFonts w:ascii="Verdana" w:hAnsi="Verdana"/>
          <w:sz w:val="20"/>
          <w:szCs w:val="20"/>
        </w:rPr>
        <w:t xml:space="preserve">, wprowadzona </w:t>
      </w:r>
      <w:r w:rsidR="00812D45" w:rsidRPr="00997591">
        <w:rPr>
          <w:rFonts w:ascii="Verdana" w:hAnsi="Verdana"/>
          <w:sz w:val="20"/>
          <w:szCs w:val="20"/>
        </w:rPr>
        <w:t xml:space="preserve">od 1 stycznia 2021 r. </w:t>
      </w:r>
      <w:r w:rsidR="00845EEB" w:rsidRPr="00997591">
        <w:rPr>
          <w:rFonts w:ascii="Verdana" w:hAnsi="Verdana"/>
          <w:sz w:val="20"/>
          <w:szCs w:val="20"/>
        </w:rPr>
        <w:t>uchwałą nr</w:t>
      </w:r>
      <w:r w:rsidR="007131F0" w:rsidRPr="00997591">
        <w:rPr>
          <w:rFonts w:ascii="Verdana" w:hAnsi="Verdana"/>
          <w:sz w:val="20"/>
          <w:szCs w:val="20"/>
        </w:rPr>
        <w:t xml:space="preserve"> XXV/670/20 Rady Miejskiej Wrocławia z dnia 23 lipca 2020 r. </w:t>
      </w:r>
      <w:r w:rsidR="006B6826" w:rsidRPr="00997591">
        <w:rPr>
          <w:rFonts w:ascii="Verdana" w:hAnsi="Verdana"/>
          <w:sz w:val="20"/>
          <w:szCs w:val="20"/>
        </w:rPr>
        <w:t xml:space="preserve">zmiana cen biletów </w:t>
      </w:r>
      <w:r w:rsidR="00845EEB" w:rsidRPr="00997591">
        <w:rPr>
          <w:rFonts w:ascii="Verdana" w:hAnsi="Verdana"/>
          <w:sz w:val="20"/>
          <w:szCs w:val="20"/>
        </w:rPr>
        <w:t>przyniosła</w:t>
      </w:r>
      <w:r w:rsidR="0028072C">
        <w:rPr>
          <w:rFonts w:ascii="Verdana" w:hAnsi="Verdana"/>
          <w:sz w:val="20"/>
          <w:szCs w:val="20"/>
        </w:rPr>
        <w:t xml:space="preserve"> </w:t>
      </w:r>
      <w:r w:rsidR="00BF2371" w:rsidRPr="00997591">
        <w:rPr>
          <w:rFonts w:ascii="Verdana" w:hAnsi="Verdana"/>
          <w:sz w:val="20"/>
          <w:szCs w:val="20"/>
        </w:rPr>
        <w:t xml:space="preserve">w roku 2021 i 2022 </w:t>
      </w:r>
      <w:r w:rsidR="000166EA" w:rsidRPr="00997591">
        <w:rPr>
          <w:rFonts w:ascii="Verdana" w:hAnsi="Verdana"/>
          <w:sz w:val="20"/>
          <w:szCs w:val="20"/>
        </w:rPr>
        <w:t>prognozowane</w:t>
      </w:r>
      <w:r w:rsidR="0028072C">
        <w:rPr>
          <w:rFonts w:ascii="Verdana" w:hAnsi="Verdana"/>
          <w:sz w:val="20"/>
          <w:szCs w:val="20"/>
        </w:rPr>
        <w:t xml:space="preserve"> </w:t>
      </w:r>
      <w:r w:rsidR="000166EA" w:rsidRPr="00997591">
        <w:rPr>
          <w:rFonts w:ascii="Verdana" w:hAnsi="Verdana"/>
          <w:sz w:val="20"/>
          <w:szCs w:val="20"/>
        </w:rPr>
        <w:t xml:space="preserve">zmiany w budżecie Gminy (wzrost </w:t>
      </w:r>
      <w:r w:rsidR="00D4478C" w:rsidRPr="00997591">
        <w:rPr>
          <w:rFonts w:ascii="Verdana" w:hAnsi="Verdana"/>
          <w:sz w:val="20"/>
          <w:szCs w:val="20"/>
        </w:rPr>
        <w:t xml:space="preserve">rocznej wartości sprzedanych biletów </w:t>
      </w:r>
      <w:r w:rsidR="000166EA" w:rsidRPr="00997591">
        <w:rPr>
          <w:rFonts w:ascii="Verdana" w:hAnsi="Verdana"/>
          <w:sz w:val="20"/>
          <w:szCs w:val="20"/>
        </w:rPr>
        <w:t xml:space="preserve">o </w:t>
      </w:r>
      <w:r w:rsidR="00D4478C" w:rsidRPr="00997591">
        <w:rPr>
          <w:rFonts w:ascii="Verdana" w:hAnsi="Verdana"/>
          <w:sz w:val="20"/>
          <w:szCs w:val="20"/>
        </w:rPr>
        <w:t>35,7 mln zł, a następnie o 47,4 mln zł).</w:t>
      </w:r>
    </w:p>
    <w:p w:rsidR="00BF2371" w:rsidRPr="00997591" w:rsidRDefault="003432DC" w:rsidP="00997591">
      <w:pPr>
        <w:spacing w:line="288" w:lineRule="auto"/>
        <w:rPr>
          <w:rFonts w:ascii="Verdana" w:hAnsi="Verdana"/>
          <w:sz w:val="20"/>
          <w:szCs w:val="20"/>
        </w:rPr>
      </w:pPr>
      <w:r w:rsidRPr="00997591">
        <w:rPr>
          <w:rFonts w:ascii="Verdana" w:hAnsi="Verdana"/>
          <w:sz w:val="20"/>
          <w:szCs w:val="20"/>
        </w:rPr>
        <w:t xml:space="preserve">Odnosząc się do wskazywanej przez autora petycji liczby pasażerów należy zwrócić uwagę, że </w:t>
      </w:r>
      <w:r w:rsidR="007131F0" w:rsidRPr="00997591">
        <w:rPr>
          <w:rFonts w:ascii="Verdana" w:hAnsi="Verdana"/>
          <w:sz w:val="20"/>
          <w:szCs w:val="20"/>
        </w:rPr>
        <w:t xml:space="preserve">określa się ją w sposób statystyczny według </w:t>
      </w:r>
      <w:r w:rsidR="00D4478C" w:rsidRPr="00997591">
        <w:rPr>
          <w:rFonts w:ascii="Verdana" w:hAnsi="Verdana"/>
          <w:sz w:val="20"/>
          <w:szCs w:val="20"/>
        </w:rPr>
        <w:t xml:space="preserve">algorytmów liczenia </w:t>
      </w:r>
      <w:r w:rsidR="00104046" w:rsidRPr="00997591">
        <w:rPr>
          <w:rFonts w:ascii="Verdana" w:hAnsi="Verdana"/>
          <w:sz w:val="20"/>
          <w:szCs w:val="20"/>
        </w:rPr>
        <w:t>(</w:t>
      </w:r>
      <w:r w:rsidR="005D15E0" w:rsidRPr="00997591">
        <w:rPr>
          <w:rFonts w:ascii="Verdana" w:hAnsi="Verdana"/>
          <w:sz w:val="20"/>
          <w:szCs w:val="20"/>
        </w:rPr>
        <w:t xml:space="preserve">określanych </w:t>
      </w:r>
      <w:r w:rsidR="00104046" w:rsidRPr="00997591">
        <w:rPr>
          <w:rFonts w:ascii="Verdana" w:hAnsi="Verdana"/>
          <w:sz w:val="20"/>
          <w:szCs w:val="20"/>
        </w:rPr>
        <w:t xml:space="preserve">przez </w:t>
      </w:r>
      <w:r w:rsidR="007131F0" w:rsidRPr="00997591">
        <w:rPr>
          <w:rFonts w:ascii="Verdana" w:hAnsi="Verdana"/>
          <w:sz w:val="20"/>
          <w:szCs w:val="20"/>
        </w:rPr>
        <w:t>Główny Urząd Statystyczny</w:t>
      </w:r>
      <w:r w:rsidR="00D40BC8" w:rsidRPr="00997591">
        <w:rPr>
          <w:rFonts w:ascii="Verdana" w:hAnsi="Verdana"/>
          <w:sz w:val="20"/>
          <w:szCs w:val="20"/>
        </w:rPr>
        <w:t>)</w:t>
      </w:r>
      <w:r w:rsidR="000E0A09" w:rsidRPr="00997591">
        <w:rPr>
          <w:rFonts w:ascii="Verdana" w:hAnsi="Verdana"/>
          <w:sz w:val="20"/>
          <w:szCs w:val="20"/>
        </w:rPr>
        <w:t>,</w:t>
      </w:r>
      <w:r w:rsidR="007131F0" w:rsidRPr="00997591">
        <w:rPr>
          <w:rFonts w:ascii="Verdana" w:hAnsi="Verdana"/>
          <w:sz w:val="20"/>
          <w:szCs w:val="20"/>
        </w:rPr>
        <w:t>opierających się na</w:t>
      </w:r>
      <w:r w:rsidR="00997591">
        <w:rPr>
          <w:rFonts w:ascii="Verdana" w:hAnsi="Verdana"/>
          <w:sz w:val="20"/>
          <w:szCs w:val="20"/>
        </w:rPr>
        <w:t xml:space="preserve"> </w:t>
      </w:r>
      <w:r w:rsidR="0004405E" w:rsidRPr="00997591">
        <w:rPr>
          <w:rFonts w:ascii="Verdana" w:hAnsi="Verdana"/>
          <w:sz w:val="20"/>
          <w:szCs w:val="20"/>
        </w:rPr>
        <w:t>struktu</w:t>
      </w:r>
      <w:r w:rsidR="007131F0" w:rsidRPr="00997591">
        <w:rPr>
          <w:rFonts w:ascii="Verdana" w:hAnsi="Verdana"/>
          <w:sz w:val="20"/>
          <w:szCs w:val="20"/>
        </w:rPr>
        <w:t>rze</w:t>
      </w:r>
      <w:r w:rsidR="00997591">
        <w:rPr>
          <w:rFonts w:ascii="Verdana" w:hAnsi="Verdana"/>
          <w:sz w:val="20"/>
          <w:szCs w:val="20"/>
        </w:rPr>
        <w:t xml:space="preserve"> </w:t>
      </w:r>
      <w:r w:rsidRPr="00997591">
        <w:rPr>
          <w:rFonts w:ascii="Verdana" w:hAnsi="Verdana"/>
          <w:sz w:val="20"/>
          <w:szCs w:val="20"/>
        </w:rPr>
        <w:t xml:space="preserve">sprzedaży biletów. </w:t>
      </w:r>
      <w:r w:rsidR="00BF2371" w:rsidRPr="00997591">
        <w:rPr>
          <w:rFonts w:ascii="Verdana" w:hAnsi="Verdana"/>
          <w:sz w:val="20"/>
          <w:szCs w:val="20"/>
        </w:rPr>
        <w:t>Szacowane w ten sposób liczby pasażerów w latach 2011-2018 przedstawia poniższa tabela:</w:t>
      </w:r>
    </w:p>
    <w:tbl>
      <w:tblPr>
        <w:tblStyle w:val="Tabela-Siatka"/>
        <w:tblW w:w="0" w:type="auto"/>
        <w:tblLook w:val="04A0"/>
      </w:tblPr>
      <w:tblGrid>
        <w:gridCol w:w="1129"/>
        <w:gridCol w:w="1560"/>
      </w:tblGrid>
      <w:tr w:rsidR="00BF2371" w:rsidRPr="00997591" w:rsidTr="00EB6851">
        <w:tc>
          <w:tcPr>
            <w:tcW w:w="1129" w:type="dxa"/>
          </w:tcPr>
          <w:p w:rsidR="00BF2371" w:rsidRPr="00997591" w:rsidRDefault="00BF2371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2011</w:t>
            </w:r>
          </w:p>
        </w:tc>
        <w:tc>
          <w:tcPr>
            <w:tcW w:w="1560" w:type="dxa"/>
          </w:tcPr>
          <w:p w:rsidR="00BF2371" w:rsidRPr="00997591" w:rsidRDefault="00BF2371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 w:cs="Calibri"/>
                <w:color w:val="000000"/>
                <w:sz w:val="20"/>
                <w:szCs w:val="20"/>
              </w:rPr>
              <w:t>173, 4 mln</w:t>
            </w:r>
          </w:p>
        </w:tc>
      </w:tr>
      <w:tr w:rsidR="00BF2371" w:rsidRPr="00997591" w:rsidTr="00EB6851">
        <w:tc>
          <w:tcPr>
            <w:tcW w:w="1129" w:type="dxa"/>
          </w:tcPr>
          <w:p w:rsidR="00BF2371" w:rsidRPr="00997591" w:rsidRDefault="00BF2371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2012</w:t>
            </w:r>
          </w:p>
        </w:tc>
        <w:tc>
          <w:tcPr>
            <w:tcW w:w="1560" w:type="dxa"/>
          </w:tcPr>
          <w:p w:rsidR="00BF2371" w:rsidRPr="00997591" w:rsidRDefault="00BF2371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 w:cs="Calibri"/>
                <w:color w:val="000000"/>
                <w:sz w:val="20"/>
                <w:szCs w:val="20"/>
              </w:rPr>
              <w:t>186,9 mln</w:t>
            </w:r>
          </w:p>
        </w:tc>
      </w:tr>
      <w:tr w:rsidR="00BF2371" w:rsidRPr="00997591" w:rsidTr="00EB6851">
        <w:tc>
          <w:tcPr>
            <w:tcW w:w="1129" w:type="dxa"/>
          </w:tcPr>
          <w:p w:rsidR="00BF2371" w:rsidRPr="00997591" w:rsidRDefault="00BF2371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2013</w:t>
            </w:r>
          </w:p>
        </w:tc>
        <w:tc>
          <w:tcPr>
            <w:tcW w:w="1560" w:type="dxa"/>
          </w:tcPr>
          <w:p w:rsidR="00BF2371" w:rsidRPr="00997591" w:rsidRDefault="00BF2371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 w:cs="Calibri"/>
                <w:color w:val="000000"/>
                <w:sz w:val="20"/>
                <w:szCs w:val="20"/>
              </w:rPr>
              <w:t>192,9 mln</w:t>
            </w:r>
          </w:p>
        </w:tc>
      </w:tr>
      <w:tr w:rsidR="00BF2371" w:rsidRPr="00997591" w:rsidTr="00EB6851">
        <w:tc>
          <w:tcPr>
            <w:tcW w:w="1129" w:type="dxa"/>
          </w:tcPr>
          <w:p w:rsidR="00BF2371" w:rsidRPr="00997591" w:rsidRDefault="00BF2371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2014</w:t>
            </w:r>
          </w:p>
        </w:tc>
        <w:tc>
          <w:tcPr>
            <w:tcW w:w="1560" w:type="dxa"/>
          </w:tcPr>
          <w:p w:rsidR="00BF2371" w:rsidRPr="00997591" w:rsidRDefault="00BF2371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 w:cs="Calibri"/>
                <w:color w:val="000000"/>
                <w:sz w:val="20"/>
                <w:szCs w:val="20"/>
              </w:rPr>
              <w:t>195,9 mln</w:t>
            </w:r>
          </w:p>
        </w:tc>
      </w:tr>
      <w:tr w:rsidR="00BF2371" w:rsidRPr="00997591" w:rsidTr="00EB6851">
        <w:tc>
          <w:tcPr>
            <w:tcW w:w="1129" w:type="dxa"/>
          </w:tcPr>
          <w:p w:rsidR="00BF2371" w:rsidRPr="00997591" w:rsidRDefault="00BF2371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2015</w:t>
            </w:r>
          </w:p>
        </w:tc>
        <w:tc>
          <w:tcPr>
            <w:tcW w:w="1560" w:type="dxa"/>
          </w:tcPr>
          <w:p w:rsidR="00BF2371" w:rsidRPr="00997591" w:rsidRDefault="00BF2371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 w:cs="Calibri"/>
                <w:color w:val="000000"/>
                <w:sz w:val="20"/>
                <w:szCs w:val="20"/>
              </w:rPr>
              <w:t>199,9 mln</w:t>
            </w:r>
          </w:p>
        </w:tc>
      </w:tr>
      <w:tr w:rsidR="00BF2371" w:rsidRPr="00997591" w:rsidTr="00EB6851">
        <w:tc>
          <w:tcPr>
            <w:tcW w:w="1129" w:type="dxa"/>
          </w:tcPr>
          <w:p w:rsidR="00BF2371" w:rsidRPr="00997591" w:rsidRDefault="00BF2371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2016</w:t>
            </w:r>
          </w:p>
        </w:tc>
        <w:tc>
          <w:tcPr>
            <w:tcW w:w="1560" w:type="dxa"/>
          </w:tcPr>
          <w:p w:rsidR="00BF2371" w:rsidRPr="00997591" w:rsidRDefault="00BF2371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 w:cs="Calibri"/>
                <w:color w:val="000000"/>
                <w:sz w:val="20"/>
                <w:szCs w:val="20"/>
              </w:rPr>
              <w:t>202,4 mln</w:t>
            </w:r>
          </w:p>
        </w:tc>
      </w:tr>
      <w:tr w:rsidR="00BF2371" w:rsidRPr="00997591" w:rsidTr="00EB6851">
        <w:tc>
          <w:tcPr>
            <w:tcW w:w="1129" w:type="dxa"/>
          </w:tcPr>
          <w:p w:rsidR="00BF2371" w:rsidRPr="00997591" w:rsidRDefault="00BF2371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2017</w:t>
            </w:r>
          </w:p>
        </w:tc>
        <w:tc>
          <w:tcPr>
            <w:tcW w:w="1560" w:type="dxa"/>
          </w:tcPr>
          <w:p w:rsidR="00BF2371" w:rsidRPr="00997591" w:rsidRDefault="00BF2371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 w:cs="Calibri"/>
                <w:color w:val="000000"/>
                <w:sz w:val="20"/>
                <w:szCs w:val="20"/>
              </w:rPr>
              <w:t>207,2 mln</w:t>
            </w:r>
          </w:p>
        </w:tc>
      </w:tr>
      <w:tr w:rsidR="00BF2371" w:rsidRPr="00997591" w:rsidTr="00EB6851">
        <w:tc>
          <w:tcPr>
            <w:tcW w:w="1129" w:type="dxa"/>
          </w:tcPr>
          <w:p w:rsidR="00BF2371" w:rsidRPr="00997591" w:rsidRDefault="00BF2371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2018</w:t>
            </w:r>
          </w:p>
        </w:tc>
        <w:tc>
          <w:tcPr>
            <w:tcW w:w="1560" w:type="dxa"/>
          </w:tcPr>
          <w:p w:rsidR="00BF2371" w:rsidRPr="00997591" w:rsidRDefault="00BF2371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201,6 mln</w:t>
            </w:r>
          </w:p>
        </w:tc>
      </w:tr>
      <w:tr w:rsidR="00BF2371" w:rsidRPr="00997591" w:rsidTr="00EB6851">
        <w:tc>
          <w:tcPr>
            <w:tcW w:w="1129" w:type="dxa"/>
          </w:tcPr>
          <w:p w:rsidR="00BF2371" w:rsidRPr="00997591" w:rsidRDefault="00BF2371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2019</w:t>
            </w:r>
          </w:p>
        </w:tc>
        <w:tc>
          <w:tcPr>
            <w:tcW w:w="1560" w:type="dxa"/>
          </w:tcPr>
          <w:p w:rsidR="00BF2371" w:rsidRPr="00997591" w:rsidRDefault="00BF2371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192,4 mln</w:t>
            </w:r>
            <w:r w:rsidR="00C84149" w:rsidRPr="00997591">
              <w:rPr>
                <w:rFonts w:ascii="Verdana" w:hAnsi="Verdana"/>
                <w:sz w:val="20"/>
                <w:szCs w:val="20"/>
              </w:rPr>
              <w:t>*</w:t>
            </w:r>
          </w:p>
        </w:tc>
      </w:tr>
      <w:tr w:rsidR="00BF2371" w:rsidRPr="00997591" w:rsidTr="00EB6851">
        <w:tc>
          <w:tcPr>
            <w:tcW w:w="1129" w:type="dxa"/>
          </w:tcPr>
          <w:p w:rsidR="00BF2371" w:rsidRPr="00997591" w:rsidRDefault="00BF2371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2020</w:t>
            </w:r>
          </w:p>
        </w:tc>
        <w:tc>
          <w:tcPr>
            <w:tcW w:w="1560" w:type="dxa"/>
          </w:tcPr>
          <w:p w:rsidR="00BF2371" w:rsidRPr="00997591" w:rsidRDefault="00BF2371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121,3 mln</w:t>
            </w:r>
            <w:r w:rsidR="00C84149" w:rsidRPr="00997591">
              <w:rPr>
                <w:rFonts w:ascii="Verdana" w:hAnsi="Verdana"/>
                <w:sz w:val="20"/>
                <w:szCs w:val="20"/>
              </w:rPr>
              <w:t>**</w:t>
            </w:r>
          </w:p>
        </w:tc>
      </w:tr>
      <w:tr w:rsidR="00BF2371" w:rsidRPr="00997591" w:rsidTr="00EB6851">
        <w:tc>
          <w:tcPr>
            <w:tcW w:w="1129" w:type="dxa"/>
          </w:tcPr>
          <w:p w:rsidR="00BF2371" w:rsidRPr="00997591" w:rsidRDefault="00BF2371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2021</w:t>
            </w:r>
          </w:p>
        </w:tc>
        <w:tc>
          <w:tcPr>
            <w:tcW w:w="1560" w:type="dxa"/>
          </w:tcPr>
          <w:p w:rsidR="00BF2371" w:rsidRPr="00997591" w:rsidRDefault="00BF2371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135,6 mln</w:t>
            </w:r>
            <w:r w:rsidR="00C84149" w:rsidRPr="00997591">
              <w:rPr>
                <w:rFonts w:ascii="Verdana" w:hAnsi="Verdana"/>
                <w:sz w:val="20"/>
                <w:szCs w:val="20"/>
              </w:rPr>
              <w:t>**</w:t>
            </w:r>
          </w:p>
        </w:tc>
      </w:tr>
      <w:tr w:rsidR="00BF2371" w:rsidRPr="00997591" w:rsidTr="00EB6851">
        <w:tc>
          <w:tcPr>
            <w:tcW w:w="1129" w:type="dxa"/>
          </w:tcPr>
          <w:p w:rsidR="00BF2371" w:rsidRPr="00997591" w:rsidRDefault="00BF2371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2022</w:t>
            </w:r>
          </w:p>
        </w:tc>
        <w:tc>
          <w:tcPr>
            <w:tcW w:w="1560" w:type="dxa"/>
          </w:tcPr>
          <w:p w:rsidR="00BF2371" w:rsidRPr="00997591" w:rsidRDefault="00BF2371" w:rsidP="00997591">
            <w:pPr>
              <w:spacing w:line="288" w:lineRule="auto"/>
              <w:rPr>
                <w:rFonts w:ascii="Verdana" w:hAnsi="Verdana"/>
                <w:sz w:val="20"/>
                <w:szCs w:val="20"/>
              </w:rPr>
            </w:pPr>
            <w:r w:rsidRPr="00997591">
              <w:rPr>
                <w:rFonts w:ascii="Verdana" w:hAnsi="Verdana"/>
                <w:sz w:val="20"/>
                <w:szCs w:val="20"/>
              </w:rPr>
              <w:t>173,1 mln</w:t>
            </w:r>
            <w:r w:rsidR="00C84149" w:rsidRPr="00997591">
              <w:rPr>
                <w:rFonts w:ascii="Verdana" w:hAnsi="Verdana"/>
                <w:sz w:val="20"/>
                <w:szCs w:val="20"/>
              </w:rPr>
              <w:t>**</w:t>
            </w:r>
          </w:p>
        </w:tc>
      </w:tr>
    </w:tbl>
    <w:p w:rsidR="00BF2371" w:rsidRPr="00997591" w:rsidRDefault="00C84149" w:rsidP="00997591">
      <w:pPr>
        <w:pStyle w:val="Akapitzlist"/>
        <w:spacing w:after="0" w:line="288" w:lineRule="auto"/>
        <w:ind w:left="0"/>
        <w:rPr>
          <w:rFonts w:ascii="Verdana" w:hAnsi="Verdana"/>
          <w:sz w:val="20"/>
          <w:szCs w:val="20"/>
        </w:rPr>
      </w:pPr>
      <w:r w:rsidRPr="00997591">
        <w:rPr>
          <w:rFonts w:ascii="Verdana" w:hAnsi="Verdana"/>
          <w:sz w:val="20"/>
          <w:szCs w:val="20"/>
        </w:rPr>
        <w:t>*pierwszy pełen rok obowiązywania bezpłatnej komunikacji miejskiej dla uczniów szkół</w:t>
      </w:r>
      <w:r w:rsidR="003C701C" w:rsidRPr="00997591">
        <w:rPr>
          <w:rFonts w:ascii="Verdana" w:hAnsi="Verdana"/>
          <w:sz w:val="20"/>
          <w:szCs w:val="20"/>
        </w:rPr>
        <w:t xml:space="preserve"> podstawowych, ponadpodstawowych, gimnazjalnych i ponadgimnazjalnych – nie dłużej niż</w:t>
      </w:r>
      <w:r w:rsidRPr="00997591">
        <w:rPr>
          <w:rFonts w:ascii="Verdana" w:hAnsi="Verdana"/>
          <w:sz w:val="20"/>
          <w:szCs w:val="20"/>
        </w:rPr>
        <w:t xml:space="preserve"> do</w:t>
      </w:r>
      <w:r w:rsidR="003C701C" w:rsidRPr="00997591">
        <w:rPr>
          <w:rFonts w:ascii="Verdana" w:hAnsi="Verdana"/>
          <w:sz w:val="20"/>
          <w:szCs w:val="20"/>
        </w:rPr>
        <w:t xml:space="preserve"> ukończenia</w:t>
      </w:r>
      <w:r w:rsidRPr="00997591">
        <w:rPr>
          <w:rFonts w:ascii="Verdana" w:hAnsi="Verdana"/>
          <w:sz w:val="20"/>
          <w:szCs w:val="20"/>
        </w:rPr>
        <w:t xml:space="preserve"> 21 roku życia</w:t>
      </w:r>
    </w:p>
    <w:p w:rsidR="00C84149" w:rsidRPr="00997591" w:rsidRDefault="00C84149" w:rsidP="00997591">
      <w:pPr>
        <w:pStyle w:val="Akapitzlist"/>
        <w:spacing w:after="0" w:line="288" w:lineRule="auto"/>
        <w:ind w:left="0"/>
        <w:rPr>
          <w:rFonts w:ascii="Verdana" w:hAnsi="Verdana"/>
          <w:sz w:val="20"/>
          <w:szCs w:val="20"/>
        </w:rPr>
      </w:pPr>
      <w:r w:rsidRPr="00997591">
        <w:rPr>
          <w:rFonts w:ascii="Verdana" w:hAnsi="Verdana"/>
          <w:sz w:val="20"/>
          <w:szCs w:val="20"/>
        </w:rPr>
        <w:t>**pandemia COVID-19</w:t>
      </w:r>
    </w:p>
    <w:p w:rsidR="00166C2F" w:rsidRPr="00997591" w:rsidRDefault="00594004" w:rsidP="00997591">
      <w:pPr>
        <w:spacing w:line="288" w:lineRule="auto"/>
        <w:rPr>
          <w:rFonts w:ascii="Verdana" w:hAnsi="Verdana"/>
          <w:sz w:val="20"/>
          <w:szCs w:val="20"/>
        </w:rPr>
      </w:pPr>
      <w:r w:rsidRPr="00997591">
        <w:rPr>
          <w:rFonts w:ascii="Verdana" w:hAnsi="Verdana"/>
          <w:sz w:val="20"/>
          <w:szCs w:val="20"/>
        </w:rPr>
        <w:t xml:space="preserve">Biorąc pod uwagę </w:t>
      </w:r>
      <w:r w:rsidR="00F334CB" w:rsidRPr="00997591">
        <w:rPr>
          <w:rFonts w:ascii="Verdana" w:hAnsi="Verdana"/>
          <w:sz w:val="20"/>
          <w:szCs w:val="20"/>
        </w:rPr>
        <w:t>sprzedaż biletów (w sztukach)</w:t>
      </w:r>
      <w:r w:rsidR="009122B7" w:rsidRPr="00997591">
        <w:rPr>
          <w:rFonts w:ascii="Verdana" w:hAnsi="Verdana"/>
          <w:sz w:val="20"/>
          <w:szCs w:val="20"/>
        </w:rPr>
        <w:t>,</w:t>
      </w:r>
      <w:r w:rsidR="00997591">
        <w:rPr>
          <w:rFonts w:ascii="Verdana" w:hAnsi="Verdana"/>
          <w:sz w:val="20"/>
          <w:szCs w:val="20"/>
        </w:rPr>
        <w:t xml:space="preserve"> </w:t>
      </w:r>
      <w:r w:rsidR="00E6163A" w:rsidRPr="00997591">
        <w:rPr>
          <w:rFonts w:ascii="Verdana" w:hAnsi="Verdana"/>
          <w:sz w:val="20"/>
          <w:szCs w:val="20"/>
        </w:rPr>
        <w:t>począwszy</w:t>
      </w:r>
      <w:r w:rsidR="00355AD3" w:rsidRPr="00997591">
        <w:rPr>
          <w:rFonts w:ascii="Verdana" w:hAnsi="Verdana"/>
          <w:sz w:val="20"/>
          <w:szCs w:val="20"/>
        </w:rPr>
        <w:t xml:space="preserve"> od 2021</w:t>
      </w:r>
      <w:r w:rsidR="00997591">
        <w:rPr>
          <w:rFonts w:ascii="Verdana" w:hAnsi="Verdana"/>
          <w:sz w:val="20"/>
          <w:szCs w:val="20"/>
        </w:rPr>
        <w:t xml:space="preserve"> r.</w:t>
      </w:r>
      <w:r w:rsidR="00355AD3" w:rsidRPr="00997591">
        <w:rPr>
          <w:rFonts w:ascii="Verdana" w:hAnsi="Verdana"/>
          <w:sz w:val="20"/>
          <w:szCs w:val="20"/>
        </w:rPr>
        <w:t xml:space="preserve"> </w:t>
      </w:r>
      <w:r w:rsidR="001562EF" w:rsidRPr="00997591">
        <w:rPr>
          <w:rFonts w:ascii="Verdana" w:hAnsi="Verdana"/>
          <w:sz w:val="20"/>
          <w:szCs w:val="20"/>
        </w:rPr>
        <w:t xml:space="preserve">obserwuje się </w:t>
      </w:r>
      <w:r w:rsidR="006316FF" w:rsidRPr="00997591">
        <w:rPr>
          <w:rFonts w:ascii="Verdana" w:hAnsi="Verdana"/>
          <w:sz w:val="20"/>
          <w:szCs w:val="20"/>
        </w:rPr>
        <w:t>powrót pasażerów</w:t>
      </w:r>
      <w:r w:rsidR="00E6163A" w:rsidRPr="00997591">
        <w:rPr>
          <w:rFonts w:ascii="Verdana" w:hAnsi="Verdana"/>
          <w:sz w:val="20"/>
          <w:szCs w:val="20"/>
        </w:rPr>
        <w:t xml:space="preserve">, którzy odeszli </w:t>
      </w:r>
      <w:r w:rsidR="009122B7" w:rsidRPr="00997591">
        <w:rPr>
          <w:rFonts w:ascii="Verdana" w:hAnsi="Verdana"/>
          <w:sz w:val="20"/>
          <w:szCs w:val="20"/>
        </w:rPr>
        <w:t xml:space="preserve">z komunikacji miejskiej </w:t>
      </w:r>
      <w:r w:rsidR="00E6163A" w:rsidRPr="00997591">
        <w:rPr>
          <w:rFonts w:ascii="Verdana" w:hAnsi="Verdana"/>
          <w:sz w:val="20"/>
          <w:szCs w:val="20"/>
        </w:rPr>
        <w:t>w 2020 roku z powodu epidemii COVID-19.</w:t>
      </w:r>
      <w:r w:rsidR="003560EC" w:rsidRPr="00997591">
        <w:rPr>
          <w:rFonts w:ascii="Verdana" w:hAnsi="Verdana"/>
          <w:sz w:val="20"/>
          <w:szCs w:val="20"/>
        </w:rPr>
        <w:t xml:space="preserve"> Podkreś</w:t>
      </w:r>
      <w:r w:rsidR="006A3922" w:rsidRPr="00997591">
        <w:rPr>
          <w:rFonts w:ascii="Verdana" w:hAnsi="Verdana"/>
          <w:sz w:val="20"/>
          <w:szCs w:val="20"/>
        </w:rPr>
        <w:t>l</w:t>
      </w:r>
      <w:r w:rsidR="003560EC" w:rsidRPr="00997591">
        <w:rPr>
          <w:rFonts w:ascii="Verdana" w:hAnsi="Verdana"/>
          <w:sz w:val="20"/>
          <w:szCs w:val="20"/>
        </w:rPr>
        <w:t>ić należy</w:t>
      </w:r>
      <w:r w:rsidR="006A3922" w:rsidRPr="00997591">
        <w:rPr>
          <w:rFonts w:ascii="Verdana" w:hAnsi="Verdana"/>
          <w:sz w:val="20"/>
          <w:szCs w:val="20"/>
        </w:rPr>
        <w:t xml:space="preserve">, że w związku z </w:t>
      </w:r>
      <w:r w:rsidR="00DF1AB8" w:rsidRPr="00997591">
        <w:rPr>
          <w:rFonts w:ascii="Verdana" w:hAnsi="Verdana"/>
          <w:sz w:val="20"/>
          <w:szCs w:val="20"/>
        </w:rPr>
        <w:t>wskazanymi wyżej</w:t>
      </w:r>
      <w:r w:rsidR="006A3922" w:rsidRPr="00997591">
        <w:rPr>
          <w:rFonts w:ascii="Verdana" w:hAnsi="Verdana"/>
          <w:sz w:val="20"/>
          <w:szCs w:val="20"/>
        </w:rPr>
        <w:t xml:space="preserve"> algorytmami</w:t>
      </w:r>
      <w:r w:rsidR="00CB624F" w:rsidRPr="00997591">
        <w:rPr>
          <w:rFonts w:ascii="Verdana" w:hAnsi="Verdana"/>
          <w:sz w:val="20"/>
          <w:szCs w:val="20"/>
        </w:rPr>
        <w:t>,</w:t>
      </w:r>
      <w:r w:rsidR="00997591">
        <w:rPr>
          <w:rFonts w:ascii="Verdana" w:hAnsi="Verdana"/>
          <w:sz w:val="20"/>
          <w:szCs w:val="20"/>
        </w:rPr>
        <w:t xml:space="preserve"> </w:t>
      </w:r>
      <w:r w:rsidR="00CB624F" w:rsidRPr="00997591">
        <w:rPr>
          <w:rFonts w:ascii="Verdana" w:hAnsi="Verdana"/>
          <w:sz w:val="20"/>
          <w:szCs w:val="20"/>
        </w:rPr>
        <w:t xml:space="preserve">prezentowana </w:t>
      </w:r>
      <w:r w:rsidR="003432DC" w:rsidRPr="00997591">
        <w:rPr>
          <w:rFonts w:ascii="Verdana" w:hAnsi="Verdana"/>
          <w:sz w:val="20"/>
          <w:szCs w:val="20"/>
        </w:rPr>
        <w:t xml:space="preserve">za 2022 r. </w:t>
      </w:r>
      <w:r w:rsidR="007131F0" w:rsidRPr="00997591">
        <w:rPr>
          <w:rFonts w:ascii="Verdana" w:hAnsi="Verdana"/>
          <w:sz w:val="20"/>
          <w:szCs w:val="20"/>
        </w:rPr>
        <w:t xml:space="preserve">statystyczna </w:t>
      </w:r>
      <w:r w:rsidR="003432DC" w:rsidRPr="00997591">
        <w:rPr>
          <w:rFonts w:ascii="Verdana" w:hAnsi="Verdana"/>
          <w:sz w:val="20"/>
          <w:szCs w:val="20"/>
        </w:rPr>
        <w:t xml:space="preserve">liczba </w:t>
      </w:r>
      <w:r w:rsidR="00C364A9" w:rsidRPr="00997591">
        <w:rPr>
          <w:rFonts w:ascii="Verdana" w:hAnsi="Verdana"/>
          <w:sz w:val="20"/>
          <w:szCs w:val="20"/>
        </w:rPr>
        <w:t xml:space="preserve">pasażerów </w:t>
      </w:r>
      <w:r w:rsidR="003432DC" w:rsidRPr="00997591">
        <w:rPr>
          <w:rFonts w:ascii="Verdana" w:hAnsi="Verdana"/>
          <w:sz w:val="20"/>
          <w:szCs w:val="20"/>
        </w:rPr>
        <w:t>nie</w:t>
      </w:r>
      <w:r w:rsidR="00997591">
        <w:rPr>
          <w:rFonts w:ascii="Verdana" w:hAnsi="Verdana"/>
          <w:sz w:val="20"/>
          <w:szCs w:val="20"/>
        </w:rPr>
        <w:t xml:space="preserve"> </w:t>
      </w:r>
      <w:r w:rsidR="00991D61" w:rsidRPr="00997591">
        <w:rPr>
          <w:rFonts w:ascii="Verdana" w:hAnsi="Verdana"/>
          <w:sz w:val="20"/>
          <w:szCs w:val="20"/>
        </w:rPr>
        <w:t>zawiera</w:t>
      </w:r>
      <w:r w:rsidR="00997591">
        <w:rPr>
          <w:rFonts w:ascii="Verdana" w:hAnsi="Verdana"/>
          <w:sz w:val="20"/>
          <w:szCs w:val="20"/>
        </w:rPr>
        <w:t xml:space="preserve"> </w:t>
      </w:r>
      <w:r w:rsidR="00991D61" w:rsidRPr="00997591">
        <w:rPr>
          <w:rFonts w:ascii="Verdana" w:hAnsi="Verdana"/>
          <w:sz w:val="20"/>
          <w:szCs w:val="20"/>
        </w:rPr>
        <w:t xml:space="preserve">danych dotyczących </w:t>
      </w:r>
      <w:r w:rsidR="003432DC" w:rsidRPr="00997591">
        <w:rPr>
          <w:rFonts w:ascii="Verdana" w:hAnsi="Verdana"/>
          <w:sz w:val="20"/>
          <w:szCs w:val="20"/>
        </w:rPr>
        <w:t>przewiezionych uchodźców z Ukrainy, którym przyznano prawo do bezpłatnych przejazdów</w:t>
      </w:r>
      <w:r w:rsidR="00997591">
        <w:rPr>
          <w:rFonts w:ascii="Verdana" w:hAnsi="Verdana"/>
          <w:sz w:val="20"/>
          <w:szCs w:val="20"/>
        </w:rPr>
        <w:t xml:space="preserve"> </w:t>
      </w:r>
      <w:r w:rsidR="003432DC" w:rsidRPr="00997591">
        <w:rPr>
          <w:rFonts w:ascii="Verdana" w:hAnsi="Verdana"/>
          <w:sz w:val="20"/>
          <w:szCs w:val="20"/>
        </w:rPr>
        <w:t>(w okresie od 2</w:t>
      </w:r>
      <w:r w:rsidR="00750C81" w:rsidRPr="00997591">
        <w:rPr>
          <w:rFonts w:ascii="Verdana" w:hAnsi="Verdana"/>
          <w:sz w:val="20"/>
          <w:szCs w:val="20"/>
        </w:rPr>
        <w:t xml:space="preserve">6 </w:t>
      </w:r>
      <w:r w:rsidR="003432DC" w:rsidRPr="00997591">
        <w:rPr>
          <w:rFonts w:ascii="Verdana" w:hAnsi="Verdana"/>
          <w:sz w:val="20"/>
          <w:szCs w:val="20"/>
        </w:rPr>
        <w:t>lutego do 30 czerwca 2022 r.</w:t>
      </w:r>
      <w:r w:rsidR="00D4478C" w:rsidRPr="00997591">
        <w:rPr>
          <w:rFonts w:ascii="Verdana" w:hAnsi="Verdana"/>
          <w:sz w:val="20"/>
          <w:szCs w:val="20"/>
        </w:rPr>
        <w:t xml:space="preserve">- </w:t>
      </w:r>
      <w:r w:rsidR="00D4478C" w:rsidRPr="00997591">
        <w:rPr>
          <w:rFonts w:ascii="Verdana" w:hAnsi="Verdana"/>
          <w:sz w:val="20"/>
          <w:szCs w:val="20"/>
        </w:rPr>
        <w:lastRenderedPageBreak/>
        <w:t>wszystkim przybyłym do Polski po 24 lutego 2022 r.;</w:t>
      </w:r>
      <w:r w:rsidR="0028072C">
        <w:rPr>
          <w:rFonts w:ascii="Verdana" w:hAnsi="Verdana"/>
          <w:sz w:val="20"/>
          <w:szCs w:val="20"/>
        </w:rPr>
        <w:t xml:space="preserve"> </w:t>
      </w:r>
      <w:r w:rsidR="00D4478C" w:rsidRPr="00997591">
        <w:rPr>
          <w:rFonts w:ascii="Verdana" w:hAnsi="Verdana"/>
          <w:sz w:val="20"/>
          <w:szCs w:val="20"/>
        </w:rPr>
        <w:t>do 30 września 2023 r.,- uczniom pozostającym w ukraińskim systemie kształcenia</w:t>
      </w:r>
      <w:r w:rsidR="007A032F" w:rsidRPr="00997591">
        <w:rPr>
          <w:rFonts w:ascii="Verdana" w:hAnsi="Verdana"/>
          <w:sz w:val="20"/>
          <w:szCs w:val="20"/>
        </w:rPr>
        <w:t>;</w:t>
      </w:r>
      <w:r w:rsidR="00D4478C" w:rsidRPr="00997591">
        <w:rPr>
          <w:rFonts w:ascii="Verdana" w:hAnsi="Verdana"/>
          <w:sz w:val="20"/>
          <w:szCs w:val="20"/>
        </w:rPr>
        <w:t xml:space="preserve"> do czasu ukończenia nauki lub 21 roku życia – dzieciom </w:t>
      </w:r>
      <w:r w:rsidR="007A032F" w:rsidRPr="00997591">
        <w:rPr>
          <w:rFonts w:ascii="Verdana" w:hAnsi="Verdana"/>
          <w:sz w:val="20"/>
          <w:szCs w:val="20"/>
        </w:rPr>
        <w:t xml:space="preserve">ukraińskim </w:t>
      </w:r>
      <w:r w:rsidR="003432DC" w:rsidRPr="00997591">
        <w:rPr>
          <w:rFonts w:ascii="Verdana" w:hAnsi="Verdana"/>
          <w:sz w:val="20"/>
          <w:szCs w:val="20"/>
        </w:rPr>
        <w:t>uczącym się w szkołach polskich)</w:t>
      </w:r>
      <w:r w:rsidR="0004405E" w:rsidRPr="00997591">
        <w:rPr>
          <w:rFonts w:ascii="Verdana" w:hAnsi="Verdana"/>
          <w:sz w:val="20"/>
          <w:szCs w:val="20"/>
        </w:rPr>
        <w:t xml:space="preserve">. </w:t>
      </w:r>
      <w:r w:rsidR="00D4478C" w:rsidRPr="00997591">
        <w:rPr>
          <w:rFonts w:ascii="Verdana" w:hAnsi="Verdana"/>
          <w:sz w:val="20"/>
          <w:szCs w:val="20"/>
        </w:rPr>
        <w:t>Brak jest dokładnych informacji dotyczących liczebności</w:t>
      </w:r>
      <w:r w:rsidR="00997591">
        <w:rPr>
          <w:rFonts w:ascii="Verdana" w:hAnsi="Verdana"/>
          <w:sz w:val="20"/>
          <w:szCs w:val="20"/>
        </w:rPr>
        <w:t xml:space="preserve"> </w:t>
      </w:r>
      <w:r w:rsidR="001F68A5" w:rsidRPr="00997591">
        <w:rPr>
          <w:rFonts w:ascii="Verdana" w:hAnsi="Verdana"/>
          <w:sz w:val="20"/>
          <w:szCs w:val="20"/>
        </w:rPr>
        <w:t xml:space="preserve">obywateli Ukrainy </w:t>
      </w:r>
      <w:r w:rsidR="00A137D1" w:rsidRPr="00997591">
        <w:rPr>
          <w:rFonts w:ascii="Verdana" w:hAnsi="Verdana"/>
          <w:sz w:val="20"/>
          <w:szCs w:val="20"/>
        </w:rPr>
        <w:t>podróżujących po Wrocławiu,</w:t>
      </w:r>
      <w:r w:rsidR="00D4478C" w:rsidRPr="00997591">
        <w:rPr>
          <w:rFonts w:ascii="Verdana" w:hAnsi="Verdana"/>
          <w:sz w:val="20"/>
          <w:szCs w:val="20"/>
        </w:rPr>
        <w:t xml:space="preserve"> poszukujący</w:t>
      </w:r>
      <w:r w:rsidR="00B13962" w:rsidRPr="00997591">
        <w:rPr>
          <w:rFonts w:ascii="Verdana" w:hAnsi="Verdana"/>
          <w:sz w:val="20"/>
          <w:szCs w:val="20"/>
        </w:rPr>
        <w:t>ch</w:t>
      </w:r>
      <w:r w:rsidR="00D4478C" w:rsidRPr="00997591">
        <w:rPr>
          <w:rFonts w:ascii="Verdana" w:hAnsi="Verdana"/>
          <w:sz w:val="20"/>
          <w:szCs w:val="20"/>
        </w:rPr>
        <w:t xml:space="preserve"> czasowego lub stałe</w:t>
      </w:r>
      <w:r w:rsidR="00A137D1" w:rsidRPr="00997591">
        <w:rPr>
          <w:rFonts w:ascii="Verdana" w:hAnsi="Verdana"/>
          <w:sz w:val="20"/>
          <w:szCs w:val="20"/>
        </w:rPr>
        <w:t xml:space="preserve">go schronienia w naszym mieście. </w:t>
      </w:r>
      <w:r w:rsidR="006B1A55" w:rsidRPr="00997591">
        <w:rPr>
          <w:rFonts w:ascii="Verdana" w:hAnsi="Verdana"/>
          <w:sz w:val="20"/>
          <w:szCs w:val="20"/>
        </w:rPr>
        <w:t xml:space="preserve">Unia Metropolii Polskich </w:t>
      </w:r>
      <w:r w:rsidR="00884754" w:rsidRPr="00997591">
        <w:rPr>
          <w:rFonts w:ascii="Verdana" w:hAnsi="Verdana"/>
          <w:sz w:val="20"/>
          <w:szCs w:val="20"/>
        </w:rPr>
        <w:t xml:space="preserve">bazując na danych </w:t>
      </w:r>
      <w:r w:rsidR="00ED46D0" w:rsidRPr="00997591">
        <w:rPr>
          <w:rFonts w:ascii="Verdana" w:hAnsi="Verdana"/>
          <w:sz w:val="20"/>
          <w:szCs w:val="20"/>
        </w:rPr>
        <w:t xml:space="preserve">z kwietnia 2022 r. </w:t>
      </w:r>
      <w:r w:rsidR="006B1A55" w:rsidRPr="00997591">
        <w:rPr>
          <w:rFonts w:ascii="Verdana" w:hAnsi="Verdana"/>
          <w:sz w:val="20"/>
          <w:szCs w:val="20"/>
        </w:rPr>
        <w:t xml:space="preserve">wskazywała na </w:t>
      </w:r>
      <w:r w:rsidR="00462E0F" w:rsidRPr="00997591">
        <w:rPr>
          <w:rFonts w:ascii="Verdana" w:hAnsi="Verdana"/>
          <w:sz w:val="20"/>
          <w:szCs w:val="20"/>
        </w:rPr>
        <w:t>obecność we Wrocławiu prawie 200 tys. obywateli Ukrainy</w:t>
      </w:r>
      <w:r w:rsidR="00ED46D0" w:rsidRPr="00997591">
        <w:rPr>
          <w:rFonts w:ascii="Verdana" w:hAnsi="Verdana"/>
          <w:sz w:val="20"/>
          <w:szCs w:val="20"/>
        </w:rPr>
        <w:t>.</w:t>
      </w:r>
    </w:p>
    <w:p w:rsidR="00572E48" w:rsidRPr="00997591" w:rsidRDefault="0004405E" w:rsidP="00997591">
      <w:pPr>
        <w:spacing w:line="288" w:lineRule="auto"/>
        <w:rPr>
          <w:rFonts w:ascii="Verdana" w:hAnsi="Verdana"/>
          <w:sz w:val="20"/>
          <w:szCs w:val="20"/>
        </w:rPr>
      </w:pPr>
      <w:r w:rsidRPr="00997591">
        <w:rPr>
          <w:rFonts w:ascii="Verdana" w:hAnsi="Verdana"/>
          <w:sz w:val="20"/>
          <w:szCs w:val="20"/>
        </w:rPr>
        <w:t xml:space="preserve">Interpretacja zaprezentowanego w petycji spadku liczby </w:t>
      </w:r>
      <w:r w:rsidR="00462E0F" w:rsidRPr="00997591">
        <w:rPr>
          <w:rFonts w:ascii="Verdana" w:hAnsi="Verdana"/>
          <w:sz w:val="20"/>
          <w:szCs w:val="20"/>
        </w:rPr>
        <w:t>„</w:t>
      </w:r>
      <w:r w:rsidRPr="00997591">
        <w:rPr>
          <w:rFonts w:ascii="Verdana" w:hAnsi="Verdana"/>
          <w:sz w:val="20"/>
          <w:szCs w:val="20"/>
        </w:rPr>
        <w:t>użytkowników M</w:t>
      </w:r>
      <w:r w:rsidR="00997591">
        <w:rPr>
          <w:rFonts w:ascii="Verdana" w:hAnsi="Verdana"/>
          <w:sz w:val="20"/>
          <w:szCs w:val="20"/>
        </w:rPr>
        <w:t xml:space="preserve">iejskiego </w:t>
      </w:r>
      <w:r w:rsidRPr="00997591">
        <w:rPr>
          <w:rFonts w:ascii="Verdana" w:hAnsi="Verdana"/>
          <w:sz w:val="20"/>
          <w:szCs w:val="20"/>
        </w:rPr>
        <w:t>P</w:t>
      </w:r>
      <w:r w:rsidR="00997591">
        <w:rPr>
          <w:rFonts w:ascii="Verdana" w:hAnsi="Verdana"/>
          <w:sz w:val="20"/>
          <w:szCs w:val="20"/>
        </w:rPr>
        <w:t xml:space="preserve">rzedsiębiorstwa </w:t>
      </w:r>
      <w:r w:rsidRPr="00997591">
        <w:rPr>
          <w:rFonts w:ascii="Verdana" w:hAnsi="Verdana"/>
          <w:sz w:val="20"/>
          <w:szCs w:val="20"/>
        </w:rPr>
        <w:t>K</w:t>
      </w:r>
      <w:r w:rsidR="00997591">
        <w:rPr>
          <w:rFonts w:ascii="Verdana" w:hAnsi="Verdana"/>
          <w:sz w:val="20"/>
          <w:szCs w:val="20"/>
        </w:rPr>
        <w:t>omunikacyjnego</w:t>
      </w:r>
      <w:r w:rsidR="00462E0F" w:rsidRPr="00997591">
        <w:rPr>
          <w:rFonts w:ascii="Verdana" w:hAnsi="Verdana"/>
          <w:sz w:val="20"/>
          <w:szCs w:val="20"/>
        </w:rPr>
        <w:t>”</w:t>
      </w:r>
      <w:r w:rsidRPr="00997591">
        <w:rPr>
          <w:rFonts w:ascii="Verdana" w:hAnsi="Verdana"/>
          <w:sz w:val="20"/>
          <w:szCs w:val="20"/>
        </w:rPr>
        <w:t xml:space="preserve"> aż o 20% w latach 2011-2018 jest również błędna. </w:t>
      </w:r>
      <w:r w:rsidR="00512439" w:rsidRPr="00997591">
        <w:rPr>
          <w:rFonts w:ascii="Verdana" w:hAnsi="Verdana"/>
          <w:sz w:val="20"/>
          <w:szCs w:val="20"/>
        </w:rPr>
        <w:t xml:space="preserve">Biorąc </w:t>
      </w:r>
      <w:r w:rsidR="003C7DA8" w:rsidRPr="00997591">
        <w:rPr>
          <w:rFonts w:ascii="Verdana" w:hAnsi="Verdana"/>
          <w:sz w:val="20"/>
          <w:szCs w:val="20"/>
        </w:rPr>
        <w:t xml:space="preserve">pod uwagę </w:t>
      </w:r>
      <w:r w:rsidR="00643EFD" w:rsidRPr="00997591">
        <w:rPr>
          <w:rFonts w:ascii="Verdana" w:hAnsi="Verdana"/>
          <w:sz w:val="20"/>
          <w:szCs w:val="20"/>
        </w:rPr>
        <w:t xml:space="preserve">przedstawione </w:t>
      </w:r>
      <w:r w:rsidR="00BF7076" w:rsidRPr="00997591">
        <w:rPr>
          <w:rFonts w:ascii="Verdana" w:hAnsi="Verdana"/>
          <w:sz w:val="20"/>
          <w:szCs w:val="20"/>
        </w:rPr>
        <w:t>w tabeli wyżej</w:t>
      </w:r>
      <w:r w:rsidR="00997591">
        <w:rPr>
          <w:rFonts w:ascii="Verdana" w:hAnsi="Verdana"/>
          <w:sz w:val="20"/>
          <w:szCs w:val="20"/>
        </w:rPr>
        <w:t xml:space="preserve"> </w:t>
      </w:r>
      <w:r w:rsidR="004F2C88" w:rsidRPr="00997591">
        <w:rPr>
          <w:rFonts w:ascii="Verdana" w:hAnsi="Verdana"/>
          <w:sz w:val="20"/>
          <w:szCs w:val="20"/>
        </w:rPr>
        <w:t>d</w:t>
      </w:r>
      <w:r w:rsidR="00BF7076" w:rsidRPr="00997591">
        <w:rPr>
          <w:rFonts w:ascii="Verdana" w:hAnsi="Verdana"/>
          <w:sz w:val="20"/>
          <w:szCs w:val="20"/>
        </w:rPr>
        <w:t>ane</w:t>
      </w:r>
      <w:r w:rsidR="005F6712" w:rsidRPr="00997591">
        <w:rPr>
          <w:rFonts w:ascii="Verdana" w:hAnsi="Verdana"/>
          <w:sz w:val="20"/>
          <w:szCs w:val="20"/>
        </w:rPr>
        <w:t xml:space="preserve">, widać że </w:t>
      </w:r>
      <w:r w:rsidR="005C2A71" w:rsidRPr="00997591">
        <w:rPr>
          <w:rFonts w:ascii="Verdana" w:hAnsi="Verdana"/>
          <w:sz w:val="20"/>
          <w:szCs w:val="20"/>
        </w:rPr>
        <w:t>do 2017</w:t>
      </w:r>
      <w:r w:rsidR="005F6712" w:rsidRPr="00997591">
        <w:rPr>
          <w:rFonts w:ascii="Verdana" w:hAnsi="Verdana"/>
          <w:sz w:val="20"/>
          <w:szCs w:val="20"/>
        </w:rPr>
        <w:t xml:space="preserve"> roku</w:t>
      </w:r>
      <w:r w:rsidR="005C2A71" w:rsidRPr="00997591">
        <w:rPr>
          <w:rFonts w:ascii="Verdana" w:hAnsi="Verdana"/>
          <w:sz w:val="20"/>
          <w:szCs w:val="20"/>
        </w:rPr>
        <w:t xml:space="preserve"> następował regularny wzrost liczby pasażerów</w:t>
      </w:r>
      <w:r w:rsidR="00375C3B" w:rsidRPr="00997591">
        <w:rPr>
          <w:rFonts w:ascii="Verdana" w:hAnsi="Verdana"/>
          <w:sz w:val="20"/>
          <w:szCs w:val="20"/>
        </w:rPr>
        <w:t>.</w:t>
      </w:r>
      <w:r w:rsidR="00997591">
        <w:rPr>
          <w:rFonts w:ascii="Verdana" w:hAnsi="Verdana"/>
          <w:sz w:val="20"/>
          <w:szCs w:val="20"/>
        </w:rPr>
        <w:t xml:space="preserve"> </w:t>
      </w:r>
      <w:r w:rsidR="00BF2371" w:rsidRPr="00997591">
        <w:rPr>
          <w:rFonts w:ascii="Verdana" w:hAnsi="Verdana"/>
          <w:sz w:val="20"/>
          <w:szCs w:val="20"/>
        </w:rPr>
        <w:t xml:space="preserve">Wskazywana </w:t>
      </w:r>
      <w:r w:rsidR="00141E67" w:rsidRPr="00997591">
        <w:rPr>
          <w:rFonts w:ascii="Verdana" w:hAnsi="Verdana"/>
          <w:sz w:val="20"/>
          <w:szCs w:val="20"/>
        </w:rPr>
        <w:t xml:space="preserve">przez wnioskodawcę </w:t>
      </w:r>
      <w:r w:rsidR="00BF2371" w:rsidRPr="00997591">
        <w:rPr>
          <w:rFonts w:ascii="Verdana" w:hAnsi="Verdana"/>
          <w:sz w:val="20"/>
          <w:szCs w:val="20"/>
        </w:rPr>
        <w:t>zmiana</w:t>
      </w:r>
      <w:r w:rsidR="00C364A9" w:rsidRPr="00997591">
        <w:rPr>
          <w:rFonts w:ascii="Verdana" w:hAnsi="Verdana"/>
          <w:sz w:val="20"/>
          <w:szCs w:val="20"/>
        </w:rPr>
        <w:t xml:space="preserve"> liczby pasażerów nastąpił</w:t>
      </w:r>
      <w:r w:rsidR="00BF2371" w:rsidRPr="00997591">
        <w:rPr>
          <w:rFonts w:ascii="Verdana" w:hAnsi="Verdana"/>
          <w:sz w:val="20"/>
          <w:szCs w:val="20"/>
        </w:rPr>
        <w:t>a</w:t>
      </w:r>
      <w:r w:rsidR="00997591">
        <w:rPr>
          <w:rFonts w:ascii="Verdana" w:hAnsi="Verdana"/>
          <w:sz w:val="20"/>
          <w:szCs w:val="20"/>
        </w:rPr>
        <w:t xml:space="preserve"> </w:t>
      </w:r>
      <w:r w:rsidR="00375C3B" w:rsidRPr="00997591">
        <w:rPr>
          <w:rFonts w:ascii="Verdana" w:hAnsi="Verdana"/>
          <w:sz w:val="20"/>
          <w:szCs w:val="20"/>
        </w:rPr>
        <w:t xml:space="preserve">dopiero </w:t>
      </w:r>
      <w:r w:rsidR="00C364A9" w:rsidRPr="00997591">
        <w:rPr>
          <w:rFonts w:ascii="Verdana" w:hAnsi="Verdana"/>
          <w:sz w:val="20"/>
          <w:szCs w:val="20"/>
        </w:rPr>
        <w:t>w</w:t>
      </w:r>
      <w:r w:rsidRPr="00997591">
        <w:rPr>
          <w:rFonts w:ascii="Verdana" w:hAnsi="Verdana"/>
          <w:sz w:val="20"/>
          <w:szCs w:val="20"/>
        </w:rPr>
        <w:t xml:space="preserve"> roku 2018 w stosunku do </w:t>
      </w:r>
      <w:r w:rsidR="007131F0" w:rsidRPr="00997591">
        <w:rPr>
          <w:rFonts w:ascii="Verdana" w:hAnsi="Verdana"/>
          <w:sz w:val="20"/>
          <w:szCs w:val="20"/>
        </w:rPr>
        <w:t xml:space="preserve">roku </w:t>
      </w:r>
      <w:r w:rsidRPr="00997591">
        <w:rPr>
          <w:rFonts w:ascii="Verdana" w:hAnsi="Verdana"/>
          <w:sz w:val="20"/>
          <w:szCs w:val="20"/>
        </w:rPr>
        <w:t>2017</w:t>
      </w:r>
      <w:r w:rsidR="007131F0" w:rsidRPr="00997591">
        <w:rPr>
          <w:rFonts w:ascii="Verdana" w:hAnsi="Verdana"/>
          <w:sz w:val="20"/>
          <w:szCs w:val="20"/>
        </w:rPr>
        <w:t xml:space="preserve">. </w:t>
      </w:r>
      <w:r w:rsidR="00BF2371" w:rsidRPr="00997591">
        <w:rPr>
          <w:rFonts w:ascii="Verdana" w:hAnsi="Verdana"/>
          <w:sz w:val="20"/>
          <w:szCs w:val="20"/>
        </w:rPr>
        <w:t xml:space="preserve">Zmiana </w:t>
      </w:r>
      <w:r w:rsidR="00375C3B" w:rsidRPr="00997591">
        <w:rPr>
          <w:rFonts w:ascii="Verdana" w:hAnsi="Verdana"/>
          <w:sz w:val="20"/>
          <w:szCs w:val="20"/>
        </w:rPr>
        <w:t xml:space="preserve">ta </w:t>
      </w:r>
      <w:r w:rsidR="00BF2371" w:rsidRPr="00997591">
        <w:rPr>
          <w:rFonts w:ascii="Verdana" w:hAnsi="Verdana"/>
          <w:sz w:val="20"/>
          <w:szCs w:val="20"/>
        </w:rPr>
        <w:t>była</w:t>
      </w:r>
      <w:r w:rsidR="00997591">
        <w:rPr>
          <w:rFonts w:ascii="Verdana" w:hAnsi="Verdana"/>
          <w:sz w:val="20"/>
          <w:szCs w:val="20"/>
        </w:rPr>
        <w:t xml:space="preserve"> </w:t>
      </w:r>
      <w:r w:rsidR="00C364A9" w:rsidRPr="00997591">
        <w:rPr>
          <w:rFonts w:ascii="Verdana" w:hAnsi="Verdana"/>
          <w:sz w:val="20"/>
          <w:szCs w:val="20"/>
        </w:rPr>
        <w:t>„pozorny</w:t>
      </w:r>
      <w:r w:rsidR="00BF2371" w:rsidRPr="00997591">
        <w:rPr>
          <w:rFonts w:ascii="Verdana" w:hAnsi="Verdana"/>
          <w:sz w:val="20"/>
          <w:szCs w:val="20"/>
        </w:rPr>
        <w:t>m</w:t>
      </w:r>
      <w:r w:rsidR="00C364A9" w:rsidRPr="00997591">
        <w:rPr>
          <w:rFonts w:ascii="Verdana" w:hAnsi="Verdana"/>
          <w:sz w:val="20"/>
          <w:szCs w:val="20"/>
        </w:rPr>
        <w:t>”</w:t>
      </w:r>
      <w:r w:rsidR="00BF2371" w:rsidRPr="00997591">
        <w:rPr>
          <w:rFonts w:ascii="Verdana" w:hAnsi="Verdana"/>
          <w:sz w:val="20"/>
          <w:szCs w:val="20"/>
        </w:rPr>
        <w:t xml:space="preserve"> spadkiem</w:t>
      </w:r>
      <w:r w:rsidR="00C364A9" w:rsidRPr="00997591">
        <w:rPr>
          <w:rFonts w:ascii="Verdana" w:hAnsi="Verdana"/>
          <w:sz w:val="20"/>
          <w:szCs w:val="20"/>
        </w:rPr>
        <w:t>, wynika</w:t>
      </w:r>
      <w:r w:rsidR="007131F0" w:rsidRPr="00997591">
        <w:rPr>
          <w:rFonts w:ascii="Verdana" w:hAnsi="Verdana"/>
          <w:sz w:val="20"/>
          <w:szCs w:val="20"/>
        </w:rPr>
        <w:t>ł</w:t>
      </w:r>
      <w:r w:rsidR="00BF2371" w:rsidRPr="00997591">
        <w:rPr>
          <w:rFonts w:ascii="Verdana" w:hAnsi="Verdana"/>
          <w:sz w:val="20"/>
          <w:szCs w:val="20"/>
        </w:rPr>
        <w:t>a</w:t>
      </w:r>
      <w:r w:rsidR="00997591">
        <w:rPr>
          <w:rFonts w:ascii="Verdana" w:hAnsi="Verdana"/>
          <w:sz w:val="20"/>
          <w:szCs w:val="20"/>
        </w:rPr>
        <w:t xml:space="preserve"> </w:t>
      </w:r>
      <w:r w:rsidRPr="00997591">
        <w:rPr>
          <w:rFonts w:ascii="Verdana" w:hAnsi="Verdana"/>
          <w:sz w:val="20"/>
          <w:szCs w:val="20"/>
        </w:rPr>
        <w:t>bowiem ze wskazanego wyżej sposobu określania liczby pasażerów</w:t>
      </w:r>
      <w:r w:rsidR="007131F0" w:rsidRPr="00997591">
        <w:rPr>
          <w:rFonts w:ascii="Verdana" w:hAnsi="Verdana"/>
          <w:sz w:val="20"/>
          <w:szCs w:val="20"/>
        </w:rPr>
        <w:t xml:space="preserve"> w oparciu o sprzedane bilety</w:t>
      </w:r>
      <w:r w:rsidRPr="00997591">
        <w:rPr>
          <w:rFonts w:ascii="Verdana" w:hAnsi="Verdana"/>
          <w:sz w:val="20"/>
          <w:szCs w:val="20"/>
        </w:rPr>
        <w:t xml:space="preserve">. </w:t>
      </w:r>
      <w:r w:rsidR="00BF2371" w:rsidRPr="00997591">
        <w:rPr>
          <w:rFonts w:ascii="Verdana" w:hAnsi="Verdana"/>
          <w:sz w:val="20"/>
          <w:szCs w:val="20"/>
        </w:rPr>
        <w:t>Ponieważ o</w:t>
      </w:r>
      <w:r w:rsidRPr="00997591">
        <w:rPr>
          <w:rFonts w:ascii="Verdana" w:hAnsi="Verdana"/>
          <w:sz w:val="20"/>
          <w:szCs w:val="20"/>
        </w:rPr>
        <w:t>d 1 września 2018 r.</w:t>
      </w:r>
      <w:r w:rsidR="00CF766F" w:rsidRPr="00997591">
        <w:rPr>
          <w:rFonts w:ascii="Verdana" w:hAnsi="Verdana"/>
          <w:sz w:val="20"/>
          <w:szCs w:val="20"/>
        </w:rPr>
        <w:t xml:space="preserve"> - </w:t>
      </w:r>
      <w:r w:rsidR="00BF2371" w:rsidRPr="00997591">
        <w:rPr>
          <w:rFonts w:ascii="Verdana" w:hAnsi="Verdana"/>
          <w:sz w:val="20"/>
          <w:szCs w:val="20"/>
        </w:rPr>
        <w:t>uchwał</w:t>
      </w:r>
      <w:r w:rsidR="00CF766F" w:rsidRPr="00997591">
        <w:rPr>
          <w:rFonts w:ascii="Verdana" w:hAnsi="Verdana"/>
          <w:sz w:val="20"/>
          <w:szCs w:val="20"/>
        </w:rPr>
        <w:t>ą</w:t>
      </w:r>
      <w:r w:rsidR="00BF2371" w:rsidRPr="00997591">
        <w:rPr>
          <w:rFonts w:ascii="Verdana" w:hAnsi="Verdana"/>
          <w:sz w:val="20"/>
          <w:szCs w:val="20"/>
        </w:rPr>
        <w:t xml:space="preserve"> nr </w:t>
      </w:r>
      <w:r w:rsidR="00CF766F" w:rsidRPr="00997591">
        <w:rPr>
          <w:rFonts w:ascii="Verdana" w:hAnsi="Verdana"/>
          <w:sz w:val="20"/>
          <w:szCs w:val="20"/>
        </w:rPr>
        <w:t xml:space="preserve">LIII/1271/18 Rady Miejskiej Wrocławia z dnia 5 kwietnia 2018 r. - </w:t>
      </w:r>
      <w:r w:rsidRPr="00997591">
        <w:rPr>
          <w:rFonts w:ascii="Verdana" w:hAnsi="Verdana"/>
          <w:sz w:val="20"/>
          <w:szCs w:val="20"/>
        </w:rPr>
        <w:t xml:space="preserve">przyznano uczniom </w:t>
      </w:r>
      <w:r w:rsidR="00462E0F" w:rsidRPr="00997591">
        <w:rPr>
          <w:rFonts w:ascii="Verdana" w:hAnsi="Verdana"/>
          <w:sz w:val="20"/>
          <w:szCs w:val="20"/>
        </w:rPr>
        <w:t xml:space="preserve">szkół podstawowych, ponadpodstawowych, gimnazjalnych i ponadgimnazjalnych – nie dłużej niż do ukończenia 21 roku życia, </w:t>
      </w:r>
      <w:r w:rsidRPr="00997591">
        <w:rPr>
          <w:rFonts w:ascii="Verdana" w:hAnsi="Verdana"/>
          <w:sz w:val="20"/>
          <w:szCs w:val="20"/>
        </w:rPr>
        <w:t xml:space="preserve">prawo do bezpłatnych przejazdów, </w:t>
      </w:r>
      <w:r w:rsidR="007131F0" w:rsidRPr="00997591">
        <w:rPr>
          <w:rFonts w:ascii="Verdana" w:hAnsi="Verdana"/>
          <w:sz w:val="20"/>
          <w:szCs w:val="20"/>
        </w:rPr>
        <w:t>zmniejszyła się liczba sprzedanych biletów, a tym samym statystyczna liczba przewiezionych pasażerów</w:t>
      </w:r>
      <w:r w:rsidR="00C9137B">
        <w:rPr>
          <w:rFonts w:ascii="Verdana" w:hAnsi="Verdana"/>
          <w:sz w:val="20"/>
          <w:szCs w:val="20"/>
        </w:rPr>
        <w:t>.</w:t>
      </w:r>
    </w:p>
    <w:p w:rsidR="00846729" w:rsidRPr="00997591" w:rsidRDefault="00CF766F" w:rsidP="00997591">
      <w:pPr>
        <w:spacing w:line="288" w:lineRule="auto"/>
        <w:rPr>
          <w:rFonts w:ascii="Verdana" w:hAnsi="Verdana"/>
          <w:sz w:val="20"/>
          <w:szCs w:val="20"/>
        </w:rPr>
      </w:pPr>
      <w:r w:rsidRPr="00997591">
        <w:rPr>
          <w:rFonts w:ascii="Verdana" w:hAnsi="Verdana"/>
          <w:sz w:val="20"/>
          <w:szCs w:val="20"/>
        </w:rPr>
        <w:t>Błędem jest również w</w:t>
      </w:r>
      <w:r w:rsidR="00572E48" w:rsidRPr="00997591">
        <w:rPr>
          <w:rFonts w:ascii="Verdana" w:hAnsi="Verdana"/>
          <w:sz w:val="20"/>
          <w:szCs w:val="20"/>
        </w:rPr>
        <w:t>skazywanie kolejnego spadku liczby pasażeró</w:t>
      </w:r>
      <w:r w:rsidRPr="00997591">
        <w:rPr>
          <w:rFonts w:ascii="Verdana" w:hAnsi="Verdana"/>
          <w:sz w:val="20"/>
          <w:szCs w:val="20"/>
        </w:rPr>
        <w:t>w o 17% (rok 2019 do roku 2022)</w:t>
      </w:r>
      <w:r w:rsidR="00572E48" w:rsidRPr="00997591">
        <w:rPr>
          <w:rFonts w:ascii="Verdana" w:hAnsi="Verdana"/>
          <w:sz w:val="20"/>
          <w:szCs w:val="20"/>
        </w:rPr>
        <w:t>. Analogicznie</w:t>
      </w:r>
      <w:r w:rsidR="00846729" w:rsidRPr="00997591">
        <w:rPr>
          <w:rFonts w:ascii="Verdana" w:hAnsi="Verdana"/>
          <w:sz w:val="20"/>
          <w:szCs w:val="20"/>
        </w:rPr>
        <w:t>,</w:t>
      </w:r>
      <w:r w:rsidR="00572E48" w:rsidRPr="00997591">
        <w:rPr>
          <w:rFonts w:ascii="Verdana" w:hAnsi="Verdana"/>
          <w:sz w:val="20"/>
          <w:szCs w:val="20"/>
        </w:rPr>
        <w:t xml:space="preserve"> jak do wzrostu sprzedaży biletów</w:t>
      </w:r>
      <w:r w:rsidR="00846729" w:rsidRPr="00997591">
        <w:rPr>
          <w:rFonts w:ascii="Verdana" w:hAnsi="Verdana"/>
          <w:sz w:val="20"/>
          <w:szCs w:val="20"/>
        </w:rPr>
        <w:t>,</w:t>
      </w:r>
      <w:r w:rsidR="00572E48" w:rsidRPr="00997591">
        <w:rPr>
          <w:rFonts w:ascii="Verdana" w:hAnsi="Verdana"/>
          <w:sz w:val="20"/>
          <w:szCs w:val="20"/>
        </w:rPr>
        <w:t xml:space="preserve"> należy</w:t>
      </w:r>
      <w:r w:rsidR="00997591">
        <w:rPr>
          <w:rFonts w:ascii="Verdana" w:hAnsi="Verdana"/>
          <w:sz w:val="20"/>
          <w:szCs w:val="20"/>
        </w:rPr>
        <w:t xml:space="preserve"> </w:t>
      </w:r>
      <w:r w:rsidR="00846729" w:rsidRPr="00997591">
        <w:rPr>
          <w:rFonts w:ascii="Verdana" w:hAnsi="Verdana"/>
          <w:sz w:val="20"/>
          <w:szCs w:val="20"/>
        </w:rPr>
        <w:t>w sposób ciągły (</w:t>
      </w:r>
      <w:r w:rsidR="00C84149" w:rsidRPr="00997591">
        <w:rPr>
          <w:rFonts w:ascii="Verdana" w:hAnsi="Verdana"/>
          <w:sz w:val="20"/>
          <w:szCs w:val="20"/>
        </w:rPr>
        <w:t xml:space="preserve">a </w:t>
      </w:r>
      <w:r w:rsidR="00846729" w:rsidRPr="00997591">
        <w:rPr>
          <w:rFonts w:ascii="Verdana" w:hAnsi="Verdana"/>
          <w:sz w:val="20"/>
          <w:szCs w:val="20"/>
        </w:rPr>
        <w:t>nie punktowy)</w:t>
      </w:r>
      <w:r w:rsidR="00572E48" w:rsidRPr="00997591">
        <w:rPr>
          <w:rFonts w:ascii="Verdana" w:hAnsi="Verdana"/>
          <w:sz w:val="20"/>
          <w:szCs w:val="20"/>
        </w:rPr>
        <w:t xml:space="preserve"> podejść do podawanej liczby pasażerów, która jak widać </w:t>
      </w:r>
      <w:r w:rsidR="001D01CE" w:rsidRPr="00997591">
        <w:rPr>
          <w:rFonts w:ascii="Verdana" w:hAnsi="Verdana"/>
          <w:sz w:val="20"/>
          <w:szCs w:val="20"/>
        </w:rPr>
        <w:t>w prezentowanej wyżej</w:t>
      </w:r>
      <w:r w:rsidR="00572E48" w:rsidRPr="00997591">
        <w:rPr>
          <w:rFonts w:ascii="Verdana" w:hAnsi="Verdana"/>
          <w:sz w:val="20"/>
          <w:szCs w:val="20"/>
        </w:rPr>
        <w:t xml:space="preserve"> tabeli</w:t>
      </w:r>
      <w:r w:rsidR="001D01CE" w:rsidRPr="00997591">
        <w:rPr>
          <w:rFonts w:ascii="Verdana" w:hAnsi="Verdana"/>
          <w:sz w:val="20"/>
          <w:szCs w:val="20"/>
        </w:rPr>
        <w:t>,</w:t>
      </w:r>
      <w:r w:rsidR="0028072C">
        <w:rPr>
          <w:rFonts w:ascii="Verdana" w:hAnsi="Verdana"/>
          <w:sz w:val="20"/>
          <w:szCs w:val="20"/>
        </w:rPr>
        <w:t xml:space="preserve"> </w:t>
      </w:r>
      <w:r w:rsidRPr="00997591">
        <w:rPr>
          <w:rFonts w:ascii="Verdana" w:hAnsi="Verdana"/>
          <w:sz w:val="20"/>
          <w:szCs w:val="20"/>
        </w:rPr>
        <w:t xml:space="preserve">w </w:t>
      </w:r>
      <w:r w:rsidR="007C5C4B" w:rsidRPr="00997591">
        <w:rPr>
          <w:rFonts w:ascii="Verdana" w:hAnsi="Verdana"/>
          <w:sz w:val="20"/>
          <w:szCs w:val="20"/>
        </w:rPr>
        <w:t xml:space="preserve">roku </w:t>
      </w:r>
      <w:r w:rsidRPr="00997591">
        <w:rPr>
          <w:rFonts w:ascii="Verdana" w:hAnsi="Verdana"/>
          <w:sz w:val="20"/>
          <w:szCs w:val="20"/>
        </w:rPr>
        <w:t>2021</w:t>
      </w:r>
      <w:r w:rsidR="007C5C4B" w:rsidRPr="00997591">
        <w:rPr>
          <w:rFonts w:ascii="Verdana" w:hAnsi="Verdana"/>
          <w:sz w:val="20"/>
          <w:szCs w:val="20"/>
        </w:rPr>
        <w:t xml:space="preserve"> i </w:t>
      </w:r>
      <w:r w:rsidRPr="00997591">
        <w:rPr>
          <w:rFonts w:ascii="Verdana" w:hAnsi="Verdana"/>
          <w:sz w:val="20"/>
          <w:szCs w:val="20"/>
        </w:rPr>
        <w:t xml:space="preserve">2022 </w:t>
      </w:r>
      <w:r w:rsidR="00572E48" w:rsidRPr="00997591">
        <w:rPr>
          <w:rFonts w:ascii="Verdana" w:hAnsi="Verdana"/>
          <w:sz w:val="20"/>
          <w:szCs w:val="20"/>
        </w:rPr>
        <w:t>przyjmuje wartości wzrostowe</w:t>
      </w:r>
      <w:r w:rsidRPr="00997591">
        <w:rPr>
          <w:rFonts w:ascii="Verdana" w:hAnsi="Verdana"/>
          <w:sz w:val="20"/>
          <w:szCs w:val="20"/>
        </w:rPr>
        <w:t xml:space="preserve"> w stosunku do roku </w:t>
      </w:r>
      <w:r w:rsidR="006816F4" w:rsidRPr="00997591">
        <w:rPr>
          <w:rFonts w:ascii="Verdana" w:hAnsi="Verdana"/>
          <w:sz w:val="20"/>
          <w:szCs w:val="20"/>
        </w:rPr>
        <w:t>poprzedniego</w:t>
      </w:r>
      <w:r w:rsidR="00997591">
        <w:rPr>
          <w:rFonts w:ascii="Verdana" w:hAnsi="Verdana"/>
          <w:sz w:val="20"/>
          <w:szCs w:val="20"/>
        </w:rPr>
        <w:t>.</w:t>
      </w:r>
    </w:p>
    <w:p w:rsidR="00166C2F" w:rsidRPr="00997591" w:rsidRDefault="00892EC9" w:rsidP="00997591">
      <w:pPr>
        <w:spacing w:line="288" w:lineRule="auto"/>
        <w:rPr>
          <w:rFonts w:ascii="Verdana" w:hAnsi="Verdana"/>
          <w:sz w:val="20"/>
          <w:szCs w:val="20"/>
        </w:rPr>
      </w:pPr>
      <w:r w:rsidRPr="00997591">
        <w:rPr>
          <w:rFonts w:ascii="Verdana" w:hAnsi="Verdana"/>
          <w:sz w:val="20"/>
          <w:szCs w:val="20"/>
        </w:rPr>
        <w:t xml:space="preserve">Biorąc pod uwagę wskazane wyżej czynniki społeczne oraz zaprezentowane wyniki </w:t>
      </w:r>
      <w:r w:rsidR="001D1593" w:rsidRPr="00997591">
        <w:rPr>
          <w:rFonts w:ascii="Verdana" w:hAnsi="Verdana"/>
          <w:sz w:val="20"/>
          <w:szCs w:val="20"/>
        </w:rPr>
        <w:t xml:space="preserve">sprzedaży biletów </w:t>
      </w:r>
      <w:r w:rsidR="00102195" w:rsidRPr="00997591">
        <w:rPr>
          <w:rFonts w:ascii="Verdana" w:hAnsi="Verdana"/>
          <w:sz w:val="20"/>
          <w:szCs w:val="20"/>
        </w:rPr>
        <w:t xml:space="preserve">i liczby pasażerów </w:t>
      </w:r>
      <w:r w:rsidRPr="00997591">
        <w:rPr>
          <w:rFonts w:ascii="Verdana" w:hAnsi="Verdana"/>
          <w:sz w:val="20"/>
          <w:szCs w:val="20"/>
        </w:rPr>
        <w:t>wyraźnie widać, że następuje regularny powrót pasażerów do komunikacji zbiorowej. „Kosmiczne podwyżki”</w:t>
      </w:r>
      <w:r w:rsidR="00CF766F" w:rsidRPr="00997591">
        <w:rPr>
          <w:rFonts w:ascii="Verdana" w:hAnsi="Verdana"/>
          <w:sz w:val="20"/>
          <w:szCs w:val="20"/>
        </w:rPr>
        <w:t xml:space="preserve"> obowiązujące od 1 stycznia 2021 r.</w:t>
      </w:r>
      <w:r w:rsidRPr="00997591">
        <w:rPr>
          <w:rFonts w:ascii="Verdana" w:hAnsi="Verdana"/>
          <w:sz w:val="20"/>
          <w:szCs w:val="20"/>
        </w:rPr>
        <w:t xml:space="preserve"> nie spowodowały więc spadku „liczby użytkowników </w:t>
      </w:r>
      <w:r w:rsidR="00997591" w:rsidRPr="00997591">
        <w:rPr>
          <w:rFonts w:ascii="Verdana" w:hAnsi="Verdana"/>
          <w:sz w:val="20"/>
          <w:szCs w:val="20"/>
        </w:rPr>
        <w:t>M</w:t>
      </w:r>
      <w:r w:rsidR="00997591">
        <w:rPr>
          <w:rFonts w:ascii="Verdana" w:hAnsi="Verdana"/>
          <w:sz w:val="20"/>
          <w:szCs w:val="20"/>
        </w:rPr>
        <w:t xml:space="preserve">iejskiego </w:t>
      </w:r>
      <w:r w:rsidR="00997591" w:rsidRPr="00997591">
        <w:rPr>
          <w:rFonts w:ascii="Verdana" w:hAnsi="Verdana"/>
          <w:sz w:val="20"/>
          <w:szCs w:val="20"/>
        </w:rPr>
        <w:t>P</w:t>
      </w:r>
      <w:r w:rsidR="00997591">
        <w:rPr>
          <w:rFonts w:ascii="Verdana" w:hAnsi="Verdana"/>
          <w:sz w:val="20"/>
          <w:szCs w:val="20"/>
        </w:rPr>
        <w:t xml:space="preserve">rzedsiębiorstwa </w:t>
      </w:r>
      <w:r w:rsidR="00997591" w:rsidRPr="00997591">
        <w:rPr>
          <w:rFonts w:ascii="Verdana" w:hAnsi="Verdana"/>
          <w:sz w:val="20"/>
          <w:szCs w:val="20"/>
        </w:rPr>
        <w:t>K</w:t>
      </w:r>
      <w:r w:rsidR="00997591">
        <w:rPr>
          <w:rFonts w:ascii="Verdana" w:hAnsi="Verdana"/>
          <w:sz w:val="20"/>
          <w:szCs w:val="20"/>
        </w:rPr>
        <w:t>omunikacyjnego</w:t>
      </w:r>
      <w:r w:rsidRPr="00997591">
        <w:rPr>
          <w:rFonts w:ascii="Verdana" w:hAnsi="Verdana"/>
          <w:sz w:val="20"/>
          <w:szCs w:val="20"/>
        </w:rPr>
        <w:t>”.</w:t>
      </w:r>
    </w:p>
    <w:p w:rsidR="00A27788" w:rsidRPr="00997591" w:rsidRDefault="00A27788" w:rsidP="00997591">
      <w:pPr>
        <w:spacing w:line="288" w:lineRule="auto"/>
        <w:rPr>
          <w:rFonts w:ascii="Verdana" w:hAnsi="Verdana"/>
          <w:sz w:val="20"/>
          <w:szCs w:val="20"/>
        </w:rPr>
      </w:pPr>
      <w:r w:rsidRPr="00997591">
        <w:rPr>
          <w:rFonts w:ascii="Verdana" w:hAnsi="Verdana"/>
          <w:sz w:val="20"/>
          <w:szCs w:val="20"/>
        </w:rPr>
        <w:t xml:space="preserve">Wskazać należy również, że ceny biletów obowiązujące we Wrocławiu nie odbiegają w żaden sposób od cen obowiązujących w innych miastach Polski, a wprowadzanie „kart mieszkańca” i przywilejów z nich wynikających jest naturalnym przejawem dbałości </w:t>
      </w:r>
      <w:r w:rsidR="00CF766F" w:rsidRPr="00997591">
        <w:rPr>
          <w:rFonts w:ascii="Verdana" w:hAnsi="Verdana"/>
          <w:sz w:val="20"/>
          <w:szCs w:val="20"/>
        </w:rPr>
        <w:t xml:space="preserve">organów i jednostek stanowiących miejscowe prawo </w:t>
      </w:r>
      <w:r w:rsidRPr="00997591">
        <w:rPr>
          <w:rFonts w:ascii="Verdana" w:hAnsi="Verdana"/>
          <w:sz w:val="20"/>
          <w:szCs w:val="20"/>
        </w:rPr>
        <w:t>o swoich mieszkańców, którzy poprzez odprowadzane podatki współfinansują usługi miejskie, w tym komunikację zbiorową.</w:t>
      </w:r>
    </w:p>
    <w:p w:rsidR="00892EC9" w:rsidRPr="00997591" w:rsidRDefault="007F15D6" w:rsidP="00997591">
      <w:pPr>
        <w:spacing w:line="288" w:lineRule="auto"/>
        <w:rPr>
          <w:rFonts w:ascii="Verdana" w:hAnsi="Verdana"/>
          <w:sz w:val="20"/>
          <w:szCs w:val="20"/>
        </w:rPr>
      </w:pPr>
      <w:r w:rsidRPr="00997591">
        <w:rPr>
          <w:rFonts w:ascii="Verdana" w:hAnsi="Verdana"/>
          <w:sz w:val="20"/>
          <w:szCs w:val="20"/>
        </w:rPr>
        <w:t>Mając na uwadze</w:t>
      </w:r>
      <w:r w:rsidR="00A27788" w:rsidRPr="00997591">
        <w:rPr>
          <w:rFonts w:ascii="Verdana" w:hAnsi="Verdana"/>
          <w:sz w:val="20"/>
          <w:szCs w:val="20"/>
        </w:rPr>
        <w:t xml:space="preserve"> przytoczone argumenty,</w:t>
      </w:r>
      <w:r w:rsidRPr="00997591">
        <w:rPr>
          <w:rFonts w:ascii="Verdana" w:hAnsi="Verdana"/>
          <w:sz w:val="20"/>
          <w:szCs w:val="20"/>
        </w:rPr>
        <w:t xml:space="preserve"> sytuację gospodarczą oraz wskaźniki ekonomiczne (inflacja)</w:t>
      </w:r>
      <w:r w:rsidR="00A27788" w:rsidRPr="00997591">
        <w:rPr>
          <w:rFonts w:ascii="Verdana" w:hAnsi="Verdana"/>
          <w:sz w:val="20"/>
          <w:szCs w:val="20"/>
        </w:rPr>
        <w:t>, p</w:t>
      </w:r>
      <w:r w:rsidRPr="00997591">
        <w:rPr>
          <w:rFonts w:ascii="Verdana" w:hAnsi="Verdana"/>
          <w:sz w:val="20"/>
          <w:szCs w:val="20"/>
        </w:rPr>
        <w:t>rzywracanie cen biletów do obowiązujących sprzed 1 stycznia 2021 r. jest nieuzasadnione</w:t>
      </w:r>
      <w:r w:rsidR="00C9137B">
        <w:rPr>
          <w:rFonts w:ascii="Verdana" w:hAnsi="Verdana"/>
          <w:sz w:val="20"/>
          <w:szCs w:val="20"/>
        </w:rPr>
        <w:t>.</w:t>
      </w:r>
    </w:p>
    <w:p w:rsidR="00E153E7" w:rsidRPr="00997591" w:rsidRDefault="00EC15D1" w:rsidP="00997591">
      <w:pPr>
        <w:spacing w:line="288" w:lineRule="auto"/>
        <w:rPr>
          <w:rFonts w:ascii="Verdana" w:hAnsi="Verdana" w:cs="Arial"/>
          <w:spacing w:val="2"/>
          <w:sz w:val="20"/>
          <w:szCs w:val="20"/>
        </w:rPr>
      </w:pPr>
      <w:r w:rsidRPr="00997591">
        <w:rPr>
          <w:rFonts w:ascii="Verdana" w:hAnsi="Verdana" w:cs="Arial"/>
          <w:spacing w:val="2"/>
          <w:sz w:val="20"/>
          <w:szCs w:val="20"/>
        </w:rPr>
        <w:t xml:space="preserve">Odnosząc się do </w:t>
      </w:r>
      <w:r w:rsidR="003E7EE8" w:rsidRPr="00997591">
        <w:rPr>
          <w:rFonts w:ascii="Verdana" w:hAnsi="Verdana" w:cs="Arial"/>
          <w:spacing w:val="2"/>
          <w:sz w:val="20"/>
          <w:szCs w:val="20"/>
        </w:rPr>
        <w:t>kwestii</w:t>
      </w:r>
      <w:r w:rsidRPr="00997591">
        <w:rPr>
          <w:rFonts w:ascii="Verdana" w:hAnsi="Verdana" w:cs="Arial"/>
          <w:spacing w:val="2"/>
          <w:sz w:val="20"/>
          <w:szCs w:val="20"/>
        </w:rPr>
        <w:t xml:space="preserve"> dotyczącej wprowadzenia</w:t>
      </w:r>
      <w:r w:rsidR="00F77E2F" w:rsidRPr="00997591">
        <w:rPr>
          <w:rFonts w:ascii="Verdana" w:hAnsi="Verdana" w:cs="Arial"/>
          <w:spacing w:val="2"/>
          <w:sz w:val="20"/>
          <w:szCs w:val="20"/>
        </w:rPr>
        <w:t>,</w:t>
      </w:r>
      <w:r w:rsidR="00C9137B">
        <w:rPr>
          <w:rFonts w:ascii="Verdana" w:hAnsi="Verdana" w:cs="Arial"/>
          <w:spacing w:val="2"/>
          <w:sz w:val="20"/>
          <w:szCs w:val="20"/>
        </w:rPr>
        <w:t xml:space="preserve"> </w:t>
      </w:r>
      <w:r w:rsidR="00462E0F" w:rsidRPr="00997591">
        <w:rPr>
          <w:rFonts w:ascii="Verdana" w:hAnsi="Verdana" w:cs="Arial"/>
          <w:spacing w:val="2"/>
          <w:sz w:val="20"/>
          <w:szCs w:val="20"/>
        </w:rPr>
        <w:t>wzorem Wiednia</w:t>
      </w:r>
      <w:r w:rsidR="00F77E2F" w:rsidRPr="00997591">
        <w:rPr>
          <w:rFonts w:ascii="Verdana" w:hAnsi="Verdana" w:cs="Arial"/>
          <w:spacing w:val="2"/>
          <w:sz w:val="20"/>
          <w:szCs w:val="20"/>
        </w:rPr>
        <w:t>,</w:t>
      </w:r>
      <w:r w:rsidR="00C9137B">
        <w:rPr>
          <w:rFonts w:ascii="Verdana" w:hAnsi="Verdana" w:cs="Arial"/>
          <w:spacing w:val="2"/>
          <w:sz w:val="20"/>
          <w:szCs w:val="20"/>
        </w:rPr>
        <w:t xml:space="preserve"> </w:t>
      </w:r>
      <w:r w:rsidRPr="00997591">
        <w:rPr>
          <w:rFonts w:ascii="Verdana" w:hAnsi="Verdana" w:cs="Arial"/>
          <w:spacing w:val="2"/>
          <w:sz w:val="20"/>
          <w:szCs w:val="20"/>
        </w:rPr>
        <w:t xml:space="preserve">biletu na 365 dni </w:t>
      </w:r>
      <w:r w:rsidR="00ED0F0B" w:rsidRPr="00997591">
        <w:rPr>
          <w:rFonts w:ascii="Verdana" w:hAnsi="Verdana" w:cs="Arial"/>
          <w:spacing w:val="2"/>
          <w:sz w:val="20"/>
          <w:szCs w:val="20"/>
        </w:rPr>
        <w:t>dla wszystkich pasażerów</w:t>
      </w:r>
      <w:r w:rsidR="007F15D6" w:rsidRPr="00997591">
        <w:rPr>
          <w:rFonts w:ascii="Verdana" w:hAnsi="Verdana" w:cs="Arial"/>
          <w:spacing w:val="2"/>
          <w:sz w:val="20"/>
          <w:szCs w:val="20"/>
        </w:rPr>
        <w:t xml:space="preserve"> w cenie</w:t>
      </w:r>
      <w:r w:rsidR="00ED0F0B" w:rsidRPr="00997591">
        <w:rPr>
          <w:rFonts w:ascii="Verdana" w:hAnsi="Verdana" w:cs="Arial"/>
          <w:spacing w:val="2"/>
          <w:sz w:val="20"/>
          <w:szCs w:val="20"/>
        </w:rPr>
        <w:t xml:space="preserve"> 365 zł</w:t>
      </w:r>
      <w:r w:rsidR="00C9137B">
        <w:rPr>
          <w:rFonts w:ascii="Verdana" w:hAnsi="Verdana" w:cs="Arial"/>
          <w:spacing w:val="2"/>
          <w:sz w:val="20"/>
          <w:szCs w:val="20"/>
        </w:rPr>
        <w:t xml:space="preserve"> </w:t>
      </w:r>
      <w:r w:rsidR="00E153E7" w:rsidRPr="00997591">
        <w:rPr>
          <w:rFonts w:ascii="Verdana" w:hAnsi="Verdana" w:cs="Arial"/>
          <w:spacing w:val="2"/>
          <w:sz w:val="20"/>
          <w:szCs w:val="20"/>
        </w:rPr>
        <w:t xml:space="preserve">przypominam, że Wrocławskie Koło Partii Zielonych kierowało do Biura Rady Miejskiej </w:t>
      </w:r>
      <w:r w:rsidR="003E04E5" w:rsidRPr="00997591">
        <w:rPr>
          <w:rFonts w:ascii="Verdana" w:hAnsi="Verdana" w:cs="Arial"/>
          <w:spacing w:val="2"/>
          <w:sz w:val="20"/>
          <w:szCs w:val="20"/>
        </w:rPr>
        <w:t>tożsamą w tym zakresie</w:t>
      </w:r>
      <w:r w:rsidR="00C9137B">
        <w:rPr>
          <w:rFonts w:ascii="Verdana" w:hAnsi="Verdana" w:cs="Arial"/>
          <w:spacing w:val="2"/>
          <w:sz w:val="20"/>
          <w:szCs w:val="20"/>
        </w:rPr>
        <w:t xml:space="preserve"> petycję z dnia 14 maja 2021 r.</w:t>
      </w:r>
    </w:p>
    <w:p w:rsidR="007F15D6" w:rsidRPr="00997591" w:rsidRDefault="00F77E2F" w:rsidP="00997591">
      <w:pPr>
        <w:spacing w:line="288" w:lineRule="auto"/>
        <w:rPr>
          <w:rFonts w:ascii="Verdana" w:hAnsi="Verdana" w:cs="Arial"/>
          <w:spacing w:val="2"/>
          <w:sz w:val="20"/>
          <w:szCs w:val="20"/>
        </w:rPr>
      </w:pPr>
      <w:r w:rsidRPr="00997591">
        <w:rPr>
          <w:rFonts w:ascii="Verdana" w:hAnsi="Verdana" w:cs="Arial"/>
          <w:spacing w:val="2"/>
          <w:sz w:val="20"/>
          <w:szCs w:val="20"/>
        </w:rPr>
        <w:t xml:space="preserve">W uzasadnieniu do </w:t>
      </w:r>
      <w:r w:rsidR="00E5153C" w:rsidRPr="00997591">
        <w:rPr>
          <w:rFonts w:ascii="Verdana" w:hAnsi="Verdana" w:cs="Arial"/>
          <w:spacing w:val="2"/>
          <w:sz w:val="20"/>
          <w:szCs w:val="20"/>
        </w:rPr>
        <w:t>przyjęcia uchwały</w:t>
      </w:r>
      <w:r w:rsidR="00DE25C3" w:rsidRPr="00997591">
        <w:rPr>
          <w:rFonts w:ascii="Verdana" w:hAnsi="Verdana" w:cs="Arial"/>
          <w:spacing w:val="2"/>
          <w:sz w:val="20"/>
          <w:szCs w:val="20"/>
        </w:rPr>
        <w:t xml:space="preserve"> nie uwzględniającej </w:t>
      </w:r>
      <w:r w:rsidRPr="00997591">
        <w:rPr>
          <w:rFonts w:ascii="Verdana" w:hAnsi="Verdana" w:cs="Arial"/>
          <w:spacing w:val="2"/>
          <w:sz w:val="20"/>
          <w:szCs w:val="20"/>
        </w:rPr>
        <w:t>w</w:t>
      </w:r>
      <w:r w:rsidR="00C9137B">
        <w:rPr>
          <w:rFonts w:ascii="Verdana" w:hAnsi="Verdana" w:cs="Arial"/>
          <w:spacing w:val="2"/>
          <w:sz w:val="20"/>
          <w:szCs w:val="20"/>
        </w:rPr>
        <w:t>yżej wymienioną</w:t>
      </w:r>
      <w:r w:rsidRPr="00997591">
        <w:rPr>
          <w:rFonts w:ascii="Verdana" w:hAnsi="Verdana" w:cs="Arial"/>
          <w:spacing w:val="2"/>
          <w:sz w:val="20"/>
          <w:szCs w:val="20"/>
        </w:rPr>
        <w:t xml:space="preserve"> petycj</w:t>
      </w:r>
      <w:r w:rsidR="00DE25C3" w:rsidRPr="00997591">
        <w:rPr>
          <w:rFonts w:ascii="Verdana" w:hAnsi="Verdana" w:cs="Arial"/>
          <w:spacing w:val="2"/>
          <w:sz w:val="20"/>
          <w:szCs w:val="20"/>
        </w:rPr>
        <w:t>ę</w:t>
      </w:r>
      <w:r w:rsidR="00C9137B">
        <w:rPr>
          <w:rFonts w:ascii="Verdana" w:hAnsi="Verdana" w:cs="Arial"/>
          <w:spacing w:val="2"/>
          <w:sz w:val="20"/>
          <w:szCs w:val="20"/>
        </w:rPr>
        <w:t xml:space="preserve"> </w:t>
      </w:r>
      <w:r w:rsidR="00892B6D" w:rsidRPr="00997591">
        <w:rPr>
          <w:rFonts w:ascii="Verdana" w:hAnsi="Verdana" w:cs="Arial"/>
          <w:spacing w:val="2"/>
          <w:sz w:val="20"/>
          <w:szCs w:val="20"/>
        </w:rPr>
        <w:t xml:space="preserve">wskazano </w:t>
      </w:r>
      <w:r w:rsidR="005D4ADC" w:rsidRPr="00997591">
        <w:rPr>
          <w:rFonts w:ascii="Verdana" w:hAnsi="Verdana" w:cs="Arial"/>
          <w:spacing w:val="2"/>
          <w:sz w:val="20"/>
          <w:szCs w:val="20"/>
        </w:rPr>
        <w:t xml:space="preserve">pominięcie </w:t>
      </w:r>
      <w:r w:rsidR="00B96EDD" w:rsidRPr="00997591">
        <w:rPr>
          <w:rFonts w:ascii="Verdana" w:hAnsi="Verdana" w:cs="Arial"/>
          <w:spacing w:val="2"/>
          <w:sz w:val="20"/>
          <w:szCs w:val="20"/>
        </w:rPr>
        <w:t xml:space="preserve">przez </w:t>
      </w:r>
      <w:r w:rsidR="00F2479A" w:rsidRPr="00997591">
        <w:rPr>
          <w:rFonts w:ascii="Verdana" w:hAnsi="Verdana" w:cs="Arial"/>
          <w:spacing w:val="2"/>
          <w:sz w:val="20"/>
          <w:szCs w:val="20"/>
        </w:rPr>
        <w:t xml:space="preserve">jej autorów </w:t>
      </w:r>
      <w:r w:rsidR="005D4ADC" w:rsidRPr="00997591">
        <w:rPr>
          <w:rFonts w:ascii="Verdana" w:hAnsi="Verdana" w:cs="Arial"/>
          <w:spacing w:val="2"/>
          <w:sz w:val="20"/>
          <w:szCs w:val="20"/>
        </w:rPr>
        <w:t xml:space="preserve">istotnych statystyk </w:t>
      </w:r>
      <w:r w:rsidR="00F2479A" w:rsidRPr="00997591">
        <w:rPr>
          <w:rFonts w:ascii="Verdana" w:hAnsi="Verdana" w:cs="Arial"/>
          <w:spacing w:val="2"/>
          <w:sz w:val="20"/>
          <w:szCs w:val="20"/>
        </w:rPr>
        <w:t xml:space="preserve">dotyczących </w:t>
      </w:r>
      <w:r w:rsidR="005D4ADC" w:rsidRPr="00997591">
        <w:rPr>
          <w:rFonts w:ascii="Verdana" w:hAnsi="Verdana" w:cs="Arial"/>
          <w:spacing w:val="2"/>
          <w:sz w:val="20"/>
          <w:szCs w:val="20"/>
        </w:rPr>
        <w:t>skutków zmiany cen oraz</w:t>
      </w:r>
      <w:r w:rsidR="0028072C">
        <w:rPr>
          <w:rFonts w:ascii="Verdana" w:hAnsi="Verdana" w:cs="Arial"/>
          <w:spacing w:val="2"/>
          <w:sz w:val="20"/>
          <w:szCs w:val="20"/>
        </w:rPr>
        <w:t xml:space="preserve"> </w:t>
      </w:r>
      <w:r w:rsidR="00E153E7" w:rsidRPr="00997591">
        <w:rPr>
          <w:rFonts w:ascii="Verdana" w:hAnsi="Verdana" w:cs="Arial"/>
          <w:spacing w:val="2"/>
          <w:sz w:val="20"/>
          <w:szCs w:val="20"/>
        </w:rPr>
        <w:t xml:space="preserve">nieadekwatność porównywania </w:t>
      </w:r>
      <w:r w:rsidRPr="00997591">
        <w:rPr>
          <w:rFonts w:ascii="Verdana" w:hAnsi="Verdana" w:cs="Arial"/>
          <w:spacing w:val="2"/>
          <w:sz w:val="20"/>
          <w:szCs w:val="20"/>
        </w:rPr>
        <w:t>realiów ekonomicznych w Polsce i Austrii:</w:t>
      </w:r>
    </w:p>
    <w:p w:rsidR="003C701C" w:rsidRPr="00997591" w:rsidRDefault="003C701C" w:rsidP="00997591">
      <w:pPr>
        <w:spacing w:line="288" w:lineRule="auto"/>
        <w:rPr>
          <w:rFonts w:ascii="Verdana" w:hAnsi="Verdana" w:cs="Arial"/>
          <w:spacing w:val="2"/>
          <w:sz w:val="20"/>
          <w:szCs w:val="20"/>
        </w:rPr>
      </w:pPr>
      <w:r w:rsidRPr="00997591">
        <w:rPr>
          <w:rFonts w:ascii="Verdana" w:hAnsi="Verdana" w:cs="Arial"/>
          <w:spacing w:val="2"/>
          <w:sz w:val="20"/>
          <w:szCs w:val="20"/>
        </w:rPr>
        <w:t>„Jako wzorzec proponowanych regulacji autorzy pism</w:t>
      </w:r>
      <w:r w:rsidR="00C9137B">
        <w:rPr>
          <w:rFonts w:ascii="Verdana" w:hAnsi="Verdana" w:cs="Arial"/>
          <w:spacing w:val="2"/>
          <w:sz w:val="20"/>
          <w:szCs w:val="20"/>
        </w:rPr>
        <w:t xml:space="preserve">a wskazują bilet obowiązujący w </w:t>
      </w:r>
      <w:r w:rsidRPr="00997591">
        <w:rPr>
          <w:rFonts w:ascii="Verdana" w:hAnsi="Verdana" w:cs="Arial"/>
          <w:spacing w:val="2"/>
          <w:sz w:val="20"/>
          <w:szCs w:val="20"/>
        </w:rPr>
        <w:t xml:space="preserve">Wiedniu, gdzie w 2012 roku została obniżona cena biletu </w:t>
      </w:r>
      <w:r w:rsidRPr="00997591">
        <w:rPr>
          <w:rFonts w:ascii="Verdana" w:hAnsi="Verdana" w:cs="Arial"/>
          <w:spacing w:val="2"/>
          <w:sz w:val="20"/>
          <w:szCs w:val="20"/>
        </w:rPr>
        <w:lastRenderedPageBreak/>
        <w:t xml:space="preserve">rocznego na komunikację miejską z 449 € na 365 €, co skutkowało wzrostem sprzedaży tych biletów w latach 2012-2018 z 663 tys. szt. do 850 tys. szt. </w:t>
      </w:r>
    </w:p>
    <w:p w:rsidR="003C701C" w:rsidRPr="00997591" w:rsidRDefault="003C701C" w:rsidP="00997591">
      <w:pPr>
        <w:spacing w:line="288" w:lineRule="auto"/>
        <w:rPr>
          <w:rFonts w:ascii="Verdana" w:eastAsia="+mn-ea" w:hAnsi="Verdana"/>
          <w:sz w:val="20"/>
          <w:szCs w:val="20"/>
        </w:rPr>
      </w:pPr>
      <w:r w:rsidRPr="00997591">
        <w:rPr>
          <w:rFonts w:ascii="Verdana" w:hAnsi="Verdana" w:cs="Arial"/>
          <w:spacing w:val="2"/>
          <w:sz w:val="20"/>
          <w:szCs w:val="20"/>
        </w:rPr>
        <w:t>Przez wnioskodawców pominięte zostały jednak inne statystyki dotyczące skutków obniżenia ceny rocznego biletu w stolicy Austrii, t</w:t>
      </w:r>
      <w:r w:rsidR="00C9137B">
        <w:rPr>
          <w:rFonts w:ascii="Verdana" w:hAnsi="Verdana" w:cs="Arial"/>
          <w:spacing w:val="2"/>
          <w:sz w:val="20"/>
          <w:szCs w:val="20"/>
        </w:rPr>
        <w:t>o jest</w:t>
      </w:r>
      <w:r w:rsidRPr="00997591">
        <w:rPr>
          <w:rFonts w:ascii="Verdana" w:hAnsi="Verdana" w:cs="Arial"/>
          <w:spacing w:val="2"/>
          <w:sz w:val="20"/>
          <w:szCs w:val="20"/>
        </w:rPr>
        <w:t xml:space="preserve"> np. fakt, iż</w:t>
      </w:r>
      <w:r w:rsidR="00C9137B">
        <w:rPr>
          <w:rFonts w:ascii="Verdana" w:hAnsi="Verdana" w:cs="Arial"/>
          <w:spacing w:val="2"/>
          <w:sz w:val="20"/>
          <w:szCs w:val="20"/>
        </w:rPr>
        <w:t xml:space="preserve"> </w:t>
      </w:r>
      <w:r w:rsidR="00C9137B">
        <w:rPr>
          <w:rFonts w:ascii="Verdana" w:eastAsia="+mn-ea" w:hAnsi="Verdana"/>
          <w:sz w:val="20"/>
          <w:szCs w:val="20"/>
        </w:rPr>
        <w:t xml:space="preserve">w </w:t>
      </w:r>
      <w:r w:rsidRPr="00997591">
        <w:rPr>
          <w:rFonts w:ascii="Verdana" w:eastAsia="+mn-ea" w:hAnsi="Verdana"/>
          <w:sz w:val="20"/>
          <w:szCs w:val="20"/>
        </w:rPr>
        <w:t>pierwszym roku od wdrożenia (2013) liczba sprzedanych biletów rocznych wzrosła o prawie o 80 tys. szt.</w:t>
      </w:r>
      <w:r w:rsidR="00C9137B">
        <w:rPr>
          <w:rFonts w:ascii="Verdana" w:eastAsia="+mn-ea" w:hAnsi="Verdana"/>
          <w:sz w:val="20"/>
          <w:szCs w:val="20"/>
        </w:rPr>
        <w:t>,</w:t>
      </w:r>
      <w:r w:rsidRPr="00997591">
        <w:rPr>
          <w:rFonts w:ascii="Verdana" w:eastAsia="+mn-ea" w:hAnsi="Verdana"/>
          <w:sz w:val="20"/>
          <w:szCs w:val="20"/>
        </w:rPr>
        <w:t xml:space="preserve"> ale przyrost liczby pasażerów wyniósł zaledwie 9% (poniżej średnich z lat poprzednich). Nastąpił również wzrost udziału transportu publicznego w sposobach porus</w:t>
      </w:r>
      <w:r w:rsidR="00C9137B">
        <w:rPr>
          <w:rFonts w:ascii="Verdana" w:eastAsia="+mn-ea" w:hAnsi="Verdana"/>
          <w:sz w:val="20"/>
          <w:szCs w:val="20"/>
        </w:rPr>
        <w:t xml:space="preserve">zania się mieszkańców Wiednia o </w:t>
      </w:r>
      <w:r w:rsidRPr="00997591">
        <w:rPr>
          <w:rFonts w:ascii="Verdana" w:eastAsia="+mn-ea" w:hAnsi="Verdana"/>
          <w:sz w:val="20"/>
          <w:szCs w:val="20"/>
        </w:rPr>
        <w:t>1% (z 37% do 38%), ale okazał się on chwilowy - odnotowano następnie spadki do poziomu sprzed reformy biletowej (29%). Trudno zatem wnioskować, iż wprowadzone zmiany w cenie biletu rocznego przyciągnęły nowych pasażerów do wied</w:t>
      </w:r>
      <w:r w:rsidR="00C9137B">
        <w:rPr>
          <w:rFonts w:ascii="Verdana" w:eastAsia="+mn-ea" w:hAnsi="Verdana"/>
          <w:sz w:val="20"/>
          <w:szCs w:val="20"/>
        </w:rPr>
        <w:t>eńskiej komunikacji publicznej.</w:t>
      </w:r>
    </w:p>
    <w:p w:rsidR="003C701C" w:rsidRPr="00997591" w:rsidRDefault="003C701C" w:rsidP="00997591">
      <w:pPr>
        <w:spacing w:line="288" w:lineRule="auto"/>
        <w:rPr>
          <w:rFonts w:ascii="Verdana" w:eastAsia="+mn-ea" w:hAnsi="Verdana"/>
          <w:sz w:val="20"/>
          <w:szCs w:val="20"/>
        </w:rPr>
      </w:pPr>
      <w:r w:rsidRPr="00997591">
        <w:rPr>
          <w:rFonts w:ascii="Verdana" w:eastAsia="+mn-ea" w:hAnsi="Verdana"/>
          <w:sz w:val="20"/>
          <w:szCs w:val="20"/>
        </w:rPr>
        <w:t>Podkreślić również należy, iż wnioskodawcy zdają się całkowicie ignorować odmienne uwar</w:t>
      </w:r>
      <w:r w:rsidR="00C9137B">
        <w:rPr>
          <w:rFonts w:ascii="Verdana" w:eastAsia="+mn-ea" w:hAnsi="Verdana"/>
          <w:sz w:val="20"/>
          <w:szCs w:val="20"/>
        </w:rPr>
        <w:t xml:space="preserve">unkowania dotyczące wielkości i </w:t>
      </w:r>
      <w:r w:rsidRPr="00997591">
        <w:rPr>
          <w:rFonts w:ascii="Verdana" w:eastAsia="+mn-ea" w:hAnsi="Verdana"/>
          <w:sz w:val="20"/>
          <w:szCs w:val="20"/>
        </w:rPr>
        <w:t>realiów ekonomicznych Wrocławia i stolicy Austrii. Wiedeń bowiem będący piątym pod względem liczby ludności miastem w Europie (ok. 1,9 mln mieszkańców) posiada kilkunastokrotnie większy budżet miejski w wysokości 15,1 mld €, a także sieć komunikacyjną</w:t>
      </w:r>
      <w:r w:rsidR="00C9137B">
        <w:rPr>
          <w:rFonts w:ascii="Verdana" w:eastAsia="+mn-ea" w:hAnsi="Verdana"/>
          <w:sz w:val="20"/>
          <w:szCs w:val="20"/>
        </w:rPr>
        <w:t>,</w:t>
      </w:r>
      <w:r w:rsidRPr="00997591">
        <w:rPr>
          <w:rFonts w:ascii="Verdana" w:eastAsia="+mn-ea" w:hAnsi="Verdana"/>
          <w:sz w:val="20"/>
          <w:szCs w:val="20"/>
        </w:rPr>
        <w:t xml:space="preserve"> na którą składają się: metro, kolej miejska, tramwaje oraz autobusy o łącznej długości 1150 km, </w:t>
      </w:r>
      <w:r w:rsidRPr="00997591">
        <w:rPr>
          <w:rFonts w:ascii="Verdana" w:hAnsi="Verdana"/>
          <w:sz w:val="20"/>
          <w:szCs w:val="20"/>
        </w:rPr>
        <w:t xml:space="preserve">która przewiozła </w:t>
      </w:r>
      <w:r w:rsidRPr="00997591">
        <w:rPr>
          <w:rFonts w:ascii="Verdana" w:eastAsia="+mn-ea" w:hAnsi="Verdana"/>
          <w:sz w:val="20"/>
          <w:szCs w:val="20"/>
        </w:rPr>
        <w:t>w 2020 roku 574 mln pasażerów (we Wr</w:t>
      </w:r>
      <w:r w:rsidR="00C9137B">
        <w:rPr>
          <w:rFonts w:ascii="Verdana" w:eastAsia="+mn-ea" w:hAnsi="Verdana"/>
          <w:sz w:val="20"/>
          <w:szCs w:val="20"/>
        </w:rPr>
        <w:t>ocławiu ok. 200 mln w 2019 r.).</w:t>
      </w:r>
    </w:p>
    <w:p w:rsidR="003C701C" w:rsidRPr="00997591" w:rsidRDefault="003C701C" w:rsidP="00997591">
      <w:pPr>
        <w:spacing w:line="288" w:lineRule="auto"/>
        <w:rPr>
          <w:rFonts w:ascii="Verdana" w:eastAsia="+mn-ea" w:hAnsi="Verdana"/>
          <w:sz w:val="20"/>
          <w:szCs w:val="20"/>
        </w:rPr>
      </w:pPr>
      <w:r w:rsidRPr="00997591">
        <w:rPr>
          <w:rFonts w:ascii="Verdana" w:eastAsia="+mn-ea" w:hAnsi="Verdana"/>
          <w:sz w:val="20"/>
          <w:szCs w:val="20"/>
        </w:rPr>
        <w:t>Bardzo daleko idącym uproszczeniem jest również</w:t>
      </w:r>
      <w:r w:rsidR="00C9137B">
        <w:rPr>
          <w:rFonts w:ascii="Verdana" w:eastAsia="+mn-ea" w:hAnsi="Verdana"/>
          <w:sz w:val="20"/>
          <w:szCs w:val="20"/>
        </w:rPr>
        <w:t xml:space="preserve"> przyjęcie, iż wartości 365 € w </w:t>
      </w:r>
      <w:r w:rsidRPr="00997591">
        <w:rPr>
          <w:rFonts w:ascii="Verdana" w:eastAsia="+mn-ea" w:hAnsi="Verdana"/>
          <w:sz w:val="20"/>
          <w:szCs w:val="20"/>
        </w:rPr>
        <w:t>Austrii jest porównywalna z wartością 365 zł w naszym kraju. Wystarczy jedynie porównać podstawowe koszty eksploatacyjne</w:t>
      </w:r>
      <w:r w:rsidR="00C9137B">
        <w:rPr>
          <w:rFonts w:ascii="Verdana" w:eastAsia="+mn-ea" w:hAnsi="Verdana"/>
          <w:sz w:val="20"/>
          <w:szCs w:val="20"/>
        </w:rPr>
        <w:t>,</w:t>
      </w:r>
      <w:r w:rsidRPr="00997591">
        <w:rPr>
          <w:rFonts w:ascii="Verdana" w:eastAsia="+mn-ea" w:hAnsi="Verdana"/>
          <w:sz w:val="20"/>
          <w:szCs w:val="20"/>
        </w:rPr>
        <w:t xml:space="preserve"> jak np. koszty paliwa ON - w Austrii jego cena wynosi 1,21 €/l (5,39 zł) natomiast w Polsce - 5,19 zł/l. Powyższe ceny powodują, iż operator transportu publicznego w Wiedniu za kwotę 365 € dokonałby zakupu 302 litrów ON, natomiast we Wrocławiu za 365 zł mógłby zakupić jedynie 70 litrów ON. Podobna relacja zachodzi również w przypadku</w:t>
      </w:r>
      <w:r w:rsidR="00C9137B">
        <w:rPr>
          <w:rFonts w:ascii="Verdana" w:eastAsia="+mn-ea" w:hAnsi="Verdana"/>
          <w:sz w:val="20"/>
          <w:szCs w:val="20"/>
        </w:rPr>
        <w:t xml:space="preserve"> ceny kwh energii elektrycznej.</w:t>
      </w:r>
    </w:p>
    <w:p w:rsidR="003C701C" w:rsidRPr="00997591" w:rsidRDefault="003C701C" w:rsidP="00997591">
      <w:pPr>
        <w:spacing w:line="288" w:lineRule="auto"/>
        <w:rPr>
          <w:rFonts w:ascii="Verdana" w:eastAsia="+mn-ea" w:hAnsi="Verdana"/>
          <w:sz w:val="20"/>
          <w:szCs w:val="20"/>
        </w:rPr>
      </w:pPr>
      <w:r w:rsidRPr="00997591">
        <w:rPr>
          <w:rFonts w:ascii="Verdana" w:eastAsia="+mn-ea" w:hAnsi="Verdana"/>
          <w:sz w:val="20"/>
          <w:szCs w:val="20"/>
        </w:rPr>
        <w:t>Dodatkowo gdyby chcieć zastosować podobne relacje cenowe i czynniki ekonomiczne, w tym siłę nabywczą pieniądza w Po</w:t>
      </w:r>
      <w:r w:rsidR="00C9137B">
        <w:rPr>
          <w:rFonts w:ascii="Verdana" w:eastAsia="+mn-ea" w:hAnsi="Verdana"/>
          <w:sz w:val="20"/>
          <w:szCs w:val="20"/>
        </w:rPr>
        <w:t xml:space="preserve">lsce i Austrii – bilet roczny w </w:t>
      </w:r>
      <w:r w:rsidRPr="00997591">
        <w:rPr>
          <w:rFonts w:ascii="Verdana" w:eastAsia="+mn-ea" w:hAnsi="Verdana"/>
          <w:sz w:val="20"/>
          <w:szCs w:val="20"/>
        </w:rPr>
        <w:t xml:space="preserve">Polsce </w:t>
      </w:r>
      <w:r w:rsidR="00C9137B">
        <w:rPr>
          <w:rFonts w:ascii="Verdana" w:eastAsia="+mn-ea" w:hAnsi="Verdana"/>
          <w:sz w:val="20"/>
          <w:szCs w:val="20"/>
        </w:rPr>
        <w:t>powinien kosztować ok. 1500 zł.</w:t>
      </w:r>
    </w:p>
    <w:p w:rsidR="003C701C" w:rsidRPr="00997591" w:rsidRDefault="003C701C" w:rsidP="00997591">
      <w:pPr>
        <w:spacing w:line="288" w:lineRule="auto"/>
        <w:rPr>
          <w:rFonts w:ascii="Verdana" w:eastAsia="+mn-ea" w:hAnsi="Verdana"/>
          <w:sz w:val="20"/>
          <w:szCs w:val="20"/>
        </w:rPr>
      </w:pPr>
      <w:r w:rsidRPr="00997591">
        <w:rPr>
          <w:rFonts w:ascii="Verdana" w:eastAsia="+mn-ea" w:hAnsi="Verdana"/>
          <w:sz w:val="20"/>
          <w:szCs w:val="20"/>
        </w:rPr>
        <w:t>Ponadto wprowadzenie proponowanego przez Wrocławskie Koło Partii Zieloni rozwiązania, skutkowałoby koniecznością przebudowy</w:t>
      </w:r>
      <w:r w:rsidR="00C9137B">
        <w:rPr>
          <w:rFonts w:ascii="Verdana" w:eastAsia="+mn-ea" w:hAnsi="Verdana"/>
          <w:sz w:val="20"/>
          <w:szCs w:val="20"/>
        </w:rPr>
        <w:t xml:space="preserve"> całej taryfy biletowej, w </w:t>
      </w:r>
      <w:r w:rsidRPr="00997591">
        <w:rPr>
          <w:rFonts w:ascii="Verdana" w:eastAsia="+mn-ea" w:hAnsi="Verdana"/>
          <w:sz w:val="20"/>
          <w:szCs w:val="20"/>
        </w:rPr>
        <w:t>postaci obniżki cen biletów okresowych. Oczywiste jest bowie</w:t>
      </w:r>
      <w:r w:rsidR="00C9137B">
        <w:rPr>
          <w:rFonts w:ascii="Verdana" w:eastAsia="+mn-ea" w:hAnsi="Verdana"/>
          <w:sz w:val="20"/>
          <w:szCs w:val="20"/>
        </w:rPr>
        <w:t xml:space="preserve">m, iż nie znalazłyby nabywców w </w:t>
      </w:r>
      <w:r w:rsidRPr="00997591">
        <w:rPr>
          <w:rFonts w:ascii="Verdana" w:eastAsia="+mn-ea" w:hAnsi="Verdana"/>
          <w:sz w:val="20"/>
          <w:szCs w:val="20"/>
        </w:rPr>
        <w:t>obowiązujących aktualnie cenach np. bilety semestra</w:t>
      </w:r>
      <w:r w:rsidR="00C9137B">
        <w:rPr>
          <w:rFonts w:ascii="Verdana" w:eastAsia="+mn-ea" w:hAnsi="Verdana"/>
          <w:sz w:val="20"/>
          <w:szCs w:val="20"/>
        </w:rPr>
        <w:t xml:space="preserve">lne „Nasz Wrocław” za 300 zł (4 </w:t>
      </w:r>
      <w:r w:rsidRPr="00997591">
        <w:rPr>
          <w:rFonts w:ascii="Verdana" w:eastAsia="+mn-ea" w:hAnsi="Verdana"/>
          <w:sz w:val="20"/>
          <w:szCs w:val="20"/>
        </w:rPr>
        <w:t>miesięczny) lub 370 zł (5 miesięczny). Nieatrakcyjna stałaby się również cena najpopularniejszych biletów okresowych - 30-dniowych na wszystkie linie (90 zł/110 zł), bowiem cena biletu rocznego (za 365 zł) stanowiłaby równowartość czterech biletów 30-dniowych „Nasz Wrocław” albo trzech biletów 30-dniowych nor</w:t>
      </w:r>
      <w:r w:rsidR="00C9137B">
        <w:rPr>
          <w:rFonts w:ascii="Verdana" w:eastAsia="+mn-ea" w:hAnsi="Verdana"/>
          <w:sz w:val="20"/>
          <w:szCs w:val="20"/>
        </w:rPr>
        <w:t>malnych.</w:t>
      </w:r>
    </w:p>
    <w:p w:rsidR="003C701C" w:rsidRPr="00997591" w:rsidRDefault="003C701C" w:rsidP="00997591">
      <w:pPr>
        <w:spacing w:line="288" w:lineRule="auto"/>
        <w:rPr>
          <w:rFonts w:ascii="Verdana" w:eastAsia="+mn-ea" w:hAnsi="Verdana"/>
          <w:sz w:val="20"/>
          <w:szCs w:val="20"/>
        </w:rPr>
      </w:pPr>
      <w:r w:rsidRPr="00997591">
        <w:rPr>
          <w:rFonts w:ascii="Verdana" w:eastAsia="+mn-ea" w:hAnsi="Verdana"/>
          <w:sz w:val="20"/>
          <w:szCs w:val="20"/>
        </w:rPr>
        <w:t>Najważniejszą konsekwencją przedstawionego pomysłu są jednak prognozowane skutki finansowe. Z przeprowadzonych analiz wynika bowiem, że ukształtowanie ceny rocznego biletu na poziomie 365 zł i związane z tym prawie całkowite obniżenie atrakcyjności cenowej pozostałych biletów okresowych, spowodowałoby zmniejszenie dochodów Miasta z tytułu sprzed</w:t>
      </w:r>
      <w:r w:rsidR="00C9137B">
        <w:rPr>
          <w:rFonts w:ascii="Verdana" w:eastAsia="+mn-ea" w:hAnsi="Verdana"/>
          <w:sz w:val="20"/>
          <w:szCs w:val="20"/>
        </w:rPr>
        <w:t xml:space="preserve">aży biletów o około 30 mln zł. </w:t>
      </w:r>
    </w:p>
    <w:p w:rsidR="003C701C" w:rsidRPr="00997591" w:rsidRDefault="003C701C" w:rsidP="00997591">
      <w:pPr>
        <w:spacing w:line="288" w:lineRule="auto"/>
        <w:rPr>
          <w:rFonts w:ascii="Verdana" w:eastAsia="+mn-ea" w:hAnsi="Verdana"/>
          <w:sz w:val="20"/>
          <w:szCs w:val="20"/>
        </w:rPr>
      </w:pPr>
      <w:r w:rsidRPr="00997591">
        <w:rPr>
          <w:rFonts w:ascii="Verdana" w:eastAsia="+mn-ea" w:hAnsi="Verdana"/>
          <w:sz w:val="20"/>
          <w:szCs w:val="20"/>
        </w:rPr>
        <w:t>Na marginesie wspomnieć trzeba, iż wrocławskie bilety roczne w aktualnych cenach (800zł/1050zł), są jednymi z najtańszych biletów rocznych w dużych miastach Polski, zarówno w kategorii biletów przeznaczonych dla mieszkańców (np. w Łodzi taki bilet kosztuje 774 zł, w Poznaniu – 949 zł, w Krakowie najtańszym rozwiązaniem są 2 bilety półroczne w cenie 840 zł)</w:t>
      </w:r>
      <w:r w:rsidR="00C9137B">
        <w:rPr>
          <w:rFonts w:ascii="Verdana" w:eastAsia="+mn-ea" w:hAnsi="Verdana"/>
          <w:sz w:val="20"/>
          <w:szCs w:val="20"/>
        </w:rPr>
        <w:t>,</w:t>
      </w:r>
      <w:r w:rsidRPr="00997591">
        <w:rPr>
          <w:rFonts w:ascii="Verdana" w:eastAsia="+mn-ea" w:hAnsi="Verdana"/>
          <w:sz w:val="20"/>
          <w:szCs w:val="20"/>
        </w:rPr>
        <w:t xml:space="preserve"> jak i biletów dla </w:t>
      </w:r>
      <w:r w:rsidRPr="00997591">
        <w:rPr>
          <w:rFonts w:ascii="Verdana" w:eastAsia="+mn-ea" w:hAnsi="Verdana"/>
          <w:sz w:val="20"/>
          <w:szCs w:val="20"/>
        </w:rPr>
        <w:lastRenderedPageBreak/>
        <w:t>pasażerów niebędących mieszkańcami (w Poznaniu – 1199,50 zł, w Łodzi najtańsze roz</w:t>
      </w:r>
      <w:r w:rsidR="00294138">
        <w:rPr>
          <w:rFonts w:ascii="Verdana" w:eastAsia="+mn-ea" w:hAnsi="Verdana"/>
          <w:sz w:val="20"/>
          <w:szCs w:val="20"/>
        </w:rPr>
        <w:t>wiązanie - cztery bilety 3 miesięczne</w:t>
      </w:r>
      <w:r w:rsidRPr="00997591">
        <w:rPr>
          <w:rFonts w:ascii="Verdana" w:eastAsia="+mn-ea" w:hAnsi="Verdana"/>
          <w:sz w:val="20"/>
          <w:szCs w:val="20"/>
        </w:rPr>
        <w:t xml:space="preserve"> za 1152 zł, w Krakowie najtańsze roz</w:t>
      </w:r>
      <w:r w:rsidR="00294138">
        <w:rPr>
          <w:rFonts w:ascii="Verdana" w:eastAsia="+mn-ea" w:hAnsi="Verdana"/>
          <w:sz w:val="20"/>
          <w:szCs w:val="20"/>
        </w:rPr>
        <w:t>wiązanie - cztery bilety 3 miesięczne</w:t>
      </w:r>
      <w:r w:rsidRPr="00997591">
        <w:rPr>
          <w:rFonts w:ascii="Verdana" w:eastAsia="+mn-ea" w:hAnsi="Verdana"/>
          <w:sz w:val="20"/>
          <w:szCs w:val="20"/>
        </w:rPr>
        <w:t xml:space="preserve"> za 1776 zł.)</w:t>
      </w:r>
    </w:p>
    <w:p w:rsidR="003C701C" w:rsidRPr="00997591" w:rsidRDefault="003C701C" w:rsidP="00997591">
      <w:pPr>
        <w:spacing w:line="288" w:lineRule="auto"/>
        <w:rPr>
          <w:rFonts w:ascii="Verdana" w:eastAsia="+mn-ea" w:hAnsi="Verdana"/>
          <w:sz w:val="20"/>
          <w:szCs w:val="20"/>
        </w:rPr>
      </w:pPr>
      <w:r w:rsidRPr="00997591">
        <w:rPr>
          <w:rFonts w:ascii="Verdana" w:eastAsia="+mn-ea" w:hAnsi="Verdana"/>
          <w:sz w:val="20"/>
          <w:szCs w:val="20"/>
        </w:rPr>
        <w:t>Reasumując, przedstawioną w pkt 2 petycji propozycję uznać n</w:t>
      </w:r>
      <w:r w:rsidR="00294138">
        <w:rPr>
          <w:rFonts w:ascii="Verdana" w:eastAsia="+mn-ea" w:hAnsi="Verdana"/>
          <w:sz w:val="20"/>
          <w:szCs w:val="20"/>
        </w:rPr>
        <w:t xml:space="preserve">ależy za </w:t>
      </w:r>
      <w:r w:rsidRPr="00997591">
        <w:rPr>
          <w:rFonts w:ascii="Verdana" w:eastAsia="+mn-ea" w:hAnsi="Verdana"/>
          <w:sz w:val="20"/>
          <w:szCs w:val="20"/>
        </w:rPr>
        <w:t>nieefektywną w zakresie zachęcenia no</w:t>
      </w:r>
      <w:r w:rsidR="00294138">
        <w:rPr>
          <w:rFonts w:ascii="Verdana" w:eastAsia="+mn-ea" w:hAnsi="Verdana"/>
          <w:sz w:val="20"/>
          <w:szCs w:val="20"/>
        </w:rPr>
        <w:t xml:space="preserve">wych pasażerów do korzystania z </w:t>
      </w:r>
      <w:r w:rsidRPr="00997591">
        <w:rPr>
          <w:rFonts w:ascii="Verdana" w:eastAsia="+mn-ea" w:hAnsi="Verdana"/>
          <w:sz w:val="20"/>
          <w:szCs w:val="20"/>
        </w:rPr>
        <w:t>komunikacji miejskiej, nieadekwatną w kontekście realiów ekonomicznych oraz potencjalnie przynoszącą ogromny spadek dochodów Miasta z tytułu sprzedaży biletów komunikacji miejski</w:t>
      </w:r>
      <w:r w:rsidR="00294138">
        <w:rPr>
          <w:rFonts w:ascii="Verdana" w:eastAsia="+mn-ea" w:hAnsi="Verdana"/>
          <w:sz w:val="20"/>
          <w:szCs w:val="20"/>
        </w:rPr>
        <w:t>ej”.</w:t>
      </w:r>
    </w:p>
    <w:p w:rsidR="00CC7106" w:rsidRPr="00997591" w:rsidRDefault="00F22D0E" w:rsidP="00997591">
      <w:pPr>
        <w:spacing w:line="288" w:lineRule="auto"/>
        <w:rPr>
          <w:rFonts w:ascii="Verdana" w:hAnsi="Verdana" w:cs="Arial"/>
          <w:spacing w:val="2"/>
          <w:sz w:val="20"/>
          <w:szCs w:val="20"/>
        </w:rPr>
      </w:pPr>
      <w:r w:rsidRPr="00997591">
        <w:rPr>
          <w:rFonts w:ascii="Verdana" w:hAnsi="Verdana" w:cs="Arial"/>
          <w:spacing w:val="2"/>
          <w:sz w:val="20"/>
          <w:szCs w:val="20"/>
        </w:rPr>
        <w:t>Autor</w:t>
      </w:r>
      <w:r w:rsidR="00F77E2F" w:rsidRPr="00997591">
        <w:rPr>
          <w:rFonts w:ascii="Verdana" w:hAnsi="Verdana" w:cs="Arial"/>
          <w:spacing w:val="2"/>
          <w:sz w:val="20"/>
          <w:szCs w:val="20"/>
        </w:rPr>
        <w:t xml:space="preserve"> petycji </w:t>
      </w:r>
      <w:r w:rsidRPr="00997591">
        <w:rPr>
          <w:rFonts w:ascii="Verdana" w:hAnsi="Verdana" w:cs="Arial"/>
          <w:spacing w:val="2"/>
          <w:sz w:val="20"/>
          <w:szCs w:val="20"/>
        </w:rPr>
        <w:t>z 16 lutego b</w:t>
      </w:r>
      <w:r w:rsidR="00294138">
        <w:rPr>
          <w:rFonts w:ascii="Verdana" w:hAnsi="Verdana" w:cs="Arial"/>
          <w:spacing w:val="2"/>
          <w:sz w:val="20"/>
          <w:szCs w:val="20"/>
        </w:rPr>
        <w:t>ieżącego roku</w:t>
      </w:r>
      <w:r w:rsidRPr="00997591">
        <w:rPr>
          <w:rFonts w:ascii="Verdana" w:hAnsi="Verdana" w:cs="Arial"/>
          <w:spacing w:val="2"/>
          <w:sz w:val="20"/>
          <w:szCs w:val="20"/>
        </w:rPr>
        <w:t xml:space="preserve"> </w:t>
      </w:r>
      <w:r w:rsidR="00F77E2F" w:rsidRPr="00997591">
        <w:rPr>
          <w:rFonts w:ascii="Verdana" w:hAnsi="Verdana" w:cs="Arial"/>
          <w:spacing w:val="2"/>
          <w:sz w:val="20"/>
          <w:szCs w:val="20"/>
        </w:rPr>
        <w:t>wskaza</w:t>
      </w:r>
      <w:r w:rsidRPr="00997591">
        <w:rPr>
          <w:rFonts w:ascii="Verdana" w:hAnsi="Verdana" w:cs="Arial"/>
          <w:spacing w:val="2"/>
          <w:sz w:val="20"/>
          <w:szCs w:val="20"/>
        </w:rPr>
        <w:t>ł</w:t>
      </w:r>
      <w:r w:rsidR="00F77E2F" w:rsidRPr="00997591">
        <w:rPr>
          <w:rFonts w:ascii="Verdana" w:hAnsi="Verdana" w:cs="Arial"/>
          <w:spacing w:val="2"/>
          <w:sz w:val="20"/>
          <w:szCs w:val="20"/>
        </w:rPr>
        <w:t xml:space="preserve"> również na Niemcy, jako przykład kraju</w:t>
      </w:r>
      <w:r w:rsidR="00E46D54" w:rsidRPr="00997591">
        <w:rPr>
          <w:rFonts w:ascii="Verdana" w:hAnsi="Verdana" w:cs="Arial"/>
          <w:spacing w:val="2"/>
          <w:sz w:val="20"/>
          <w:szCs w:val="20"/>
        </w:rPr>
        <w:t>, dla którego „w transporcie zborowym podstawową wartością</w:t>
      </w:r>
      <w:r w:rsidR="00294138">
        <w:rPr>
          <w:rFonts w:ascii="Verdana" w:hAnsi="Verdana" w:cs="Arial"/>
          <w:spacing w:val="2"/>
          <w:sz w:val="20"/>
          <w:szCs w:val="20"/>
        </w:rPr>
        <w:t xml:space="preserve"> </w:t>
      </w:r>
      <w:r w:rsidR="00E46D54" w:rsidRPr="00997591">
        <w:rPr>
          <w:rFonts w:ascii="Verdana" w:hAnsi="Verdana" w:cs="Arial"/>
          <w:spacing w:val="2"/>
          <w:sz w:val="20"/>
          <w:szCs w:val="20"/>
        </w:rPr>
        <w:t>jest osoba użytkownika”. Niestety, dzisiaj jeszcze trudno ocenić ekonomiczne skutki wprowadzenia miesięcznego biletu na komunikację miejsk</w:t>
      </w:r>
      <w:r w:rsidR="003510D3" w:rsidRPr="00997591">
        <w:rPr>
          <w:rFonts w:ascii="Verdana" w:hAnsi="Verdana" w:cs="Arial"/>
          <w:spacing w:val="2"/>
          <w:sz w:val="20"/>
          <w:szCs w:val="20"/>
        </w:rPr>
        <w:t>ą</w:t>
      </w:r>
      <w:r w:rsidR="00E46D54" w:rsidRPr="00997591">
        <w:rPr>
          <w:rFonts w:ascii="Verdana" w:hAnsi="Verdana" w:cs="Arial"/>
          <w:spacing w:val="2"/>
          <w:sz w:val="20"/>
          <w:szCs w:val="20"/>
        </w:rPr>
        <w:t xml:space="preserve"> i pociągi regionalne w cenie 49</w:t>
      </w:r>
      <w:r w:rsidR="00E46D54" w:rsidRPr="00294138">
        <w:rPr>
          <w:rFonts w:ascii="Verdana" w:eastAsia="+mn-ea" w:hAnsi="Verdana"/>
          <w:color w:val="000000" w:themeColor="text1"/>
          <w:sz w:val="20"/>
          <w:szCs w:val="20"/>
        </w:rPr>
        <w:t>€</w:t>
      </w:r>
      <w:r w:rsidR="00E46D54" w:rsidRPr="00997591">
        <w:rPr>
          <w:rFonts w:ascii="Verdana" w:hAnsi="Verdana" w:cs="Arial"/>
          <w:spacing w:val="2"/>
          <w:sz w:val="20"/>
          <w:szCs w:val="20"/>
        </w:rPr>
        <w:t xml:space="preserve"> (ok. 230 zł). Natomiast, jak widać po zapowiadanych i częściowo przeprowadzonych w Niemczech pod koniec marca b</w:t>
      </w:r>
      <w:r w:rsidR="00294138">
        <w:rPr>
          <w:rFonts w:ascii="Verdana" w:hAnsi="Verdana" w:cs="Arial"/>
          <w:spacing w:val="2"/>
          <w:sz w:val="20"/>
          <w:szCs w:val="20"/>
        </w:rPr>
        <w:t>ieżącego roku</w:t>
      </w:r>
      <w:r w:rsidR="00E46D54" w:rsidRPr="00997591">
        <w:rPr>
          <w:rFonts w:ascii="Verdana" w:hAnsi="Verdana" w:cs="Arial"/>
          <w:spacing w:val="2"/>
          <w:sz w:val="20"/>
          <w:szCs w:val="20"/>
        </w:rPr>
        <w:t xml:space="preserve"> strajkach, mających za zadanie doprowadzenie do paraliżu transportu zbiorowego, funkcjonujące w tamtejszym sektorze komunikacyjnym rozwiązania nie stanowią optymalnego modelu transportowego.</w:t>
      </w:r>
    </w:p>
    <w:p w:rsidR="00CC7106" w:rsidRPr="00997591" w:rsidRDefault="00CC7106" w:rsidP="00997591">
      <w:pPr>
        <w:spacing w:line="288" w:lineRule="auto"/>
        <w:rPr>
          <w:rFonts w:ascii="Verdana" w:hAnsi="Verdana" w:cs="Arial"/>
          <w:spacing w:val="2"/>
          <w:sz w:val="20"/>
          <w:szCs w:val="20"/>
        </w:rPr>
      </w:pPr>
      <w:r w:rsidRPr="00997591">
        <w:rPr>
          <w:rFonts w:ascii="Verdana" w:hAnsi="Verdana" w:cs="Arial"/>
          <w:spacing w:val="2"/>
          <w:sz w:val="20"/>
          <w:szCs w:val="20"/>
        </w:rPr>
        <w:t>Odnosząc się do postulatu zawartego w pkt 1 petycji, biorąc pod uwagę zaprezentowane wyżej stanowisko oraz mając na względzie rosnące koszty komunikacji zbiorowej (inflację, a co za tym idzie, wzrost cen paliwa, energii elektrycznej) przy jednoczesnej propozycji obniżania dochodów Gminy z tytułu sprzedaży biletów, wnioskowan</w:t>
      </w:r>
      <w:r w:rsidR="004D19FD" w:rsidRPr="00997591">
        <w:rPr>
          <w:rFonts w:ascii="Verdana" w:hAnsi="Verdana" w:cs="Arial"/>
          <w:spacing w:val="2"/>
          <w:sz w:val="20"/>
          <w:szCs w:val="20"/>
        </w:rPr>
        <w:t>e</w:t>
      </w:r>
      <w:r w:rsidRPr="00997591">
        <w:rPr>
          <w:rFonts w:ascii="Verdana" w:hAnsi="Verdana" w:cs="Arial"/>
          <w:spacing w:val="2"/>
          <w:sz w:val="20"/>
          <w:szCs w:val="20"/>
        </w:rPr>
        <w:t xml:space="preserve"> zmian</w:t>
      </w:r>
      <w:r w:rsidR="004D19FD" w:rsidRPr="00997591">
        <w:rPr>
          <w:rFonts w:ascii="Verdana" w:hAnsi="Verdana" w:cs="Arial"/>
          <w:spacing w:val="2"/>
          <w:sz w:val="20"/>
          <w:szCs w:val="20"/>
        </w:rPr>
        <w:t>y</w:t>
      </w:r>
      <w:r w:rsidR="0028072C">
        <w:rPr>
          <w:rFonts w:ascii="Verdana" w:hAnsi="Verdana" w:cs="Arial"/>
          <w:spacing w:val="2"/>
          <w:sz w:val="20"/>
          <w:szCs w:val="20"/>
        </w:rPr>
        <w:t xml:space="preserve"> </w:t>
      </w:r>
      <w:r w:rsidRPr="00997591">
        <w:rPr>
          <w:rFonts w:ascii="Verdana" w:hAnsi="Verdana" w:cs="Arial"/>
          <w:spacing w:val="2"/>
          <w:sz w:val="20"/>
          <w:szCs w:val="20"/>
        </w:rPr>
        <w:t xml:space="preserve">należy </w:t>
      </w:r>
      <w:r w:rsidR="00BB4B9D" w:rsidRPr="00997591">
        <w:rPr>
          <w:rFonts w:ascii="Verdana" w:hAnsi="Verdana" w:cs="Arial"/>
          <w:spacing w:val="2"/>
          <w:sz w:val="20"/>
          <w:szCs w:val="20"/>
        </w:rPr>
        <w:t xml:space="preserve">nadal </w:t>
      </w:r>
      <w:r w:rsidRPr="00997591">
        <w:rPr>
          <w:rFonts w:ascii="Verdana" w:hAnsi="Verdana" w:cs="Arial"/>
          <w:spacing w:val="2"/>
          <w:sz w:val="20"/>
          <w:szCs w:val="20"/>
        </w:rPr>
        <w:t>uznać za niezasadn</w:t>
      </w:r>
      <w:r w:rsidR="00BB4B9D" w:rsidRPr="00997591">
        <w:rPr>
          <w:rFonts w:ascii="Verdana" w:hAnsi="Verdana" w:cs="Arial"/>
          <w:spacing w:val="2"/>
          <w:sz w:val="20"/>
          <w:szCs w:val="20"/>
        </w:rPr>
        <w:t>e</w:t>
      </w:r>
      <w:r w:rsidRPr="00997591">
        <w:rPr>
          <w:rFonts w:ascii="Verdana" w:hAnsi="Verdana" w:cs="Arial"/>
          <w:spacing w:val="2"/>
          <w:sz w:val="20"/>
          <w:szCs w:val="20"/>
        </w:rPr>
        <w:t>.</w:t>
      </w:r>
    </w:p>
    <w:p w:rsidR="00F35B4B" w:rsidRPr="00997591" w:rsidRDefault="003E04E5" w:rsidP="00997591">
      <w:pPr>
        <w:spacing w:line="288" w:lineRule="auto"/>
        <w:rPr>
          <w:rFonts w:ascii="Verdana" w:eastAsia="+mn-ea" w:hAnsi="Verdana"/>
          <w:sz w:val="20"/>
          <w:szCs w:val="20"/>
        </w:rPr>
      </w:pPr>
      <w:r w:rsidRPr="00997591">
        <w:rPr>
          <w:rFonts w:ascii="Verdana" w:eastAsia="+mn-ea" w:hAnsi="Verdana"/>
          <w:sz w:val="20"/>
          <w:szCs w:val="20"/>
        </w:rPr>
        <w:t>Ad 2.</w:t>
      </w:r>
    </w:p>
    <w:p w:rsidR="00CF2573" w:rsidRPr="00997591" w:rsidRDefault="00D5133A" w:rsidP="00997591">
      <w:pPr>
        <w:spacing w:line="288" w:lineRule="auto"/>
        <w:rPr>
          <w:rFonts w:ascii="Verdana" w:eastAsia="+mn-ea" w:hAnsi="Verdana"/>
          <w:sz w:val="20"/>
          <w:szCs w:val="20"/>
        </w:rPr>
      </w:pPr>
      <w:r w:rsidRPr="00997591">
        <w:rPr>
          <w:rFonts w:ascii="Verdana" w:eastAsia="+mn-ea" w:hAnsi="Verdana"/>
          <w:sz w:val="20"/>
          <w:szCs w:val="20"/>
        </w:rPr>
        <w:t>Rada Miejska Wrocławia uchwałą nr XLVII/1094/17 Rady Miejskiej Wrocławia z dnia 19 paź</w:t>
      </w:r>
      <w:r w:rsidR="00294138">
        <w:rPr>
          <w:rFonts w:ascii="Verdana" w:eastAsia="+mn-ea" w:hAnsi="Verdana"/>
          <w:sz w:val="20"/>
          <w:szCs w:val="20"/>
        </w:rPr>
        <w:t xml:space="preserve">dziernika 2017 </w:t>
      </w:r>
      <w:r w:rsidRPr="00997591">
        <w:rPr>
          <w:rFonts w:ascii="Verdana" w:eastAsia="+mn-ea" w:hAnsi="Verdana"/>
          <w:sz w:val="20"/>
          <w:szCs w:val="20"/>
        </w:rPr>
        <w:t xml:space="preserve">r. w sprawie ustalenia cen za usługi przewozowe świadczone środkami lokalnego transportu zbiorowego organizowanego przez Gminę Wrocław oraz sposobu ustalania wysokości opłaty dodatkowej </w:t>
      </w:r>
      <w:r w:rsidR="00294138">
        <w:rPr>
          <w:rFonts w:ascii="Verdana" w:eastAsia="+mn-ea" w:hAnsi="Verdana"/>
          <w:sz w:val="20"/>
          <w:szCs w:val="20"/>
        </w:rPr>
        <w:t>i manipulacyjnej (to jest Dziennik Urzędowy Województwa Dolnośląskiego</w:t>
      </w:r>
      <w:r w:rsidRPr="00997591">
        <w:rPr>
          <w:rFonts w:ascii="Verdana" w:eastAsia="+mn-ea" w:hAnsi="Verdana"/>
          <w:sz w:val="20"/>
          <w:szCs w:val="20"/>
        </w:rPr>
        <w:t xml:space="preserve"> z 2022 r. p</w:t>
      </w:r>
      <w:r w:rsidR="00294138">
        <w:rPr>
          <w:rFonts w:ascii="Verdana" w:eastAsia="+mn-ea" w:hAnsi="Verdana"/>
          <w:sz w:val="20"/>
          <w:szCs w:val="20"/>
        </w:rPr>
        <w:t>ozycja</w:t>
      </w:r>
      <w:r w:rsidRPr="00997591">
        <w:rPr>
          <w:rFonts w:ascii="Verdana" w:eastAsia="+mn-ea" w:hAnsi="Verdana"/>
          <w:sz w:val="20"/>
          <w:szCs w:val="20"/>
        </w:rPr>
        <w:t xml:space="preserve"> 6610) nadała różnym podmiotom prawo do nabywania od Gminy usług przewozowych. </w:t>
      </w:r>
      <w:r w:rsidR="00294138">
        <w:rPr>
          <w:rFonts w:ascii="Verdana" w:eastAsia="+mn-ea" w:hAnsi="Verdana"/>
          <w:sz w:val="20"/>
          <w:szCs w:val="20"/>
        </w:rPr>
        <w:t>§7 ustęp</w:t>
      </w:r>
      <w:r w:rsidR="00C7236E" w:rsidRPr="00997591">
        <w:rPr>
          <w:rFonts w:ascii="Verdana" w:eastAsia="+mn-ea" w:hAnsi="Verdana"/>
          <w:sz w:val="20"/>
          <w:szCs w:val="20"/>
        </w:rPr>
        <w:t xml:space="preserve"> 2</w:t>
      </w:r>
      <w:r w:rsidRPr="00997591">
        <w:rPr>
          <w:rFonts w:ascii="Verdana" w:eastAsia="+mn-ea" w:hAnsi="Verdana"/>
          <w:sz w:val="20"/>
          <w:szCs w:val="20"/>
        </w:rPr>
        <w:t xml:space="preserve"> wyżej wymienionej</w:t>
      </w:r>
      <w:r w:rsidR="00C7236E" w:rsidRPr="00997591">
        <w:rPr>
          <w:rFonts w:ascii="Verdana" w:eastAsia="+mn-ea" w:hAnsi="Verdana"/>
          <w:sz w:val="20"/>
          <w:szCs w:val="20"/>
        </w:rPr>
        <w:t xml:space="preserve"> uchwały</w:t>
      </w:r>
      <w:r w:rsidR="00294138">
        <w:rPr>
          <w:rFonts w:ascii="Verdana" w:eastAsia="+mn-ea" w:hAnsi="Verdana"/>
          <w:sz w:val="20"/>
          <w:szCs w:val="20"/>
        </w:rPr>
        <w:t xml:space="preserve"> </w:t>
      </w:r>
      <w:r w:rsidR="00C7236E" w:rsidRPr="00997591">
        <w:rPr>
          <w:rFonts w:ascii="Verdana" w:eastAsia="+mn-ea" w:hAnsi="Verdana"/>
          <w:sz w:val="20"/>
          <w:szCs w:val="20"/>
        </w:rPr>
        <w:t>stanowi, że:</w:t>
      </w:r>
    </w:p>
    <w:p w:rsidR="00C7236E" w:rsidRPr="00997591" w:rsidRDefault="00C7236E" w:rsidP="00997591">
      <w:pPr>
        <w:spacing w:line="288" w:lineRule="auto"/>
        <w:rPr>
          <w:rFonts w:ascii="Verdana" w:eastAsia="+mn-ea" w:hAnsi="Verdana"/>
          <w:sz w:val="20"/>
          <w:szCs w:val="20"/>
        </w:rPr>
      </w:pPr>
      <w:r w:rsidRPr="00997591">
        <w:rPr>
          <w:rFonts w:ascii="Verdana" w:eastAsia="+mn-ea" w:hAnsi="Verdana"/>
          <w:sz w:val="20"/>
          <w:szCs w:val="20"/>
        </w:rPr>
        <w:t>„Pracodawcy (instytucje) mogą zbiorowo nabywać dla swoich pracowników usługi przewozowe Gminy. Warunki wykupywania tych usług określi umowa zawarta przez pracodawcę (instytucję) z Gminą.”</w:t>
      </w:r>
    </w:p>
    <w:p w:rsidR="000111B0" w:rsidRPr="00997591" w:rsidRDefault="00E46D54" w:rsidP="00997591">
      <w:pPr>
        <w:spacing w:line="288" w:lineRule="auto"/>
        <w:rPr>
          <w:rFonts w:ascii="Verdana" w:eastAsia="+mn-ea" w:hAnsi="Verdana"/>
          <w:sz w:val="20"/>
          <w:szCs w:val="20"/>
        </w:rPr>
      </w:pPr>
      <w:r w:rsidRPr="00997591">
        <w:rPr>
          <w:rFonts w:ascii="Verdana" w:eastAsia="+mn-ea" w:hAnsi="Verdana"/>
          <w:sz w:val="20"/>
          <w:szCs w:val="20"/>
        </w:rPr>
        <w:t>Jak dotąd we Wrocławiu zainteresowani</w:t>
      </w:r>
      <w:r w:rsidR="00EB6851" w:rsidRPr="00997591">
        <w:rPr>
          <w:rFonts w:ascii="Verdana" w:eastAsia="+mn-ea" w:hAnsi="Verdana"/>
          <w:sz w:val="20"/>
          <w:szCs w:val="20"/>
        </w:rPr>
        <w:t xml:space="preserve">e </w:t>
      </w:r>
      <w:r w:rsidR="00B62D3F" w:rsidRPr="00997591">
        <w:rPr>
          <w:rFonts w:ascii="Verdana" w:eastAsia="+mn-ea" w:hAnsi="Verdana"/>
          <w:sz w:val="20"/>
          <w:szCs w:val="20"/>
        </w:rPr>
        <w:t>tzw. „</w:t>
      </w:r>
      <w:r w:rsidR="00EB6851" w:rsidRPr="00997591">
        <w:rPr>
          <w:rFonts w:ascii="Verdana" w:eastAsia="+mn-ea" w:hAnsi="Verdana"/>
          <w:sz w:val="20"/>
          <w:szCs w:val="20"/>
        </w:rPr>
        <w:t>klientów biznesowych</w:t>
      </w:r>
      <w:r w:rsidR="00B62D3F" w:rsidRPr="00997591">
        <w:rPr>
          <w:rFonts w:ascii="Verdana" w:eastAsia="+mn-ea" w:hAnsi="Verdana"/>
          <w:sz w:val="20"/>
          <w:szCs w:val="20"/>
        </w:rPr>
        <w:t>”</w:t>
      </w:r>
      <w:r w:rsidRPr="00997591">
        <w:rPr>
          <w:rFonts w:ascii="Verdana" w:eastAsia="+mn-ea" w:hAnsi="Verdana"/>
          <w:sz w:val="20"/>
          <w:szCs w:val="20"/>
        </w:rPr>
        <w:t xml:space="preserve"> korzystaniem z </w:t>
      </w:r>
      <w:r w:rsidR="002F6749" w:rsidRPr="00997591">
        <w:rPr>
          <w:rFonts w:ascii="Verdana" w:eastAsia="+mn-ea" w:hAnsi="Verdana"/>
          <w:sz w:val="20"/>
          <w:szCs w:val="20"/>
        </w:rPr>
        <w:t>powyższego</w:t>
      </w:r>
      <w:r w:rsidRPr="00997591">
        <w:rPr>
          <w:rFonts w:ascii="Verdana" w:eastAsia="+mn-ea" w:hAnsi="Verdana"/>
          <w:sz w:val="20"/>
          <w:szCs w:val="20"/>
        </w:rPr>
        <w:t xml:space="preserve"> prawa</w:t>
      </w:r>
      <w:r w:rsidR="00EB6851" w:rsidRPr="00997591">
        <w:rPr>
          <w:rFonts w:ascii="Verdana" w:eastAsia="+mn-ea" w:hAnsi="Verdana"/>
          <w:sz w:val="20"/>
          <w:szCs w:val="20"/>
        </w:rPr>
        <w:t xml:space="preserve"> jest znikome</w:t>
      </w:r>
      <w:r w:rsidRPr="00997591">
        <w:rPr>
          <w:rFonts w:ascii="Verdana" w:eastAsia="+mn-ea" w:hAnsi="Verdana"/>
          <w:sz w:val="20"/>
          <w:szCs w:val="20"/>
        </w:rPr>
        <w:t xml:space="preserve">. </w:t>
      </w:r>
      <w:r w:rsidR="00EB6851" w:rsidRPr="00997591">
        <w:rPr>
          <w:rFonts w:ascii="Verdana" w:eastAsia="+mn-ea" w:hAnsi="Verdana"/>
          <w:sz w:val="20"/>
          <w:szCs w:val="20"/>
        </w:rPr>
        <w:t>Regularnie</w:t>
      </w:r>
      <w:r w:rsidR="00294138">
        <w:rPr>
          <w:rFonts w:ascii="Verdana" w:eastAsia="+mn-ea" w:hAnsi="Verdana"/>
          <w:sz w:val="20"/>
          <w:szCs w:val="20"/>
        </w:rPr>
        <w:t xml:space="preserve"> </w:t>
      </w:r>
      <w:r w:rsidR="00EB6851" w:rsidRPr="00997591">
        <w:rPr>
          <w:rFonts w:ascii="Verdana" w:eastAsia="+mn-ea" w:hAnsi="Verdana"/>
          <w:sz w:val="20"/>
          <w:szCs w:val="20"/>
        </w:rPr>
        <w:t xml:space="preserve">z tego rozwiązania korzysta </w:t>
      </w:r>
      <w:r w:rsidRPr="00997591">
        <w:rPr>
          <w:rFonts w:ascii="Verdana" w:eastAsia="+mn-ea" w:hAnsi="Verdana"/>
          <w:sz w:val="20"/>
          <w:szCs w:val="20"/>
        </w:rPr>
        <w:t>dwóch pracodawców</w:t>
      </w:r>
      <w:r w:rsidR="00294138">
        <w:rPr>
          <w:rFonts w:ascii="Verdana" w:eastAsia="+mn-ea" w:hAnsi="Verdana"/>
          <w:sz w:val="20"/>
          <w:szCs w:val="20"/>
        </w:rPr>
        <w:t xml:space="preserve"> </w:t>
      </w:r>
      <w:r w:rsidR="00F1752F" w:rsidRPr="00997591">
        <w:rPr>
          <w:rFonts w:ascii="Verdana" w:eastAsia="+mn-ea" w:hAnsi="Verdana"/>
          <w:sz w:val="20"/>
          <w:szCs w:val="20"/>
        </w:rPr>
        <w:t>nabywa</w:t>
      </w:r>
      <w:r w:rsidR="00A249E3" w:rsidRPr="00997591">
        <w:rPr>
          <w:rFonts w:ascii="Verdana" w:eastAsia="+mn-ea" w:hAnsi="Verdana"/>
          <w:sz w:val="20"/>
          <w:szCs w:val="20"/>
        </w:rPr>
        <w:t>jąc</w:t>
      </w:r>
      <w:r w:rsidR="008F0004" w:rsidRPr="00997591">
        <w:rPr>
          <w:rFonts w:ascii="Verdana" w:eastAsia="+mn-ea" w:hAnsi="Verdana"/>
          <w:sz w:val="20"/>
          <w:szCs w:val="20"/>
        </w:rPr>
        <w:t xml:space="preserve"> dla</w:t>
      </w:r>
      <w:r w:rsidR="00294138">
        <w:rPr>
          <w:rFonts w:ascii="Verdana" w:eastAsia="+mn-ea" w:hAnsi="Verdana"/>
          <w:sz w:val="20"/>
          <w:szCs w:val="20"/>
        </w:rPr>
        <w:t xml:space="preserve"> </w:t>
      </w:r>
      <w:r w:rsidR="00D72ED6" w:rsidRPr="00997591">
        <w:rPr>
          <w:rFonts w:ascii="Verdana" w:eastAsia="+mn-ea" w:hAnsi="Verdana"/>
          <w:sz w:val="20"/>
          <w:szCs w:val="20"/>
        </w:rPr>
        <w:t>pracownik</w:t>
      </w:r>
      <w:r w:rsidR="008F0004" w:rsidRPr="00997591">
        <w:rPr>
          <w:rFonts w:ascii="Verdana" w:eastAsia="+mn-ea" w:hAnsi="Verdana"/>
          <w:sz w:val="20"/>
          <w:szCs w:val="20"/>
        </w:rPr>
        <w:t>ów</w:t>
      </w:r>
      <w:r w:rsidR="00D72ED6" w:rsidRPr="00997591">
        <w:rPr>
          <w:rFonts w:ascii="Verdana" w:eastAsia="+mn-ea" w:hAnsi="Verdana"/>
          <w:sz w:val="20"/>
          <w:szCs w:val="20"/>
        </w:rPr>
        <w:t xml:space="preserve"> roczn</w:t>
      </w:r>
      <w:r w:rsidR="008F0004" w:rsidRPr="00997591">
        <w:rPr>
          <w:rFonts w:ascii="Verdana" w:eastAsia="+mn-ea" w:hAnsi="Verdana"/>
          <w:sz w:val="20"/>
          <w:szCs w:val="20"/>
        </w:rPr>
        <w:t>e</w:t>
      </w:r>
      <w:r w:rsidR="00D72ED6" w:rsidRPr="00997591">
        <w:rPr>
          <w:rFonts w:ascii="Verdana" w:eastAsia="+mn-ea" w:hAnsi="Verdana"/>
          <w:sz w:val="20"/>
          <w:szCs w:val="20"/>
        </w:rPr>
        <w:t xml:space="preserve"> usług</w:t>
      </w:r>
      <w:r w:rsidR="008F0004" w:rsidRPr="00997591">
        <w:rPr>
          <w:rFonts w:ascii="Verdana" w:eastAsia="+mn-ea" w:hAnsi="Verdana"/>
          <w:sz w:val="20"/>
          <w:szCs w:val="20"/>
        </w:rPr>
        <w:t>i</w:t>
      </w:r>
      <w:r w:rsidR="00D72ED6" w:rsidRPr="00997591">
        <w:rPr>
          <w:rFonts w:ascii="Verdana" w:eastAsia="+mn-ea" w:hAnsi="Verdana"/>
          <w:sz w:val="20"/>
          <w:szCs w:val="20"/>
        </w:rPr>
        <w:t xml:space="preserve"> przewozow</w:t>
      </w:r>
      <w:r w:rsidR="008F0004" w:rsidRPr="00997591">
        <w:rPr>
          <w:rFonts w:ascii="Verdana" w:eastAsia="+mn-ea" w:hAnsi="Verdana"/>
          <w:sz w:val="20"/>
          <w:szCs w:val="20"/>
        </w:rPr>
        <w:t>e.</w:t>
      </w:r>
      <w:r w:rsidR="009318FE" w:rsidRPr="00997591">
        <w:rPr>
          <w:rFonts w:ascii="Verdana" w:eastAsia="+mn-ea" w:hAnsi="Verdana"/>
          <w:sz w:val="20"/>
          <w:szCs w:val="20"/>
        </w:rPr>
        <w:t xml:space="preserve"> W</w:t>
      </w:r>
      <w:r w:rsidR="000111B0" w:rsidRPr="00997591">
        <w:rPr>
          <w:rFonts w:ascii="Verdana" w:eastAsia="+mn-ea" w:hAnsi="Verdana"/>
          <w:sz w:val="20"/>
          <w:szCs w:val="20"/>
        </w:rPr>
        <w:t xml:space="preserve"> okresie od 1 stycznia 2021 r. wpłyn</w:t>
      </w:r>
      <w:r w:rsidR="00D454FF" w:rsidRPr="00997591">
        <w:rPr>
          <w:rFonts w:ascii="Verdana" w:eastAsia="+mn-ea" w:hAnsi="Verdana"/>
          <w:sz w:val="20"/>
          <w:szCs w:val="20"/>
        </w:rPr>
        <w:t>ęło tylko</w:t>
      </w:r>
      <w:r w:rsidR="00294138">
        <w:rPr>
          <w:rFonts w:ascii="Verdana" w:eastAsia="+mn-ea" w:hAnsi="Verdana"/>
          <w:sz w:val="20"/>
          <w:szCs w:val="20"/>
        </w:rPr>
        <w:t xml:space="preserve"> </w:t>
      </w:r>
      <w:r w:rsidR="00D454FF" w:rsidRPr="00997591">
        <w:rPr>
          <w:rFonts w:ascii="Verdana" w:eastAsia="+mn-ea" w:hAnsi="Verdana"/>
          <w:sz w:val="20"/>
          <w:szCs w:val="20"/>
        </w:rPr>
        <w:t>jedno</w:t>
      </w:r>
      <w:r w:rsidR="000111B0" w:rsidRPr="00997591">
        <w:rPr>
          <w:rFonts w:ascii="Verdana" w:eastAsia="+mn-ea" w:hAnsi="Verdana"/>
          <w:sz w:val="20"/>
          <w:szCs w:val="20"/>
        </w:rPr>
        <w:t xml:space="preserve"> dodatkow</w:t>
      </w:r>
      <w:r w:rsidR="00D454FF" w:rsidRPr="00997591">
        <w:rPr>
          <w:rFonts w:ascii="Verdana" w:eastAsia="+mn-ea" w:hAnsi="Verdana"/>
          <w:sz w:val="20"/>
          <w:szCs w:val="20"/>
        </w:rPr>
        <w:t>e</w:t>
      </w:r>
      <w:r w:rsidR="00294138">
        <w:rPr>
          <w:rFonts w:ascii="Verdana" w:eastAsia="+mn-ea" w:hAnsi="Verdana"/>
          <w:sz w:val="20"/>
          <w:szCs w:val="20"/>
        </w:rPr>
        <w:t xml:space="preserve"> </w:t>
      </w:r>
      <w:r w:rsidR="00D454FF" w:rsidRPr="00997591">
        <w:rPr>
          <w:rFonts w:ascii="Verdana" w:eastAsia="+mn-ea" w:hAnsi="Verdana"/>
          <w:sz w:val="20"/>
          <w:szCs w:val="20"/>
        </w:rPr>
        <w:t xml:space="preserve">zapytanie dotyczące możliwości </w:t>
      </w:r>
      <w:r w:rsidR="00C85090" w:rsidRPr="00997591">
        <w:rPr>
          <w:rFonts w:ascii="Verdana" w:eastAsia="+mn-ea" w:hAnsi="Verdana"/>
          <w:sz w:val="20"/>
          <w:szCs w:val="20"/>
        </w:rPr>
        <w:t>nabycia</w:t>
      </w:r>
      <w:r w:rsidR="00294138">
        <w:rPr>
          <w:rFonts w:ascii="Verdana" w:eastAsia="+mn-ea" w:hAnsi="Verdana"/>
          <w:sz w:val="20"/>
          <w:szCs w:val="20"/>
        </w:rPr>
        <w:t xml:space="preserve"> </w:t>
      </w:r>
      <w:r w:rsidR="00FB1286" w:rsidRPr="00997591">
        <w:rPr>
          <w:rFonts w:ascii="Verdana" w:eastAsia="+mn-ea" w:hAnsi="Verdana"/>
          <w:sz w:val="20"/>
          <w:szCs w:val="20"/>
        </w:rPr>
        <w:t xml:space="preserve">takiej </w:t>
      </w:r>
      <w:r w:rsidR="00D454FF" w:rsidRPr="00997591">
        <w:rPr>
          <w:rFonts w:ascii="Verdana" w:eastAsia="+mn-ea" w:hAnsi="Verdana"/>
          <w:sz w:val="20"/>
          <w:szCs w:val="20"/>
        </w:rPr>
        <w:t>usługi na okres 2 miesięcy</w:t>
      </w:r>
      <w:r w:rsidR="00294138">
        <w:rPr>
          <w:rFonts w:ascii="Verdana" w:eastAsia="+mn-ea" w:hAnsi="Verdana"/>
          <w:sz w:val="20"/>
          <w:szCs w:val="20"/>
        </w:rPr>
        <w:t>.</w:t>
      </w:r>
    </w:p>
    <w:p w:rsidR="00EB6851" w:rsidRPr="00997591" w:rsidRDefault="000111B0" w:rsidP="00997591">
      <w:pPr>
        <w:spacing w:line="288" w:lineRule="auto"/>
        <w:rPr>
          <w:rFonts w:ascii="Verdana" w:eastAsia="+mn-ea" w:hAnsi="Verdana"/>
          <w:sz w:val="20"/>
          <w:szCs w:val="20"/>
        </w:rPr>
      </w:pPr>
      <w:r w:rsidRPr="00997591">
        <w:rPr>
          <w:rFonts w:ascii="Verdana" w:eastAsia="+mn-ea" w:hAnsi="Verdana"/>
          <w:sz w:val="20"/>
          <w:szCs w:val="20"/>
        </w:rPr>
        <w:t xml:space="preserve">Niemniej jednak </w:t>
      </w:r>
      <w:r w:rsidR="001604EE" w:rsidRPr="00997591">
        <w:rPr>
          <w:rFonts w:ascii="Verdana" w:eastAsia="+mn-ea" w:hAnsi="Verdana"/>
          <w:sz w:val="20"/>
          <w:szCs w:val="20"/>
        </w:rPr>
        <w:t>Gmina Wrocław</w:t>
      </w:r>
      <w:r w:rsidR="00294138">
        <w:rPr>
          <w:rFonts w:ascii="Verdana" w:eastAsia="+mn-ea" w:hAnsi="Verdana"/>
          <w:sz w:val="20"/>
          <w:szCs w:val="20"/>
        </w:rPr>
        <w:t xml:space="preserve"> </w:t>
      </w:r>
      <w:r w:rsidRPr="00997591">
        <w:rPr>
          <w:rFonts w:ascii="Verdana" w:eastAsia="+mn-ea" w:hAnsi="Verdana"/>
          <w:sz w:val="20"/>
          <w:szCs w:val="20"/>
        </w:rPr>
        <w:t xml:space="preserve">w ramach </w:t>
      </w:r>
      <w:r w:rsidR="00925B46" w:rsidRPr="00997591">
        <w:rPr>
          <w:rFonts w:ascii="Verdana" w:eastAsia="+mn-ea" w:hAnsi="Verdana"/>
          <w:sz w:val="20"/>
          <w:szCs w:val="20"/>
        </w:rPr>
        <w:t>tematów</w:t>
      </w:r>
      <w:r w:rsidRPr="00997591">
        <w:rPr>
          <w:rFonts w:ascii="Verdana" w:eastAsia="+mn-ea" w:hAnsi="Verdana"/>
          <w:sz w:val="20"/>
          <w:szCs w:val="20"/>
        </w:rPr>
        <w:t xml:space="preserve"> podejmowanych przez Forum Organizatorów Transportu</w:t>
      </w:r>
      <w:r w:rsidR="00EB6851" w:rsidRPr="00997591">
        <w:rPr>
          <w:rFonts w:ascii="Verdana" w:eastAsia="+mn-ea" w:hAnsi="Verdana"/>
          <w:sz w:val="20"/>
          <w:szCs w:val="20"/>
        </w:rPr>
        <w:t>,</w:t>
      </w:r>
      <w:r w:rsidR="0028072C">
        <w:rPr>
          <w:rFonts w:ascii="Verdana" w:eastAsia="+mn-ea" w:hAnsi="Verdana"/>
          <w:sz w:val="20"/>
          <w:szCs w:val="20"/>
        </w:rPr>
        <w:t xml:space="preserve"> </w:t>
      </w:r>
      <w:r w:rsidR="00EB6851" w:rsidRPr="00997591">
        <w:rPr>
          <w:rFonts w:ascii="Verdana" w:eastAsia="+mn-ea" w:hAnsi="Verdana"/>
          <w:sz w:val="20"/>
          <w:szCs w:val="20"/>
        </w:rPr>
        <w:t xml:space="preserve">w którego skład wchodzi, </w:t>
      </w:r>
      <w:r w:rsidR="002C56BA" w:rsidRPr="00997591">
        <w:rPr>
          <w:rFonts w:ascii="Verdana" w:eastAsia="+mn-ea" w:hAnsi="Verdana"/>
          <w:sz w:val="20"/>
          <w:szCs w:val="20"/>
        </w:rPr>
        <w:t>brała udział w zbieraniu i prezentowaniu</w:t>
      </w:r>
      <w:r w:rsidR="00294138">
        <w:rPr>
          <w:rFonts w:ascii="Verdana" w:eastAsia="+mn-ea" w:hAnsi="Verdana"/>
          <w:sz w:val="20"/>
          <w:szCs w:val="20"/>
        </w:rPr>
        <w:t xml:space="preserve"> </w:t>
      </w:r>
      <w:r w:rsidR="00AC6B86" w:rsidRPr="00997591">
        <w:rPr>
          <w:rFonts w:ascii="Verdana" w:eastAsia="+mn-ea" w:hAnsi="Verdana"/>
          <w:sz w:val="20"/>
          <w:szCs w:val="20"/>
        </w:rPr>
        <w:t>rozwiąza</w:t>
      </w:r>
      <w:r w:rsidR="002C56BA" w:rsidRPr="00997591">
        <w:rPr>
          <w:rFonts w:ascii="Verdana" w:eastAsia="+mn-ea" w:hAnsi="Verdana"/>
          <w:sz w:val="20"/>
          <w:szCs w:val="20"/>
        </w:rPr>
        <w:t>ń</w:t>
      </w:r>
      <w:r w:rsidR="00AC6B86" w:rsidRPr="00997591">
        <w:rPr>
          <w:rFonts w:ascii="Verdana" w:eastAsia="+mn-ea" w:hAnsi="Verdana"/>
          <w:sz w:val="20"/>
          <w:szCs w:val="20"/>
        </w:rPr>
        <w:t xml:space="preserve"> i praktyk </w:t>
      </w:r>
      <w:r w:rsidR="00513FC6" w:rsidRPr="00997591">
        <w:rPr>
          <w:rFonts w:ascii="Verdana" w:eastAsia="+mn-ea" w:hAnsi="Verdana"/>
          <w:sz w:val="20"/>
          <w:szCs w:val="20"/>
        </w:rPr>
        <w:t>stosowany</w:t>
      </w:r>
      <w:r w:rsidR="00F441E0" w:rsidRPr="00997591">
        <w:rPr>
          <w:rFonts w:ascii="Verdana" w:eastAsia="+mn-ea" w:hAnsi="Verdana"/>
          <w:sz w:val="20"/>
          <w:szCs w:val="20"/>
        </w:rPr>
        <w:t>ch</w:t>
      </w:r>
      <w:r w:rsidR="00294138">
        <w:rPr>
          <w:rFonts w:ascii="Verdana" w:eastAsia="+mn-ea" w:hAnsi="Verdana"/>
          <w:sz w:val="20"/>
          <w:szCs w:val="20"/>
        </w:rPr>
        <w:t xml:space="preserve"> </w:t>
      </w:r>
      <w:r w:rsidR="00AC6B86" w:rsidRPr="00997591">
        <w:rPr>
          <w:rFonts w:ascii="Verdana" w:eastAsia="+mn-ea" w:hAnsi="Verdana"/>
          <w:sz w:val="20"/>
          <w:szCs w:val="20"/>
        </w:rPr>
        <w:t>przez różne</w:t>
      </w:r>
      <w:r w:rsidR="00513FC6" w:rsidRPr="00997591">
        <w:rPr>
          <w:rFonts w:ascii="Verdana" w:eastAsia="+mn-ea" w:hAnsi="Verdana"/>
          <w:sz w:val="20"/>
          <w:szCs w:val="20"/>
        </w:rPr>
        <w:t xml:space="preserve"> miasta </w:t>
      </w:r>
      <w:r w:rsidR="00EB6851" w:rsidRPr="00997591">
        <w:rPr>
          <w:rFonts w:ascii="Verdana" w:eastAsia="+mn-ea" w:hAnsi="Verdana"/>
          <w:sz w:val="20"/>
          <w:szCs w:val="20"/>
        </w:rPr>
        <w:t>w tym zakresie.</w:t>
      </w:r>
      <w:r w:rsidR="00294138">
        <w:rPr>
          <w:rFonts w:ascii="Verdana" w:eastAsia="+mn-ea" w:hAnsi="Verdana"/>
          <w:sz w:val="20"/>
          <w:szCs w:val="20"/>
        </w:rPr>
        <w:t xml:space="preserve"> </w:t>
      </w:r>
      <w:r w:rsidR="003A0B48" w:rsidRPr="00997591">
        <w:rPr>
          <w:rFonts w:ascii="Verdana" w:eastAsia="+mn-ea" w:hAnsi="Verdana"/>
          <w:sz w:val="20"/>
          <w:szCs w:val="20"/>
        </w:rPr>
        <w:t>N</w:t>
      </w:r>
      <w:r w:rsidR="00D00EAC" w:rsidRPr="00997591">
        <w:rPr>
          <w:rFonts w:ascii="Verdana" w:eastAsia="+mn-ea" w:hAnsi="Verdana"/>
          <w:sz w:val="20"/>
          <w:szCs w:val="20"/>
        </w:rPr>
        <w:t xml:space="preserve">iektóre </w:t>
      </w:r>
      <w:r w:rsidR="003A0B48" w:rsidRPr="00997591">
        <w:rPr>
          <w:rFonts w:ascii="Verdana" w:eastAsia="+mn-ea" w:hAnsi="Verdana"/>
          <w:sz w:val="20"/>
          <w:szCs w:val="20"/>
        </w:rPr>
        <w:t>z</w:t>
      </w:r>
      <w:r w:rsidR="00294138">
        <w:rPr>
          <w:rFonts w:ascii="Verdana" w:eastAsia="+mn-ea" w:hAnsi="Verdana"/>
          <w:sz w:val="20"/>
          <w:szCs w:val="20"/>
        </w:rPr>
        <w:t>a</w:t>
      </w:r>
      <w:r w:rsidR="003A0B48" w:rsidRPr="00997591">
        <w:rPr>
          <w:rFonts w:ascii="Verdana" w:eastAsia="+mn-ea" w:hAnsi="Verdana"/>
          <w:sz w:val="20"/>
          <w:szCs w:val="20"/>
        </w:rPr>
        <w:t>miast</w:t>
      </w:r>
      <w:r w:rsidR="00D00EAC" w:rsidRPr="00997591">
        <w:rPr>
          <w:rFonts w:ascii="Verdana" w:eastAsia="+mn-ea" w:hAnsi="Verdana"/>
          <w:sz w:val="20"/>
          <w:szCs w:val="20"/>
        </w:rPr>
        <w:t xml:space="preserve"> stosują upusty/rabaty</w:t>
      </w:r>
      <w:r w:rsidRPr="00997591">
        <w:rPr>
          <w:rFonts w:ascii="Verdana" w:eastAsia="+mn-ea" w:hAnsi="Verdana"/>
          <w:sz w:val="20"/>
          <w:szCs w:val="20"/>
        </w:rPr>
        <w:t xml:space="preserve"> dla </w:t>
      </w:r>
      <w:r w:rsidR="00744F10" w:rsidRPr="00997591">
        <w:rPr>
          <w:rFonts w:ascii="Verdana" w:eastAsia="+mn-ea" w:hAnsi="Verdana"/>
          <w:sz w:val="20"/>
          <w:szCs w:val="20"/>
        </w:rPr>
        <w:t xml:space="preserve">tzw. </w:t>
      </w:r>
      <w:r w:rsidR="002838D7" w:rsidRPr="00997591">
        <w:rPr>
          <w:rFonts w:ascii="Verdana" w:eastAsia="+mn-ea" w:hAnsi="Verdana"/>
          <w:sz w:val="20"/>
          <w:szCs w:val="20"/>
        </w:rPr>
        <w:t>partnerów</w:t>
      </w:r>
      <w:r w:rsidRPr="00997591">
        <w:rPr>
          <w:rFonts w:ascii="Verdana" w:eastAsia="+mn-ea" w:hAnsi="Verdana"/>
          <w:sz w:val="20"/>
          <w:szCs w:val="20"/>
        </w:rPr>
        <w:t xml:space="preserve"> biznesowych</w:t>
      </w:r>
      <w:r w:rsidR="00F441E0" w:rsidRPr="00997591">
        <w:rPr>
          <w:rFonts w:ascii="Verdana" w:eastAsia="+mn-ea" w:hAnsi="Verdana"/>
          <w:sz w:val="20"/>
          <w:szCs w:val="20"/>
        </w:rPr>
        <w:t xml:space="preserve"> przy zakupie</w:t>
      </w:r>
      <w:r w:rsidR="00294138">
        <w:rPr>
          <w:rFonts w:ascii="Verdana" w:eastAsia="+mn-ea" w:hAnsi="Verdana"/>
          <w:sz w:val="20"/>
          <w:szCs w:val="20"/>
        </w:rPr>
        <w:t xml:space="preserve"> </w:t>
      </w:r>
      <w:r w:rsidR="003A0B48" w:rsidRPr="00997591">
        <w:rPr>
          <w:rFonts w:ascii="Verdana" w:eastAsia="+mn-ea" w:hAnsi="Verdana"/>
          <w:sz w:val="20"/>
          <w:szCs w:val="20"/>
        </w:rPr>
        <w:t>biletów dla pracowników</w:t>
      </w:r>
      <w:r w:rsidR="0079775C" w:rsidRPr="00997591">
        <w:rPr>
          <w:rFonts w:ascii="Verdana" w:eastAsia="+mn-ea" w:hAnsi="Verdana"/>
          <w:sz w:val="20"/>
          <w:szCs w:val="20"/>
        </w:rPr>
        <w:t xml:space="preserve"> I</w:t>
      </w:r>
      <w:r w:rsidR="00C23312" w:rsidRPr="00997591">
        <w:rPr>
          <w:rFonts w:ascii="Verdana" w:eastAsia="+mn-ea" w:hAnsi="Verdana"/>
          <w:sz w:val="20"/>
          <w:szCs w:val="20"/>
        </w:rPr>
        <w:t xml:space="preserve">ch wysokość jest różna, ale </w:t>
      </w:r>
      <w:r w:rsidR="00B25BC4" w:rsidRPr="00997591">
        <w:rPr>
          <w:rFonts w:ascii="Verdana" w:eastAsia="+mn-ea" w:hAnsi="Verdana"/>
          <w:sz w:val="20"/>
          <w:szCs w:val="20"/>
        </w:rPr>
        <w:t>odbiegająca od wnioskowanej przez Partię Zieloni</w:t>
      </w:r>
      <w:r w:rsidR="002C3394" w:rsidRPr="00997591">
        <w:rPr>
          <w:rFonts w:ascii="Verdana" w:eastAsia="+mn-ea" w:hAnsi="Verdana"/>
          <w:sz w:val="20"/>
          <w:szCs w:val="20"/>
        </w:rPr>
        <w:t>. I</w:t>
      </w:r>
      <w:r w:rsidR="0079775C" w:rsidRPr="00997591">
        <w:rPr>
          <w:rFonts w:ascii="Verdana" w:eastAsia="+mn-ea" w:hAnsi="Verdana"/>
          <w:sz w:val="20"/>
          <w:szCs w:val="20"/>
        </w:rPr>
        <w:t xml:space="preserve"> tak:</w:t>
      </w:r>
      <w:r w:rsidR="0028072C">
        <w:rPr>
          <w:rFonts w:ascii="Verdana" w:eastAsia="+mn-ea" w:hAnsi="Verdana"/>
          <w:sz w:val="20"/>
          <w:szCs w:val="20"/>
        </w:rPr>
        <w:t xml:space="preserve"> </w:t>
      </w:r>
      <w:r w:rsidRPr="00997591">
        <w:rPr>
          <w:rFonts w:ascii="Verdana" w:eastAsia="+mn-ea" w:hAnsi="Verdana"/>
          <w:sz w:val="20"/>
          <w:szCs w:val="20"/>
        </w:rPr>
        <w:t>w:</w:t>
      </w:r>
    </w:p>
    <w:p w:rsidR="00EB6851" w:rsidRPr="00997591" w:rsidRDefault="00EB6851" w:rsidP="00294138">
      <w:pPr>
        <w:pStyle w:val="Akapitzlist"/>
        <w:numPr>
          <w:ilvl w:val="0"/>
          <w:numId w:val="38"/>
        </w:numPr>
        <w:tabs>
          <w:tab w:val="left" w:pos="426"/>
        </w:tabs>
        <w:spacing w:after="0" w:line="288" w:lineRule="auto"/>
        <w:ind w:left="0" w:firstLine="0"/>
        <w:rPr>
          <w:rFonts w:ascii="Verdana" w:eastAsia="+mn-ea" w:hAnsi="Verdana"/>
          <w:sz w:val="20"/>
          <w:szCs w:val="20"/>
        </w:rPr>
      </w:pPr>
      <w:r w:rsidRPr="00997591">
        <w:rPr>
          <w:rFonts w:ascii="Verdana" w:eastAsia="+mn-ea" w:hAnsi="Verdana"/>
          <w:sz w:val="20"/>
          <w:szCs w:val="20"/>
        </w:rPr>
        <w:t>Warszaw</w:t>
      </w:r>
      <w:r w:rsidR="002C3394" w:rsidRPr="00997591">
        <w:rPr>
          <w:rFonts w:ascii="Verdana" w:eastAsia="+mn-ea" w:hAnsi="Verdana"/>
          <w:sz w:val="20"/>
          <w:szCs w:val="20"/>
        </w:rPr>
        <w:t>a</w:t>
      </w:r>
      <w:r w:rsidR="004D716D" w:rsidRPr="00997591">
        <w:rPr>
          <w:rFonts w:ascii="Verdana" w:eastAsia="+mn-ea" w:hAnsi="Verdana"/>
          <w:sz w:val="20"/>
          <w:szCs w:val="20"/>
        </w:rPr>
        <w:t>–</w:t>
      </w:r>
      <w:r w:rsidRPr="00997591">
        <w:rPr>
          <w:rFonts w:ascii="Verdana" w:eastAsia="+mn-ea" w:hAnsi="Verdana"/>
          <w:sz w:val="20"/>
          <w:szCs w:val="20"/>
        </w:rPr>
        <w:t>upust w wysokości:</w:t>
      </w:r>
    </w:p>
    <w:p w:rsidR="00EB6851" w:rsidRPr="00997591" w:rsidRDefault="00EB6851" w:rsidP="00294138">
      <w:pPr>
        <w:pStyle w:val="Akapitzlist"/>
        <w:numPr>
          <w:ilvl w:val="1"/>
          <w:numId w:val="38"/>
        </w:numPr>
        <w:tabs>
          <w:tab w:val="left" w:pos="426"/>
        </w:tabs>
        <w:spacing w:after="0" w:line="288" w:lineRule="auto"/>
        <w:ind w:left="0" w:firstLine="0"/>
        <w:rPr>
          <w:rFonts w:ascii="Verdana" w:eastAsia="+mn-ea" w:hAnsi="Verdana"/>
          <w:sz w:val="20"/>
          <w:szCs w:val="20"/>
        </w:rPr>
      </w:pPr>
      <w:r w:rsidRPr="00997591">
        <w:rPr>
          <w:rFonts w:ascii="Verdana" w:eastAsia="+mn-ea" w:hAnsi="Verdana"/>
          <w:sz w:val="20"/>
          <w:szCs w:val="20"/>
        </w:rPr>
        <w:t>3% od wartości nominalnej brutto zakupionych biletów(w przypadku miesięcznej sprzedaży za kwotę w przedziale od 3</w:t>
      </w:r>
      <w:r w:rsidR="00714B92" w:rsidRPr="00997591">
        <w:rPr>
          <w:rFonts w:ascii="Verdana" w:eastAsia="+mn-ea" w:hAnsi="Verdana"/>
          <w:sz w:val="20"/>
          <w:szCs w:val="20"/>
        </w:rPr>
        <w:t> </w:t>
      </w:r>
      <w:r w:rsidRPr="00997591">
        <w:rPr>
          <w:rFonts w:ascii="Verdana" w:eastAsia="+mn-ea" w:hAnsi="Verdana"/>
          <w:sz w:val="20"/>
          <w:szCs w:val="20"/>
        </w:rPr>
        <w:t>000</w:t>
      </w:r>
      <w:r w:rsidR="00714B92" w:rsidRPr="00997591">
        <w:rPr>
          <w:rFonts w:ascii="Verdana" w:eastAsia="+mn-ea" w:hAnsi="Verdana"/>
          <w:sz w:val="20"/>
          <w:szCs w:val="20"/>
        </w:rPr>
        <w:t xml:space="preserve"> zł</w:t>
      </w:r>
      <w:r w:rsidRPr="00997591">
        <w:rPr>
          <w:rFonts w:ascii="Verdana" w:eastAsia="+mn-ea" w:hAnsi="Verdana"/>
          <w:sz w:val="20"/>
          <w:szCs w:val="20"/>
        </w:rPr>
        <w:t xml:space="preserve"> do 4 999 zł),</w:t>
      </w:r>
    </w:p>
    <w:p w:rsidR="00EB6851" w:rsidRPr="00997591" w:rsidRDefault="00EB6851" w:rsidP="00294138">
      <w:pPr>
        <w:pStyle w:val="Akapitzlist"/>
        <w:numPr>
          <w:ilvl w:val="1"/>
          <w:numId w:val="38"/>
        </w:numPr>
        <w:tabs>
          <w:tab w:val="left" w:pos="426"/>
        </w:tabs>
        <w:spacing w:after="0" w:line="288" w:lineRule="auto"/>
        <w:ind w:left="0" w:firstLine="0"/>
        <w:rPr>
          <w:rFonts w:ascii="Verdana" w:eastAsia="+mn-ea" w:hAnsi="Verdana"/>
          <w:sz w:val="20"/>
          <w:szCs w:val="20"/>
        </w:rPr>
      </w:pPr>
      <w:r w:rsidRPr="00997591">
        <w:rPr>
          <w:rFonts w:ascii="Verdana" w:eastAsia="+mn-ea" w:hAnsi="Verdana"/>
          <w:sz w:val="20"/>
          <w:szCs w:val="20"/>
        </w:rPr>
        <w:t>5% (</w:t>
      </w:r>
      <w:r w:rsidR="009B6587" w:rsidRPr="00997591">
        <w:rPr>
          <w:rFonts w:ascii="Verdana" w:eastAsia="+mn-ea" w:hAnsi="Verdana"/>
          <w:sz w:val="20"/>
          <w:szCs w:val="20"/>
        </w:rPr>
        <w:t xml:space="preserve">dla </w:t>
      </w:r>
      <w:r w:rsidR="00200167" w:rsidRPr="00997591">
        <w:rPr>
          <w:rFonts w:ascii="Verdana" w:eastAsia="+mn-ea" w:hAnsi="Verdana"/>
          <w:sz w:val="20"/>
          <w:szCs w:val="20"/>
        </w:rPr>
        <w:t>mie</w:t>
      </w:r>
      <w:r w:rsidR="00AF59B4" w:rsidRPr="00997591">
        <w:rPr>
          <w:rFonts w:ascii="Verdana" w:eastAsia="+mn-ea" w:hAnsi="Verdana"/>
          <w:sz w:val="20"/>
          <w:szCs w:val="20"/>
        </w:rPr>
        <w:t xml:space="preserve">sięcznej </w:t>
      </w:r>
      <w:r w:rsidR="009B6587" w:rsidRPr="00997591">
        <w:rPr>
          <w:rFonts w:ascii="Verdana" w:eastAsia="+mn-ea" w:hAnsi="Verdana"/>
          <w:sz w:val="20"/>
          <w:szCs w:val="20"/>
        </w:rPr>
        <w:t xml:space="preserve">sprzedaży </w:t>
      </w:r>
      <w:r w:rsidRPr="00997591">
        <w:rPr>
          <w:rFonts w:ascii="Verdana" w:eastAsia="+mn-ea" w:hAnsi="Verdana"/>
          <w:sz w:val="20"/>
          <w:szCs w:val="20"/>
        </w:rPr>
        <w:t xml:space="preserve">w przedziale </w:t>
      </w:r>
      <w:r w:rsidR="009B6587" w:rsidRPr="00997591">
        <w:rPr>
          <w:rFonts w:ascii="Verdana" w:eastAsia="+mn-ea" w:hAnsi="Verdana"/>
          <w:sz w:val="20"/>
          <w:szCs w:val="20"/>
        </w:rPr>
        <w:t xml:space="preserve">od </w:t>
      </w:r>
      <w:r w:rsidRPr="00997591">
        <w:rPr>
          <w:rFonts w:ascii="Verdana" w:eastAsia="+mn-ea" w:hAnsi="Verdana"/>
          <w:sz w:val="20"/>
          <w:szCs w:val="20"/>
        </w:rPr>
        <w:t xml:space="preserve">5 000 </w:t>
      </w:r>
      <w:r w:rsidR="00714B92" w:rsidRPr="00997591">
        <w:rPr>
          <w:rFonts w:ascii="Verdana" w:eastAsia="+mn-ea" w:hAnsi="Verdana"/>
          <w:sz w:val="20"/>
          <w:szCs w:val="20"/>
        </w:rPr>
        <w:t xml:space="preserve">zł </w:t>
      </w:r>
      <w:r w:rsidRPr="00997591">
        <w:rPr>
          <w:rFonts w:ascii="Verdana" w:eastAsia="+mn-ea" w:hAnsi="Verdana"/>
          <w:sz w:val="20"/>
          <w:szCs w:val="20"/>
        </w:rPr>
        <w:t>do 9 999 zł)</w:t>
      </w:r>
    </w:p>
    <w:p w:rsidR="00EB6851" w:rsidRPr="00997591" w:rsidRDefault="00EB6851" w:rsidP="00294138">
      <w:pPr>
        <w:pStyle w:val="Akapitzlist"/>
        <w:numPr>
          <w:ilvl w:val="1"/>
          <w:numId w:val="38"/>
        </w:numPr>
        <w:tabs>
          <w:tab w:val="left" w:pos="426"/>
        </w:tabs>
        <w:spacing w:after="0" w:line="288" w:lineRule="auto"/>
        <w:ind w:left="0" w:firstLine="0"/>
        <w:rPr>
          <w:rFonts w:ascii="Verdana" w:eastAsia="+mn-ea" w:hAnsi="Verdana"/>
          <w:sz w:val="20"/>
          <w:szCs w:val="20"/>
        </w:rPr>
      </w:pPr>
      <w:r w:rsidRPr="00997591">
        <w:rPr>
          <w:rFonts w:ascii="Verdana" w:eastAsia="+mn-ea" w:hAnsi="Verdana"/>
          <w:sz w:val="20"/>
          <w:szCs w:val="20"/>
        </w:rPr>
        <w:t>7% (</w:t>
      </w:r>
      <w:r w:rsidR="009B6587" w:rsidRPr="00997591">
        <w:rPr>
          <w:rFonts w:ascii="Verdana" w:eastAsia="+mn-ea" w:hAnsi="Verdana"/>
          <w:sz w:val="20"/>
          <w:szCs w:val="20"/>
        </w:rPr>
        <w:t xml:space="preserve">dla </w:t>
      </w:r>
      <w:r w:rsidR="002754A9" w:rsidRPr="00997591">
        <w:rPr>
          <w:rFonts w:ascii="Verdana" w:eastAsia="+mn-ea" w:hAnsi="Verdana"/>
          <w:sz w:val="20"/>
          <w:szCs w:val="20"/>
        </w:rPr>
        <w:t>miesięcznej</w:t>
      </w:r>
      <w:r w:rsidR="0028072C">
        <w:rPr>
          <w:rFonts w:ascii="Verdana" w:eastAsia="+mn-ea" w:hAnsi="Verdana"/>
          <w:sz w:val="20"/>
          <w:szCs w:val="20"/>
        </w:rPr>
        <w:t xml:space="preserve"> </w:t>
      </w:r>
      <w:r w:rsidRPr="00997591">
        <w:rPr>
          <w:rFonts w:ascii="Verdana" w:eastAsia="+mn-ea" w:hAnsi="Verdana"/>
          <w:sz w:val="20"/>
          <w:szCs w:val="20"/>
        </w:rPr>
        <w:t>sprzedaży powyżej 10</w:t>
      </w:r>
      <w:r w:rsidR="009B6587" w:rsidRPr="00997591">
        <w:rPr>
          <w:rFonts w:ascii="Verdana" w:eastAsia="+mn-ea" w:hAnsi="Verdana"/>
          <w:sz w:val="20"/>
          <w:szCs w:val="20"/>
        </w:rPr>
        <w:t> </w:t>
      </w:r>
      <w:r w:rsidRPr="00997591">
        <w:rPr>
          <w:rFonts w:ascii="Verdana" w:eastAsia="+mn-ea" w:hAnsi="Verdana"/>
          <w:sz w:val="20"/>
          <w:szCs w:val="20"/>
        </w:rPr>
        <w:t>000</w:t>
      </w:r>
      <w:r w:rsidR="009B6587" w:rsidRPr="00997591">
        <w:rPr>
          <w:rFonts w:ascii="Verdana" w:eastAsia="+mn-ea" w:hAnsi="Verdana"/>
          <w:sz w:val="20"/>
          <w:szCs w:val="20"/>
        </w:rPr>
        <w:t xml:space="preserve"> zł</w:t>
      </w:r>
      <w:r w:rsidRPr="00997591">
        <w:rPr>
          <w:rFonts w:ascii="Verdana" w:eastAsia="+mn-ea" w:hAnsi="Verdana"/>
          <w:sz w:val="20"/>
          <w:szCs w:val="20"/>
        </w:rPr>
        <w:t>);</w:t>
      </w:r>
    </w:p>
    <w:p w:rsidR="002838D7" w:rsidRPr="00997591" w:rsidRDefault="002838D7" w:rsidP="00294138">
      <w:pPr>
        <w:pStyle w:val="Akapitzlist"/>
        <w:numPr>
          <w:ilvl w:val="0"/>
          <w:numId w:val="38"/>
        </w:numPr>
        <w:tabs>
          <w:tab w:val="left" w:pos="426"/>
        </w:tabs>
        <w:spacing w:after="0" w:line="288" w:lineRule="auto"/>
        <w:ind w:left="0" w:firstLine="0"/>
        <w:rPr>
          <w:rFonts w:ascii="Verdana" w:eastAsia="+mn-ea" w:hAnsi="Verdana"/>
          <w:sz w:val="20"/>
          <w:szCs w:val="20"/>
        </w:rPr>
      </w:pPr>
      <w:r w:rsidRPr="00997591">
        <w:rPr>
          <w:rFonts w:ascii="Verdana" w:eastAsia="+mn-ea" w:hAnsi="Verdana"/>
          <w:sz w:val="20"/>
          <w:szCs w:val="20"/>
        </w:rPr>
        <w:lastRenderedPageBreak/>
        <w:t>Pozna</w:t>
      </w:r>
      <w:r w:rsidR="001B07F2" w:rsidRPr="00997591">
        <w:rPr>
          <w:rFonts w:ascii="Verdana" w:eastAsia="+mn-ea" w:hAnsi="Verdana"/>
          <w:sz w:val="20"/>
          <w:szCs w:val="20"/>
        </w:rPr>
        <w:t>ń</w:t>
      </w:r>
      <w:r w:rsidR="002754A9" w:rsidRPr="00997591">
        <w:rPr>
          <w:rFonts w:ascii="Verdana" w:eastAsia="+mn-ea" w:hAnsi="Verdana"/>
          <w:sz w:val="20"/>
          <w:szCs w:val="20"/>
        </w:rPr>
        <w:t>-</w:t>
      </w:r>
      <w:r w:rsidR="00CD5515" w:rsidRPr="00997591">
        <w:rPr>
          <w:rFonts w:ascii="Verdana" w:eastAsia="+mn-ea" w:hAnsi="Verdana"/>
          <w:sz w:val="20"/>
          <w:szCs w:val="20"/>
        </w:rPr>
        <w:t xml:space="preserve"> upust</w:t>
      </w:r>
      <w:r w:rsidR="00294138">
        <w:rPr>
          <w:rFonts w:ascii="Verdana" w:eastAsia="+mn-ea" w:hAnsi="Verdana"/>
          <w:sz w:val="20"/>
          <w:szCs w:val="20"/>
        </w:rPr>
        <w:t xml:space="preserve"> </w:t>
      </w:r>
      <w:r w:rsidR="00533055" w:rsidRPr="00997591">
        <w:rPr>
          <w:rFonts w:ascii="Verdana" w:eastAsia="+mn-ea" w:hAnsi="Verdana"/>
          <w:sz w:val="20"/>
          <w:szCs w:val="20"/>
        </w:rPr>
        <w:t xml:space="preserve">6% </w:t>
      </w:r>
      <w:r w:rsidR="00A525D6" w:rsidRPr="00997591">
        <w:rPr>
          <w:rFonts w:ascii="Verdana" w:eastAsia="+mn-ea" w:hAnsi="Verdana"/>
          <w:sz w:val="20"/>
          <w:szCs w:val="20"/>
        </w:rPr>
        <w:t>od wartości biletu miesięcznego (zmniejszenie ze 1</w:t>
      </w:r>
      <w:r w:rsidR="00F82AB7" w:rsidRPr="00997591">
        <w:rPr>
          <w:rFonts w:ascii="Verdana" w:eastAsia="+mn-ea" w:hAnsi="Verdana"/>
          <w:sz w:val="20"/>
          <w:szCs w:val="20"/>
        </w:rPr>
        <w:t>4</w:t>
      </w:r>
      <w:r w:rsidR="000300EB" w:rsidRPr="00997591">
        <w:rPr>
          <w:rFonts w:ascii="Verdana" w:eastAsia="+mn-ea" w:hAnsi="Verdana"/>
          <w:sz w:val="20"/>
          <w:szCs w:val="20"/>
        </w:rPr>
        <w:t>9</w:t>
      </w:r>
      <w:r w:rsidR="00294138">
        <w:rPr>
          <w:rFonts w:ascii="Verdana" w:eastAsia="+mn-ea" w:hAnsi="Verdana"/>
          <w:sz w:val="20"/>
          <w:szCs w:val="20"/>
        </w:rPr>
        <w:t xml:space="preserve"> </w:t>
      </w:r>
      <w:r w:rsidR="00B56581" w:rsidRPr="00997591">
        <w:rPr>
          <w:rFonts w:ascii="Verdana" w:eastAsia="+mn-ea" w:hAnsi="Verdana"/>
          <w:sz w:val="20"/>
          <w:szCs w:val="20"/>
        </w:rPr>
        <w:t>zł</w:t>
      </w:r>
      <w:r w:rsidR="00294138">
        <w:rPr>
          <w:rFonts w:ascii="Verdana" w:eastAsia="+mn-ea" w:hAnsi="Verdana"/>
          <w:sz w:val="20"/>
          <w:szCs w:val="20"/>
        </w:rPr>
        <w:t xml:space="preserve"> </w:t>
      </w:r>
      <w:r w:rsidR="00F16D18" w:rsidRPr="00997591">
        <w:rPr>
          <w:rFonts w:ascii="Verdana" w:eastAsia="+mn-ea" w:hAnsi="Verdana"/>
          <w:sz w:val="20"/>
          <w:szCs w:val="20"/>
        </w:rPr>
        <w:t xml:space="preserve">do 140 </w:t>
      </w:r>
      <w:r w:rsidR="00B56581" w:rsidRPr="00997591">
        <w:rPr>
          <w:rFonts w:ascii="Verdana" w:eastAsia="+mn-ea" w:hAnsi="Verdana"/>
          <w:sz w:val="20"/>
          <w:szCs w:val="20"/>
        </w:rPr>
        <w:t>z</w:t>
      </w:r>
      <w:r w:rsidR="00F82AB7" w:rsidRPr="00997591">
        <w:rPr>
          <w:rFonts w:ascii="Verdana" w:eastAsia="+mn-ea" w:hAnsi="Verdana"/>
          <w:sz w:val="20"/>
          <w:szCs w:val="20"/>
        </w:rPr>
        <w:t xml:space="preserve">ł za </w:t>
      </w:r>
      <w:r w:rsidR="00B56581" w:rsidRPr="00997591">
        <w:rPr>
          <w:rFonts w:ascii="Verdana" w:eastAsia="+mn-ea" w:hAnsi="Verdana"/>
          <w:sz w:val="20"/>
          <w:szCs w:val="20"/>
        </w:rPr>
        <w:t>bilet 30-</w:t>
      </w:r>
      <w:r w:rsidR="00B02541" w:rsidRPr="00997591">
        <w:rPr>
          <w:rFonts w:ascii="Verdana" w:eastAsia="+mn-ea" w:hAnsi="Verdana"/>
          <w:sz w:val="20"/>
          <w:szCs w:val="20"/>
        </w:rPr>
        <w:t>dniowy</w:t>
      </w:r>
      <w:r w:rsidR="00A351F9" w:rsidRPr="00997591">
        <w:rPr>
          <w:rFonts w:ascii="Verdana" w:eastAsia="+mn-ea" w:hAnsi="Verdana"/>
          <w:sz w:val="20"/>
          <w:szCs w:val="20"/>
        </w:rPr>
        <w:t>)</w:t>
      </w:r>
      <w:r w:rsidRPr="00997591">
        <w:rPr>
          <w:rFonts w:ascii="Verdana" w:eastAsia="+mn-ea" w:hAnsi="Verdana"/>
          <w:sz w:val="20"/>
          <w:szCs w:val="20"/>
        </w:rPr>
        <w:t>,</w:t>
      </w:r>
    </w:p>
    <w:p w:rsidR="00D846FE" w:rsidRPr="00997591" w:rsidRDefault="002838D7" w:rsidP="00294138">
      <w:pPr>
        <w:pStyle w:val="Akapitzlist"/>
        <w:numPr>
          <w:ilvl w:val="0"/>
          <w:numId w:val="38"/>
        </w:numPr>
        <w:tabs>
          <w:tab w:val="left" w:pos="426"/>
        </w:tabs>
        <w:spacing w:after="0" w:line="288" w:lineRule="auto"/>
        <w:ind w:left="0" w:firstLine="0"/>
        <w:rPr>
          <w:rFonts w:ascii="Verdana" w:eastAsia="+mn-ea" w:hAnsi="Verdana"/>
          <w:sz w:val="20"/>
          <w:szCs w:val="20"/>
        </w:rPr>
      </w:pPr>
      <w:r w:rsidRPr="00997591">
        <w:rPr>
          <w:rFonts w:ascii="Verdana" w:eastAsia="+mn-ea" w:hAnsi="Verdana"/>
          <w:sz w:val="20"/>
          <w:szCs w:val="20"/>
        </w:rPr>
        <w:t>Górnośląsko-Zagłębiowsk</w:t>
      </w:r>
      <w:r w:rsidR="001B07F2" w:rsidRPr="00997591">
        <w:rPr>
          <w:rFonts w:ascii="Verdana" w:eastAsia="+mn-ea" w:hAnsi="Verdana"/>
          <w:sz w:val="20"/>
          <w:szCs w:val="20"/>
        </w:rPr>
        <w:t>a</w:t>
      </w:r>
      <w:r w:rsidRPr="00997591">
        <w:rPr>
          <w:rFonts w:ascii="Verdana" w:eastAsia="+mn-ea" w:hAnsi="Verdana"/>
          <w:sz w:val="20"/>
          <w:szCs w:val="20"/>
        </w:rPr>
        <w:t xml:space="preserve"> Metropoli</w:t>
      </w:r>
      <w:r w:rsidR="001B07F2" w:rsidRPr="00997591">
        <w:rPr>
          <w:rFonts w:ascii="Verdana" w:eastAsia="+mn-ea" w:hAnsi="Verdana"/>
          <w:sz w:val="20"/>
          <w:szCs w:val="20"/>
        </w:rPr>
        <w:t>a</w:t>
      </w:r>
      <w:r w:rsidRPr="00997591">
        <w:rPr>
          <w:rFonts w:ascii="Verdana" w:eastAsia="+mn-ea" w:hAnsi="Verdana"/>
          <w:sz w:val="20"/>
          <w:szCs w:val="20"/>
        </w:rPr>
        <w:t xml:space="preserve"> (Śląsk i Zagłębie) – </w:t>
      </w:r>
      <w:r w:rsidR="00D846FE" w:rsidRPr="00997591">
        <w:rPr>
          <w:rFonts w:ascii="Verdana" w:eastAsia="+mn-ea" w:hAnsi="Verdana"/>
          <w:sz w:val="20"/>
          <w:szCs w:val="20"/>
        </w:rPr>
        <w:t xml:space="preserve">upust </w:t>
      </w:r>
      <w:r w:rsidRPr="00997591">
        <w:rPr>
          <w:rFonts w:ascii="Verdana" w:eastAsia="+mn-ea" w:hAnsi="Verdana"/>
          <w:sz w:val="20"/>
          <w:szCs w:val="20"/>
        </w:rPr>
        <w:t>w zależności od wartości nominalnej pakiet</w:t>
      </w:r>
      <w:r w:rsidR="00A117F6" w:rsidRPr="00997591">
        <w:rPr>
          <w:rFonts w:ascii="Verdana" w:eastAsia="+mn-ea" w:hAnsi="Verdana"/>
          <w:sz w:val="20"/>
          <w:szCs w:val="20"/>
        </w:rPr>
        <w:t>u</w:t>
      </w:r>
      <w:r w:rsidRPr="00997591">
        <w:rPr>
          <w:rFonts w:ascii="Verdana" w:eastAsia="+mn-ea" w:hAnsi="Verdana"/>
          <w:sz w:val="20"/>
          <w:szCs w:val="20"/>
        </w:rPr>
        <w:t xml:space="preserve"> biletów</w:t>
      </w:r>
      <w:r w:rsidR="00D846FE" w:rsidRPr="00997591">
        <w:rPr>
          <w:rFonts w:ascii="Verdana" w:eastAsia="+mn-ea" w:hAnsi="Verdana"/>
          <w:sz w:val="20"/>
          <w:szCs w:val="20"/>
        </w:rPr>
        <w:t>:</w:t>
      </w:r>
    </w:p>
    <w:p w:rsidR="00D846FE" w:rsidRPr="00997591" w:rsidRDefault="00D846FE" w:rsidP="00294138">
      <w:pPr>
        <w:pStyle w:val="Akapitzlist"/>
        <w:numPr>
          <w:ilvl w:val="1"/>
          <w:numId w:val="38"/>
        </w:numPr>
        <w:tabs>
          <w:tab w:val="left" w:pos="426"/>
        </w:tabs>
        <w:spacing w:after="0" w:line="288" w:lineRule="auto"/>
        <w:ind w:left="0" w:firstLine="0"/>
        <w:rPr>
          <w:rFonts w:ascii="Verdana" w:eastAsia="+mn-ea" w:hAnsi="Verdana"/>
          <w:sz w:val="20"/>
          <w:szCs w:val="20"/>
        </w:rPr>
      </w:pPr>
      <w:r w:rsidRPr="00997591">
        <w:rPr>
          <w:rFonts w:ascii="Verdana" w:eastAsia="+mn-ea" w:hAnsi="Verdana"/>
          <w:sz w:val="20"/>
          <w:szCs w:val="20"/>
        </w:rPr>
        <w:t>5</w:t>
      </w:r>
      <w:r w:rsidR="002838D7" w:rsidRPr="00997591">
        <w:rPr>
          <w:rFonts w:ascii="Verdana" w:eastAsia="+mn-ea" w:hAnsi="Verdana"/>
          <w:sz w:val="20"/>
          <w:szCs w:val="20"/>
        </w:rPr>
        <w:t>% (</w:t>
      </w:r>
      <w:r w:rsidRPr="00997591">
        <w:rPr>
          <w:rFonts w:ascii="Verdana" w:eastAsia="+mn-ea" w:hAnsi="Verdana"/>
          <w:sz w:val="20"/>
          <w:szCs w:val="20"/>
        </w:rPr>
        <w:t xml:space="preserve">sprzedaż </w:t>
      </w:r>
      <w:r w:rsidR="002838D7" w:rsidRPr="00997591">
        <w:rPr>
          <w:rFonts w:ascii="Verdana" w:eastAsia="+mn-ea" w:hAnsi="Verdana"/>
          <w:sz w:val="20"/>
          <w:szCs w:val="20"/>
        </w:rPr>
        <w:t>od 4650 zł do 9300 zł na miesiąc</w:t>
      </w:r>
      <w:r w:rsidRPr="00997591">
        <w:rPr>
          <w:rFonts w:ascii="Verdana" w:eastAsia="+mn-ea" w:hAnsi="Verdana"/>
          <w:sz w:val="20"/>
          <w:szCs w:val="20"/>
        </w:rPr>
        <w:t>),</w:t>
      </w:r>
    </w:p>
    <w:p w:rsidR="00D846FE" w:rsidRPr="00997591" w:rsidRDefault="00D846FE" w:rsidP="00294138">
      <w:pPr>
        <w:pStyle w:val="Akapitzlist"/>
        <w:numPr>
          <w:ilvl w:val="1"/>
          <w:numId w:val="38"/>
        </w:numPr>
        <w:tabs>
          <w:tab w:val="left" w:pos="426"/>
        </w:tabs>
        <w:spacing w:after="0" w:line="288" w:lineRule="auto"/>
        <w:ind w:left="0" w:firstLine="0"/>
        <w:rPr>
          <w:rFonts w:ascii="Verdana" w:eastAsia="+mn-ea" w:hAnsi="Verdana"/>
          <w:sz w:val="20"/>
          <w:szCs w:val="20"/>
        </w:rPr>
      </w:pPr>
      <w:r w:rsidRPr="00997591">
        <w:rPr>
          <w:rFonts w:ascii="Verdana" w:eastAsia="+mn-ea" w:hAnsi="Verdana"/>
          <w:sz w:val="20"/>
          <w:szCs w:val="20"/>
        </w:rPr>
        <w:t xml:space="preserve">8% (sprzedaż </w:t>
      </w:r>
      <w:r w:rsidR="002838D7" w:rsidRPr="00997591">
        <w:rPr>
          <w:rFonts w:ascii="Verdana" w:eastAsia="+mn-ea" w:hAnsi="Verdana"/>
          <w:sz w:val="20"/>
          <w:szCs w:val="20"/>
        </w:rPr>
        <w:t>9393 zł do 13 950 zł na miesiąc</w:t>
      </w:r>
      <w:r w:rsidRPr="00997591">
        <w:rPr>
          <w:rFonts w:ascii="Verdana" w:eastAsia="+mn-ea" w:hAnsi="Verdana"/>
          <w:sz w:val="20"/>
          <w:szCs w:val="20"/>
        </w:rPr>
        <w:t>),</w:t>
      </w:r>
    </w:p>
    <w:p w:rsidR="002838D7" w:rsidRPr="00997591" w:rsidRDefault="00D846FE" w:rsidP="00294138">
      <w:pPr>
        <w:pStyle w:val="Akapitzlist"/>
        <w:numPr>
          <w:ilvl w:val="1"/>
          <w:numId w:val="38"/>
        </w:numPr>
        <w:tabs>
          <w:tab w:val="left" w:pos="426"/>
        </w:tabs>
        <w:spacing w:after="0" w:line="288" w:lineRule="auto"/>
        <w:ind w:left="0" w:firstLine="0"/>
        <w:rPr>
          <w:rFonts w:ascii="Verdana" w:eastAsia="+mn-ea" w:hAnsi="Verdana"/>
          <w:sz w:val="20"/>
          <w:szCs w:val="20"/>
        </w:rPr>
      </w:pPr>
      <w:r w:rsidRPr="00997591">
        <w:rPr>
          <w:rFonts w:ascii="Verdana" w:eastAsia="+mn-ea" w:hAnsi="Verdana"/>
          <w:sz w:val="20"/>
          <w:szCs w:val="20"/>
        </w:rPr>
        <w:t>10</w:t>
      </w:r>
      <w:r w:rsidR="002838D7" w:rsidRPr="00997591">
        <w:rPr>
          <w:rFonts w:ascii="Verdana" w:eastAsia="+mn-ea" w:hAnsi="Verdana"/>
          <w:sz w:val="20"/>
          <w:szCs w:val="20"/>
        </w:rPr>
        <w:t>%</w:t>
      </w:r>
      <w:r w:rsidRPr="00997591">
        <w:rPr>
          <w:rFonts w:ascii="Verdana" w:eastAsia="+mn-ea" w:hAnsi="Verdana"/>
          <w:sz w:val="20"/>
          <w:szCs w:val="20"/>
        </w:rPr>
        <w:t xml:space="preserve"> (</w:t>
      </w:r>
      <w:r w:rsidR="002838D7" w:rsidRPr="00997591">
        <w:rPr>
          <w:rFonts w:ascii="Verdana" w:eastAsia="+mn-ea" w:hAnsi="Verdana"/>
          <w:sz w:val="20"/>
          <w:szCs w:val="20"/>
        </w:rPr>
        <w:t>14 000 i więcej na miesiąc</w:t>
      </w:r>
      <w:r w:rsidRPr="00997591">
        <w:rPr>
          <w:rFonts w:ascii="Verdana" w:eastAsia="+mn-ea" w:hAnsi="Verdana"/>
          <w:sz w:val="20"/>
          <w:szCs w:val="20"/>
        </w:rPr>
        <w:t>).</w:t>
      </w:r>
    </w:p>
    <w:p w:rsidR="00EB6851" w:rsidRPr="00997591" w:rsidRDefault="00F22D0E" w:rsidP="00997591">
      <w:pPr>
        <w:spacing w:line="288" w:lineRule="auto"/>
        <w:rPr>
          <w:rFonts w:ascii="Verdana" w:eastAsia="+mn-ea" w:hAnsi="Verdana"/>
          <w:sz w:val="20"/>
          <w:szCs w:val="20"/>
        </w:rPr>
      </w:pPr>
      <w:r w:rsidRPr="00997591">
        <w:rPr>
          <w:rFonts w:ascii="Verdana" w:eastAsia="+mn-ea" w:hAnsi="Verdana"/>
          <w:sz w:val="20"/>
          <w:szCs w:val="20"/>
        </w:rPr>
        <w:t>W związku z powyższym obecnie nie ma potrzeby wprowadzania do prawa miejscowego dodatkowych zapisów w zakresie zakupu przez pracodawców usług przewozowych dla swoich pracowników.</w:t>
      </w:r>
    </w:p>
    <w:p w:rsidR="0082475B" w:rsidRDefault="0082475B" w:rsidP="00997591">
      <w:pPr>
        <w:spacing w:line="288" w:lineRule="auto"/>
        <w:rPr>
          <w:rFonts w:ascii="Verdana" w:eastAsia="+mn-ea" w:hAnsi="Verdana"/>
          <w:sz w:val="20"/>
          <w:szCs w:val="20"/>
        </w:rPr>
      </w:pPr>
    </w:p>
    <w:p w:rsidR="00D5133A" w:rsidRPr="00997591" w:rsidRDefault="0082475B" w:rsidP="00997591">
      <w:pPr>
        <w:spacing w:line="288" w:lineRule="auto"/>
        <w:rPr>
          <w:rFonts w:ascii="Verdana" w:eastAsia="+mn-ea" w:hAnsi="Verdana"/>
          <w:sz w:val="20"/>
          <w:szCs w:val="20"/>
        </w:rPr>
      </w:pPr>
      <w:r>
        <w:rPr>
          <w:rFonts w:ascii="Verdana" w:eastAsia="+mn-ea" w:hAnsi="Verdana"/>
          <w:sz w:val="20"/>
          <w:szCs w:val="20"/>
        </w:rPr>
        <w:t>Z poważaniem</w:t>
      </w:r>
    </w:p>
    <w:p w:rsidR="0082475B" w:rsidRDefault="0082475B" w:rsidP="00997591">
      <w:pPr>
        <w:spacing w:line="288" w:lineRule="auto"/>
        <w:rPr>
          <w:rFonts w:ascii="Verdana" w:eastAsia="+mn-ea" w:hAnsi="Verdana"/>
          <w:sz w:val="20"/>
          <w:szCs w:val="20"/>
        </w:rPr>
      </w:pPr>
      <w:r>
        <w:rPr>
          <w:rFonts w:ascii="Verdana" w:eastAsia="+mn-ea" w:hAnsi="Verdana"/>
          <w:sz w:val="20"/>
          <w:szCs w:val="20"/>
        </w:rPr>
        <w:t>Dokument podpisał</w:t>
      </w:r>
    </w:p>
    <w:p w:rsidR="0082475B" w:rsidRPr="00997591" w:rsidRDefault="0082475B" w:rsidP="0082475B">
      <w:pPr>
        <w:spacing w:line="288" w:lineRule="auto"/>
        <w:rPr>
          <w:rFonts w:ascii="Verdana" w:eastAsia="+mn-ea" w:hAnsi="Verdana"/>
          <w:sz w:val="20"/>
          <w:szCs w:val="20"/>
        </w:rPr>
      </w:pPr>
      <w:r w:rsidRPr="00997591">
        <w:rPr>
          <w:rFonts w:ascii="Verdana" w:eastAsia="+mn-ea" w:hAnsi="Verdana"/>
          <w:sz w:val="20"/>
          <w:szCs w:val="20"/>
        </w:rPr>
        <w:t>Sławomir Gonciarz</w:t>
      </w:r>
      <w:bookmarkStart w:id="0" w:name="_GoBack"/>
      <w:bookmarkEnd w:id="0"/>
    </w:p>
    <w:p w:rsidR="0082475B" w:rsidRDefault="0082475B" w:rsidP="00997591">
      <w:pPr>
        <w:spacing w:line="288" w:lineRule="auto"/>
        <w:rPr>
          <w:rFonts w:ascii="Verdana" w:eastAsia="+mn-ea" w:hAnsi="Verdana"/>
          <w:sz w:val="20"/>
          <w:szCs w:val="20"/>
        </w:rPr>
      </w:pPr>
      <w:r>
        <w:rPr>
          <w:rFonts w:ascii="Verdana" w:eastAsia="+mn-ea" w:hAnsi="Verdana"/>
          <w:sz w:val="20"/>
          <w:szCs w:val="20"/>
        </w:rPr>
        <w:t>Zastępca Dyrektora Departamentu Infrastruktury i Transportu</w:t>
      </w:r>
    </w:p>
    <w:p w:rsidR="0082475B" w:rsidRDefault="0082475B" w:rsidP="00997591">
      <w:pPr>
        <w:spacing w:line="288" w:lineRule="auto"/>
        <w:rPr>
          <w:rFonts w:ascii="Verdana" w:eastAsia="+mn-ea" w:hAnsi="Verdana"/>
          <w:sz w:val="20"/>
          <w:szCs w:val="20"/>
        </w:rPr>
      </w:pPr>
    </w:p>
    <w:p w:rsidR="00D5133A" w:rsidRPr="00997591" w:rsidRDefault="0082475B" w:rsidP="00997591">
      <w:pPr>
        <w:suppressAutoHyphens/>
        <w:autoSpaceDE w:val="0"/>
        <w:autoSpaceDN w:val="0"/>
        <w:adjustRightInd w:val="0"/>
        <w:spacing w:line="288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Sprawę prowadzi:</w:t>
      </w:r>
    </w:p>
    <w:p w:rsidR="00D5133A" w:rsidRPr="00997591" w:rsidRDefault="00D5133A" w:rsidP="00997591">
      <w:pPr>
        <w:pStyle w:val="11Trescpisma"/>
        <w:suppressAutoHyphens/>
        <w:spacing w:before="0" w:line="288" w:lineRule="auto"/>
        <w:jc w:val="left"/>
        <w:rPr>
          <w:szCs w:val="20"/>
        </w:rPr>
      </w:pPr>
      <w:r w:rsidRPr="00997591">
        <w:rPr>
          <w:color w:val="000000"/>
          <w:szCs w:val="20"/>
        </w:rPr>
        <w:t>Jolanta Mikos, Urząd Miejski Wroc</w:t>
      </w:r>
      <w:r w:rsidR="0082475B">
        <w:rPr>
          <w:color w:val="000000"/>
          <w:szCs w:val="20"/>
        </w:rPr>
        <w:t>ławia Wydział Transportu, ul. Gabrieli</w:t>
      </w:r>
      <w:r w:rsidRPr="00997591">
        <w:rPr>
          <w:color w:val="000000"/>
          <w:szCs w:val="20"/>
        </w:rPr>
        <w:t xml:space="preserve"> Zapolskiej 4, 50-032 Wrocław, tel. +48 717 77 88 80, </w:t>
      </w:r>
      <w:hyperlink r:id="rId8" w:history="1">
        <w:r w:rsidRPr="00997591">
          <w:rPr>
            <w:color w:val="000000"/>
            <w:szCs w:val="20"/>
          </w:rPr>
          <w:t>wtr@um.wroc.pl</w:t>
        </w:r>
      </w:hyperlink>
      <w:r w:rsidRPr="00997591">
        <w:rPr>
          <w:color w:val="000000"/>
          <w:szCs w:val="20"/>
        </w:rPr>
        <w:t>, www.wroclaw.pl</w:t>
      </w:r>
    </w:p>
    <w:p w:rsidR="0082475B" w:rsidRDefault="0082475B" w:rsidP="00997591">
      <w:pPr>
        <w:suppressAutoHyphens/>
        <w:autoSpaceDE w:val="0"/>
        <w:autoSpaceDN w:val="0"/>
        <w:adjustRightInd w:val="0"/>
        <w:spacing w:line="288" w:lineRule="auto"/>
        <w:rPr>
          <w:rFonts w:ascii="Verdana" w:hAnsi="Verdana"/>
          <w:color w:val="000000"/>
          <w:sz w:val="20"/>
          <w:szCs w:val="20"/>
        </w:rPr>
      </w:pPr>
    </w:p>
    <w:p w:rsidR="00D5133A" w:rsidRPr="00997591" w:rsidRDefault="00D5133A" w:rsidP="00997591">
      <w:pPr>
        <w:suppressAutoHyphens/>
        <w:autoSpaceDE w:val="0"/>
        <w:autoSpaceDN w:val="0"/>
        <w:adjustRightInd w:val="0"/>
        <w:spacing w:line="288" w:lineRule="auto"/>
        <w:rPr>
          <w:rFonts w:ascii="Verdana" w:hAnsi="Verdana"/>
          <w:color w:val="000000"/>
          <w:sz w:val="20"/>
          <w:szCs w:val="20"/>
        </w:rPr>
      </w:pPr>
      <w:r w:rsidRPr="00997591">
        <w:rPr>
          <w:rFonts w:ascii="Verdana" w:hAnsi="Verdana"/>
          <w:color w:val="000000"/>
          <w:sz w:val="20"/>
          <w:szCs w:val="20"/>
        </w:rPr>
        <w:t>Do wiadomości:</w:t>
      </w:r>
    </w:p>
    <w:p w:rsidR="00D5133A" w:rsidRPr="00997591" w:rsidRDefault="00D5133A" w:rsidP="00997591">
      <w:pPr>
        <w:pStyle w:val="11Trescpisma"/>
        <w:suppressAutoHyphens/>
        <w:spacing w:before="0" w:line="288" w:lineRule="auto"/>
        <w:jc w:val="left"/>
        <w:rPr>
          <w:szCs w:val="20"/>
        </w:rPr>
      </w:pPr>
      <w:r w:rsidRPr="00997591">
        <w:rPr>
          <w:color w:val="000000"/>
          <w:szCs w:val="20"/>
        </w:rPr>
        <w:t>Wydział Partycypacji Społecznej</w:t>
      </w:r>
    </w:p>
    <w:sectPr w:rsidR="00D5133A" w:rsidRPr="00997591" w:rsidSect="007F1692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001050" w16cid:durableId="27D6FF91"/>
  <w16cid:commentId w16cid:paraId="267E85C9" w16cid:durableId="27D6FF92"/>
  <w16cid:commentId w16cid:paraId="5EDF36C0" w16cid:durableId="27D6FF93"/>
  <w16cid:commentId w16cid:paraId="3BAD7C7D" w16cid:durableId="27D6FF94"/>
  <w16cid:commentId w16cid:paraId="098DA932" w16cid:durableId="27D6FF95"/>
  <w16cid:commentId w16cid:paraId="1DFC4089" w16cid:durableId="27D6FF96"/>
  <w16cid:commentId w16cid:paraId="71449757" w16cid:durableId="27D6FF9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411" w:rsidRDefault="00BA4411">
      <w:r>
        <w:separator/>
      </w:r>
    </w:p>
  </w:endnote>
  <w:endnote w:type="continuationSeparator" w:id="1">
    <w:p w:rsidR="00BA4411" w:rsidRDefault="00BA4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DCA" w:rsidRPr="004D6885" w:rsidRDefault="00803DCA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B01C5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B01C5A" w:rsidRPr="004D6885">
      <w:rPr>
        <w:sz w:val="14"/>
        <w:szCs w:val="14"/>
      </w:rPr>
      <w:fldChar w:fldCharType="separate"/>
    </w:r>
    <w:r w:rsidR="006D0F20">
      <w:rPr>
        <w:noProof/>
        <w:sz w:val="14"/>
        <w:szCs w:val="14"/>
      </w:rPr>
      <w:t>7</w:t>
    </w:r>
    <w:r w:rsidR="00B01C5A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B01C5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B01C5A" w:rsidRPr="004D6885">
      <w:rPr>
        <w:sz w:val="14"/>
        <w:szCs w:val="14"/>
      </w:rPr>
      <w:fldChar w:fldCharType="separate"/>
    </w:r>
    <w:r w:rsidR="006D0F20">
      <w:rPr>
        <w:noProof/>
        <w:sz w:val="14"/>
        <w:szCs w:val="14"/>
      </w:rPr>
      <w:t>8</w:t>
    </w:r>
    <w:r w:rsidR="00B01C5A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DCA" w:rsidRDefault="00803DCA" w:rsidP="00F261E5">
    <w:pPr>
      <w:pStyle w:val="Stopka"/>
    </w:pPr>
  </w:p>
  <w:p w:rsidR="00803DCA" w:rsidRDefault="00803DCA" w:rsidP="00F261E5">
    <w:pPr>
      <w:pStyle w:val="Stopka"/>
    </w:pPr>
    <w:r>
      <w:rPr>
        <w:noProof/>
      </w:rPr>
      <w:drawing>
        <wp:inline distT="0" distB="0" distL="0" distR="0">
          <wp:extent cx="1575435" cy="751205"/>
          <wp:effectExtent l="19050" t="0" r="5715" b="0"/>
          <wp:docPr id="2" name="Obraz 2" descr="DIT_[DIT]_[DIT-Departament Infrastruktury i Transportu(L)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T_[DIT]_[DIT-Departament Infrastruktury i Transportu(L)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5435" cy="751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411" w:rsidRDefault="00BA4411">
      <w:r>
        <w:separator/>
      </w:r>
    </w:p>
  </w:footnote>
  <w:footnote w:type="continuationSeparator" w:id="1">
    <w:p w:rsidR="00BA4411" w:rsidRDefault="00BA44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DCA" w:rsidRDefault="00B01C5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DCA" w:rsidRDefault="00803DCA" w:rsidP="00A27F20">
    <w:pPr>
      <w:pStyle w:val="Stopka"/>
    </w:pPr>
    <w:r>
      <w:rPr>
        <w:noProof/>
      </w:rPr>
      <w:drawing>
        <wp:inline distT="0" distB="0" distL="0" distR="0">
          <wp:extent cx="3368040" cy="1620520"/>
          <wp:effectExtent l="19050" t="0" r="3810" b="0"/>
          <wp:docPr id="1" name="Obraz 1" descr="DIT_[DIT]_[DIT-Departament Infrastruktury i Transportu(L)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T_[DIT]_[DIT-Departament Infrastruktury i Transportu(L)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8040" cy="1620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1127B8"/>
    <w:multiLevelType w:val="hybridMultilevel"/>
    <w:tmpl w:val="F14EF334"/>
    <w:lvl w:ilvl="0" w:tplc="B69625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1C654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4054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48C2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1296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9AADF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A639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66A16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2C6D1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DDB0DA7"/>
    <w:multiLevelType w:val="hybridMultilevel"/>
    <w:tmpl w:val="C65C5A56"/>
    <w:lvl w:ilvl="0" w:tplc="2910BC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54C1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7ACA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CCEB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8A0C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82F28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D04D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D427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FCE5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A3F698E"/>
    <w:multiLevelType w:val="hybridMultilevel"/>
    <w:tmpl w:val="6B121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473463"/>
    <w:multiLevelType w:val="hybridMultilevel"/>
    <w:tmpl w:val="9D08B518"/>
    <w:lvl w:ilvl="0" w:tplc="4FB68A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B63059A"/>
    <w:multiLevelType w:val="hybridMultilevel"/>
    <w:tmpl w:val="2264DDE6"/>
    <w:lvl w:ilvl="0" w:tplc="7D5C9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5743CC"/>
    <w:multiLevelType w:val="hybridMultilevel"/>
    <w:tmpl w:val="CC16E9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5D76AB"/>
    <w:multiLevelType w:val="hybridMultilevel"/>
    <w:tmpl w:val="16147A5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4942FC"/>
    <w:multiLevelType w:val="hybridMultilevel"/>
    <w:tmpl w:val="AFF28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425F87"/>
    <w:multiLevelType w:val="hybridMultilevel"/>
    <w:tmpl w:val="04D6D004"/>
    <w:lvl w:ilvl="0" w:tplc="AAB223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D696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74E1A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A4CC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9A8A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C276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8A99A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8471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B0C8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CE6DC5"/>
    <w:multiLevelType w:val="hybridMultilevel"/>
    <w:tmpl w:val="F2FEA338"/>
    <w:lvl w:ilvl="0" w:tplc="076038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F6BFF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E653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B294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7A44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6A9D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5A7C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D0D9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BC24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FC33E9E"/>
    <w:multiLevelType w:val="hybridMultilevel"/>
    <w:tmpl w:val="DEEA4F0E"/>
    <w:lvl w:ilvl="0" w:tplc="3BA6DD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5E2D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A611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0683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F4302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DAA3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E58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383D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EC7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5"/>
  </w:num>
  <w:num w:numId="16">
    <w:abstractNumId w:val="25"/>
  </w:num>
  <w:num w:numId="17">
    <w:abstractNumId w:val="30"/>
  </w:num>
  <w:num w:numId="18">
    <w:abstractNumId w:val="24"/>
  </w:num>
  <w:num w:numId="19">
    <w:abstractNumId w:val="33"/>
  </w:num>
  <w:num w:numId="20">
    <w:abstractNumId w:val="11"/>
  </w:num>
  <w:num w:numId="21">
    <w:abstractNumId w:val="32"/>
  </w:num>
  <w:num w:numId="22">
    <w:abstractNumId w:val="13"/>
  </w:num>
  <w:num w:numId="23">
    <w:abstractNumId w:val="35"/>
  </w:num>
  <w:num w:numId="24">
    <w:abstractNumId w:val="19"/>
  </w:num>
  <w:num w:numId="25">
    <w:abstractNumId w:val="22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9"/>
  </w:num>
  <w:num w:numId="29">
    <w:abstractNumId w:val="36"/>
  </w:num>
  <w:num w:numId="30">
    <w:abstractNumId w:val="31"/>
  </w:num>
  <w:num w:numId="31">
    <w:abstractNumId w:val="18"/>
  </w:num>
  <w:num w:numId="32">
    <w:abstractNumId w:val="34"/>
  </w:num>
  <w:num w:numId="33">
    <w:abstractNumId w:val="10"/>
  </w:num>
  <w:num w:numId="34">
    <w:abstractNumId w:val="21"/>
  </w:num>
  <w:num w:numId="35">
    <w:abstractNumId w:val="27"/>
  </w:num>
  <w:num w:numId="36">
    <w:abstractNumId w:val="23"/>
  </w:num>
  <w:num w:numId="37">
    <w:abstractNumId w:val="28"/>
  </w:num>
  <w:num w:numId="3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8045D"/>
    <w:rsid w:val="0000347E"/>
    <w:rsid w:val="00003572"/>
    <w:rsid w:val="000111B0"/>
    <w:rsid w:val="00013797"/>
    <w:rsid w:val="0001530E"/>
    <w:rsid w:val="000166EA"/>
    <w:rsid w:val="000300EB"/>
    <w:rsid w:val="000314F3"/>
    <w:rsid w:val="00037A23"/>
    <w:rsid w:val="0004405E"/>
    <w:rsid w:val="00047C60"/>
    <w:rsid w:val="00051227"/>
    <w:rsid w:val="000519CF"/>
    <w:rsid w:val="0005771F"/>
    <w:rsid w:val="0006068B"/>
    <w:rsid w:val="00064DB2"/>
    <w:rsid w:val="00070CF0"/>
    <w:rsid w:val="000854FB"/>
    <w:rsid w:val="000857E2"/>
    <w:rsid w:val="0008591C"/>
    <w:rsid w:val="000867CC"/>
    <w:rsid w:val="00091488"/>
    <w:rsid w:val="00096F62"/>
    <w:rsid w:val="00097AEF"/>
    <w:rsid w:val="000A500C"/>
    <w:rsid w:val="000A5120"/>
    <w:rsid w:val="000A6512"/>
    <w:rsid w:val="000B267C"/>
    <w:rsid w:val="000B3E6B"/>
    <w:rsid w:val="000B6DC4"/>
    <w:rsid w:val="000C7157"/>
    <w:rsid w:val="000C744E"/>
    <w:rsid w:val="000D35F5"/>
    <w:rsid w:val="000D3838"/>
    <w:rsid w:val="000D6E2C"/>
    <w:rsid w:val="000E0A09"/>
    <w:rsid w:val="000E2B64"/>
    <w:rsid w:val="000E4D6A"/>
    <w:rsid w:val="000E585C"/>
    <w:rsid w:val="000F0C16"/>
    <w:rsid w:val="001003E8"/>
    <w:rsid w:val="00102195"/>
    <w:rsid w:val="00102795"/>
    <w:rsid w:val="001037A7"/>
    <w:rsid w:val="00104046"/>
    <w:rsid w:val="001105C9"/>
    <w:rsid w:val="00121CB6"/>
    <w:rsid w:val="001228B8"/>
    <w:rsid w:val="00123614"/>
    <w:rsid w:val="00141E67"/>
    <w:rsid w:val="00143A44"/>
    <w:rsid w:val="0014434C"/>
    <w:rsid w:val="00145551"/>
    <w:rsid w:val="00151C14"/>
    <w:rsid w:val="00153D06"/>
    <w:rsid w:val="001562EF"/>
    <w:rsid w:val="001604EE"/>
    <w:rsid w:val="00166C2F"/>
    <w:rsid w:val="0017392E"/>
    <w:rsid w:val="00176C80"/>
    <w:rsid w:val="00180DF6"/>
    <w:rsid w:val="0018223F"/>
    <w:rsid w:val="00186050"/>
    <w:rsid w:val="00190D4E"/>
    <w:rsid w:val="00192E76"/>
    <w:rsid w:val="001935F4"/>
    <w:rsid w:val="0019599A"/>
    <w:rsid w:val="001974FE"/>
    <w:rsid w:val="001A5004"/>
    <w:rsid w:val="001B0176"/>
    <w:rsid w:val="001B07F2"/>
    <w:rsid w:val="001C1958"/>
    <w:rsid w:val="001C1D5B"/>
    <w:rsid w:val="001D01CE"/>
    <w:rsid w:val="001D1593"/>
    <w:rsid w:val="001D3150"/>
    <w:rsid w:val="001D7C40"/>
    <w:rsid w:val="001E4760"/>
    <w:rsid w:val="001E5926"/>
    <w:rsid w:val="001E65B0"/>
    <w:rsid w:val="001E6BCA"/>
    <w:rsid w:val="001F4AD4"/>
    <w:rsid w:val="001F53FD"/>
    <w:rsid w:val="001F6528"/>
    <w:rsid w:val="001F68A5"/>
    <w:rsid w:val="001F708E"/>
    <w:rsid w:val="00200167"/>
    <w:rsid w:val="002018DC"/>
    <w:rsid w:val="002020A5"/>
    <w:rsid w:val="0021475A"/>
    <w:rsid w:val="0022205A"/>
    <w:rsid w:val="00231850"/>
    <w:rsid w:val="002422E2"/>
    <w:rsid w:val="00252827"/>
    <w:rsid w:val="0025363C"/>
    <w:rsid w:val="00256655"/>
    <w:rsid w:val="002628F8"/>
    <w:rsid w:val="00267D5D"/>
    <w:rsid w:val="0027305E"/>
    <w:rsid w:val="002754A9"/>
    <w:rsid w:val="0028072C"/>
    <w:rsid w:val="002838D7"/>
    <w:rsid w:val="00294138"/>
    <w:rsid w:val="002970A6"/>
    <w:rsid w:val="002A52AF"/>
    <w:rsid w:val="002A7CF6"/>
    <w:rsid w:val="002B6140"/>
    <w:rsid w:val="002B7EEC"/>
    <w:rsid w:val="002C3394"/>
    <w:rsid w:val="002C42E8"/>
    <w:rsid w:val="002C56BA"/>
    <w:rsid w:val="002E39AB"/>
    <w:rsid w:val="002E4185"/>
    <w:rsid w:val="002E4642"/>
    <w:rsid w:val="002E640C"/>
    <w:rsid w:val="002F292D"/>
    <w:rsid w:val="002F6749"/>
    <w:rsid w:val="00304B32"/>
    <w:rsid w:val="00323052"/>
    <w:rsid w:val="00327AF2"/>
    <w:rsid w:val="003432DC"/>
    <w:rsid w:val="00345256"/>
    <w:rsid w:val="00346792"/>
    <w:rsid w:val="003510D3"/>
    <w:rsid w:val="003521DE"/>
    <w:rsid w:val="00355AD3"/>
    <w:rsid w:val="003560EC"/>
    <w:rsid w:val="00357D60"/>
    <w:rsid w:val="00364DD1"/>
    <w:rsid w:val="003700D5"/>
    <w:rsid w:val="003741F8"/>
    <w:rsid w:val="0037568D"/>
    <w:rsid w:val="00375C3B"/>
    <w:rsid w:val="00383142"/>
    <w:rsid w:val="00385188"/>
    <w:rsid w:val="00387960"/>
    <w:rsid w:val="00387F34"/>
    <w:rsid w:val="00392854"/>
    <w:rsid w:val="003938AC"/>
    <w:rsid w:val="00394F41"/>
    <w:rsid w:val="003A0B48"/>
    <w:rsid w:val="003B0F14"/>
    <w:rsid w:val="003B4793"/>
    <w:rsid w:val="003C02B5"/>
    <w:rsid w:val="003C07C9"/>
    <w:rsid w:val="003C07E6"/>
    <w:rsid w:val="003C0C8D"/>
    <w:rsid w:val="003C701C"/>
    <w:rsid w:val="003C7DA8"/>
    <w:rsid w:val="003D112C"/>
    <w:rsid w:val="003D2188"/>
    <w:rsid w:val="003D3A35"/>
    <w:rsid w:val="003D75D3"/>
    <w:rsid w:val="003E04E5"/>
    <w:rsid w:val="003E5C2D"/>
    <w:rsid w:val="003E7EE8"/>
    <w:rsid w:val="003F0BEC"/>
    <w:rsid w:val="003F20D6"/>
    <w:rsid w:val="00401F02"/>
    <w:rsid w:val="0040301D"/>
    <w:rsid w:val="00406039"/>
    <w:rsid w:val="004076B0"/>
    <w:rsid w:val="00410A92"/>
    <w:rsid w:val="00420C90"/>
    <w:rsid w:val="0042237E"/>
    <w:rsid w:val="00422400"/>
    <w:rsid w:val="00424D0D"/>
    <w:rsid w:val="00425498"/>
    <w:rsid w:val="00432C8D"/>
    <w:rsid w:val="0044429C"/>
    <w:rsid w:val="004447C4"/>
    <w:rsid w:val="004508B6"/>
    <w:rsid w:val="00460B42"/>
    <w:rsid w:val="00462E0F"/>
    <w:rsid w:val="00470463"/>
    <w:rsid w:val="00472134"/>
    <w:rsid w:val="00483057"/>
    <w:rsid w:val="0049522C"/>
    <w:rsid w:val="004A21ED"/>
    <w:rsid w:val="004B14E0"/>
    <w:rsid w:val="004B51B2"/>
    <w:rsid w:val="004B6C42"/>
    <w:rsid w:val="004B6E35"/>
    <w:rsid w:val="004D19FD"/>
    <w:rsid w:val="004D22C9"/>
    <w:rsid w:val="004D443C"/>
    <w:rsid w:val="004D6885"/>
    <w:rsid w:val="004D716D"/>
    <w:rsid w:val="004E02C6"/>
    <w:rsid w:val="004E0C97"/>
    <w:rsid w:val="004E4DEE"/>
    <w:rsid w:val="004E5C8D"/>
    <w:rsid w:val="004E639B"/>
    <w:rsid w:val="004E78EC"/>
    <w:rsid w:val="004F2943"/>
    <w:rsid w:val="004F2C88"/>
    <w:rsid w:val="00500563"/>
    <w:rsid w:val="005043F3"/>
    <w:rsid w:val="00505FD6"/>
    <w:rsid w:val="00512439"/>
    <w:rsid w:val="00513FC6"/>
    <w:rsid w:val="005208C4"/>
    <w:rsid w:val="00521112"/>
    <w:rsid w:val="00530687"/>
    <w:rsid w:val="00531DF2"/>
    <w:rsid w:val="00533055"/>
    <w:rsid w:val="00541854"/>
    <w:rsid w:val="005606F7"/>
    <w:rsid w:val="00562E87"/>
    <w:rsid w:val="00572C35"/>
    <w:rsid w:val="00572E48"/>
    <w:rsid w:val="00582356"/>
    <w:rsid w:val="0058479F"/>
    <w:rsid w:val="0059145C"/>
    <w:rsid w:val="00594004"/>
    <w:rsid w:val="005A301A"/>
    <w:rsid w:val="005A3893"/>
    <w:rsid w:val="005B5D46"/>
    <w:rsid w:val="005B7816"/>
    <w:rsid w:val="005C2A71"/>
    <w:rsid w:val="005C5E14"/>
    <w:rsid w:val="005D09DE"/>
    <w:rsid w:val="005D15E0"/>
    <w:rsid w:val="005D18D1"/>
    <w:rsid w:val="005D274C"/>
    <w:rsid w:val="005D4ADC"/>
    <w:rsid w:val="005F5FEE"/>
    <w:rsid w:val="005F6712"/>
    <w:rsid w:val="005F7F5F"/>
    <w:rsid w:val="00607E06"/>
    <w:rsid w:val="006106B2"/>
    <w:rsid w:val="006109B0"/>
    <w:rsid w:val="006158BD"/>
    <w:rsid w:val="0061618B"/>
    <w:rsid w:val="00627E82"/>
    <w:rsid w:val="006316FF"/>
    <w:rsid w:val="00631951"/>
    <w:rsid w:val="006328AF"/>
    <w:rsid w:val="00636A6A"/>
    <w:rsid w:val="00641B8E"/>
    <w:rsid w:val="00643EFD"/>
    <w:rsid w:val="00651F11"/>
    <w:rsid w:val="006528C7"/>
    <w:rsid w:val="00660164"/>
    <w:rsid w:val="006603FE"/>
    <w:rsid w:val="00661428"/>
    <w:rsid w:val="006705E9"/>
    <w:rsid w:val="006753CD"/>
    <w:rsid w:val="006816F4"/>
    <w:rsid w:val="006876A0"/>
    <w:rsid w:val="006913DE"/>
    <w:rsid w:val="00697EF4"/>
    <w:rsid w:val="006A2D90"/>
    <w:rsid w:val="006A3922"/>
    <w:rsid w:val="006B1A55"/>
    <w:rsid w:val="006B6826"/>
    <w:rsid w:val="006B71AB"/>
    <w:rsid w:val="006D0F20"/>
    <w:rsid w:val="006D7E21"/>
    <w:rsid w:val="006E3E54"/>
    <w:rsid w:val="006F039E"/>
    <w:rsid w:val="006F2AFD"/>
    <w:rsid w:val="006F4CA4"/>
    <w:rsid w:val="006F7A84"/>
    <w:rsid w:val="00701403"/>
    <w:rsid w:val="00701FA2"/>
    <w:rsid w:val="007131F0"/>
    <w:rsid w:val="00714B92"/>
    <w:rsid w:val="00717289"/>
    <w:rsid w:val="00720AF9"/>
    <w:rsid w:val="0072166A"/>
    <w:rsid w:val="007303CB"/>
    <w:rsid w:val="007317A5"/>
    <w:rsid w:val="00733FE5"/>
    <w:rsid w:val="007369F9"/>
    <w:rsid w:val="00740062"/>
    <w:rsid w:val="00742027"/>
    <w:rsid w:val="00744F10"/>
    <w:rsid w:val="00750C81"/>
    <w:rsid w:val="00750FBE"/>
    <w:rsid w:val="00751053"/>
    <w:rsid w:val="007529DB"/>
    <w:rsid w:val="00754D32"/>
    <w:rsid w:val="0075583C"/>
    <w:rsid w:val="00761E86"/>
    <w:rsid w:val="0076345F"/>
    <w:rsid w:val="0076405B"/>
    <w:rsid w:val="0077235B"/>
    <w:rsid w:val="007730B5"/>
    <w:rsid w:val="00773B04"/>
    <w:rsid w:val="00773F59"/>
    <w:rsid w:val="00784590"/>
    <w:rsid w:val="007878BA"/>
    <w:rsid w:val="00792319"/>
    <w:rsid w:val="00796A1C"/>
    <w:rsid w:val="0079775C"/>
    <w:rsid w:val="007A032F"/>
    <w:rsid w:val="007B202B"/>
    <w:rsid w:val="007B217F"/>
    <w:rsid w:val="007C052E"/>
    <w:rsid w:val="007C5C4B"/>
    <w:rsid w:val="007C729C"/>
    <w:rsid w:val="007D0335"/>
    <w:rsid w:val="007D0C5E"/>
    <w:rsid w:val="007D365C"/>
    <w:rsid w:val="007E262B"/>
    <w:rsid w:val="007E42BC"/>
    <w:rsid w:val="007E7BE3"/>
    <w:rsid w:val="007F15D6"/>
    <w:rsid w:val="007F15FC"/>
    <w:rsid w:val="007F1692"/>
    <w:rsid w:val="007F1B42"/>
    <w:rsid w:val="007F2928"/>
    <w:rsid w:val="00802A1E"/>
    <w:rsid w:val="00803DCA"/>
    <w:rsid w:val="00812D45"/>
    <w:rsid w:val="00821CA7"/>
    <w:rsid w:val="00823400"/>
    <w:rsid w:val="0082475B"/>
    <w:rsid w:val="00824AB9"/>
    <w:rsid w:val="00830195"/>
    <w:rsid w:val="00845EEB"/>
    <w:rsid w:val="00846729"/>
    <w:rsid w:val="00852552"/>
    <w:rsid w:val="00860317"/>
    <w:rsid w:val="0086071B"/>
    <w:rsid w:val="00861E6A"/>
    <w:rsid w:val="00864D31"/>
    <w:rsid w:val="00865660"/>
    <w:rsid w:val="008669F5"/>
    <w:rsid w:val="00875B24"/>
    <w:rsid w:val="0088160D"/>
    <w:rsid w:val="00884754"/>
    <w:rsid w:val="008854E3"/>
    <w:rsid w:val="00886151"/>
    <w:rsid w:val="00886A4B"/>
    <w:rsid w:val="00887A03"/>
    <w:rsid w:val="00892B6D"/>
    <w:rsid w:val="00892EC9"/>
    <w:rsid w:val="008A4A0C"/>
    <w:rsid w:val="008A62F7"/>
    <w:rsid w:val="008B0F0D"/>
    <w:rsid w:val="008B230A"/>
    <w:rsid w:val="008B2D6E"/>
    <w:rsid w:val="008C070C"/>
    <w:rsid w:val="008C3679"/>
    <w:rsid w:val="008D2E05"/>
    <w:rsid w:val="008D5881"/>
    <w:rsid w:val="008D64A1"/>
    <w:rsid w:val="008D7C0C"/>
    <w:rsid w:val="008F0004"/>
    <w:rsid w:val="008F4778"/>
    <w:rsid w:val="008F64F6"/>
    <w:rsid w:val="008F7D65"/>
    <w:rsid w:val="009021FC"/>
    <w:rsid w:val="00902308"/>
    <w:rsid w:val="00902F61"/>
    <w:rsid w:val="009122B7"/>
    <w:rsid w:val="00915C24"/>
    <w:rsid w:val="00916B2A"/>
    <w:rsid w:val="009178E0"/>
    <w:rsid w:val="00922DB9"/>
    <w:rsid w:val="00925B46"/>
    <w:rsid w:val="009318FE"/>
    <w:rsid w:val="00935A5F"/>
    <w:rsid w:val="0093644D"/>
    <w:rsid w:val="00937442"/>
    <w:rsid w:val="009448F2"/>
    <w:rsid w:val="00947CAC"/>
    <w:rsid w:val="00952D53"/>
    <w:rsid w:val="0096252D"/>
    <w:rsid w:val="0096688E"/>
    <w:rsid w:val="00970251"/>
    <w:rsid w:val="00973CB2"/>
    <w:rsid w:val="009765D0"/>
    <w:rsid w:val="009769BF"/>
    <w:rsid w:val="009778A2"/>
    <w:rsid w:val="009819FB"/>
    <w:rsid w:val="00983038"/>
    <w:rsid w:val="00984F47"/>
    <w:rsid w:val="009859FB"/>
    <w:rsid w:val="00986542"/>
    <w:rsid w:val="00990E86"/>
    <w:rsid w:val="00991D61"/>
    <w:rsid w:val="00997591"/>
    <w:rsid w:val="009A3AB6"/>
    <w:rsid w:val="009A4B0F"/>
    <w:rsid w:val="009B07DD"/>
    <w:rsid w:val="009B6587"/>
    <w:rsid w:val="009B722A"/>
    <w:rsid w:val="009C6C05"/>
    <w:rsid w:val="009D043F"/>
    <w:rsid w:val="009D3627"/>
    <w:rsid w:val="009E4721"/>
    <w:rsid w:val="00A005FB"/>
    <w:rsid w:val="00A117F6"/>
    <w:rsid w:val="00A137D1"/>
    <w:rsid w:val="00A15D1F"/>
    <w:rsid w:val="00A246C5"/>
    <w:rsid w:val="00A249E3"/>
    <w:rsid w:val="00A27788"/>
    <w:rsid w:val="00A27F20"/>
    <w:rsid w:val="00A30615"/>
    <w:rsid w:val="00A34273"/>
    <w:rsid w:val="00A351F9"/>
    <w:rsid w:val="00A35BCE"/>
    <w:rsid w:val="00A35CB4"/>
    <w:rsid w:val="00A402C8"/>
    <w:rsid w:val="00A433AE"/>
    <w:rsid w:val="00A47B55"/>
    <w:rsid w:val="00A525D6"/>
    <w:rsid w:val="00A5523F"/>
    <w:rsid w:val="00A612F8"/>
    <w:rsid w:val="00A816F2"/>
    <w:rsid w:val="00A86D58"/>
    <w:rsid w:val="00A9417F"/>
    <w:rsid w:val="00A942C3"/>
    <w:rsid w:val="00AA6B94"/>
    <w:rsid w:val="00AA722D"/>
    <w:rsid w:val="00AB2827"/>
    <w:rsid w:val="00AB56BE"/>
    <w:rsid w:val="00AB60B5"/>
    <w:rsid w:val="00AC0959"/>
    <w:rsid w:val="00AC4EA2"/>
    <w:rsid w:val="00AC5357"/>
    <w:rsid w:val="00AC6B86"/>
    <w:rsid w:val="00AC7E0D"/>
    <w:rsid w:val="00AD490D"/>
    <w:rsid w:val="00AD6631"/>
    <w:rsid w:val="00AF094C"/>
    <w:rsid w:val="00AF59B4"/>
    <w:rsid w:val="00B01C5A"/>
    <w:rsid w:val="00B02541"/>
    <w:rsid w:val="00B02AD0"/>
    <w:rsid w:val="00B13962"/>
    <w:rsid w:val="00B2429D"/>
    <w:rsid w:val="00B25034"/>
    <w:rsid w:val="00B25BC4"/>
    <w:rsid w:val="00B30ABD"/>
    <w:rsid w:val="00B3331B"/>
    <w:rsid w:val="00B33D7B"/>
    <w:rsid w:val="00B34C4F"/>
    <w:rsid w:val="00B36053"/>
    <w:rsid w:val="00B40EDA"/>
    <w:rsid w:val="00B42E98"/>
    <w:rsid w:val="00B45A72"/>
    <w:rsid w:val="00B51712"/>
    <w:rsid w:val="00B53D00"/>
    <w:rsid w:val="00B56581"/>
    <w:rsid w:val="00B57387"/>
    <w:rsid w:val="00B62D3F"/>
    <w:rsid w:val="00B65EBA"/>
    <w:rsid w:val="00B702BD"/>
    <w:rsid w:val="00B71F7A"/>
    <w:rsid w:val="00B73AF4"/>
    <w:rsid w:val="00B73D94"/>
    <w:rsid w:val="00B775D1"/>
    <w:rsid w:val="00B7768C"/>
    <w:rsid w:val="00B81B31"/>
    <w:rsid w:val="00B84EA4"/>
    <w:rsid w:val="00B906E7"/>
    <w:rsid w:val="00B90A25"/>
    <w:rsid w:val="00B93F0E"/>
    <w:rsid w:val="00B96258"/>
    <w:rsid w:val="00B963FE"/>
    <w:rsid w:val="00B96EDD"/>
    <w:rsid w:val="00B97835"/>
    <w:rsid w:val="00BA4411"/>
    <w:rsid w:val="00BB2B0E"/>
    <w:rsid w:val="00BB389F"/>
    <w:rsid w:val="00BB4B9D"/>
    <w:rsid w:val="00BB68B0"/>
    <w:rsid w:val="00BD035E"/>
    <w:rsid w:val="00BD7362"/>
    <w:rsid w:val="00BD755B"/>
    <w:rsid w:val="00BE0185"/>
    <w:rsid w:val="00BE1B38"/>
    <w:rsid w:val="00BE6418"/>
    <w:rsid w:val="00BE7A4A"/>
    <w:rsid w:val="00BE7A83"/>
    <w:rsid w:val="00BF0F46"/>
    <w:rsid w:val="00BF2371"/>
    <w:rsid w:val="00BF7076"/>
    <w:rsid w:val="00C007A8"/>
    <w:rsid w:val="00C10CDF"/>
    <w:rsid w:val="00C1207A"/>
    <w:rsid w:val="00C14EB4"/>
    <w:rsid w:val="00C1739A"/>
    <w:rsid w:val="00C20B77"/>
    <w:rsid w:val="00C2127D"/>
    <w:rsid w:val="00C23312"/>
    <w:rsid w:val="00C24B56"/>
    <w:rsid w:val="00C317A3"/>
    <w:rsid w:val="00C364A9"/>
    <w:rsid w:val="00C41B5F"/>
    <w:rsid w:val="00C42DCA"/>
    <w:rsid w:val="00C45423"/>
    <w:rsid w:val="00C45548"/>
    <w:rsid w:val="00C52261"/>
    <w:rsid w:val="00C53C41"/>
    <w:rsid w:val="00C63A9C"/>
    <w:rsid w:val="00C63B94"/>
    <w:rsid w:val="00C642D2"/>
    <w:rsid w:val="00C7236E"/>
    <w:rsid w:val="00C76FC0"/>
    <w:rsid w:val="00C84149"/>
    <w:rsid w:val="00C85090"/>
    <w:rsid w:val="00C9137B"/>
    <w:rsid w:val="00C92E1C"/>
    <w:rsid w:val="00C97B6E"/>
    <w:rsid w:val="00CA2A08"/>
    <w:rsid w:val="00CA56E8"/>
    <w:rsid w:val="00CA792C"/>
    <w:rsid w:val="00CB099A"/>
    <w:rsid w:val="00CB624F"/>
    <w:rsid w:val="00CC1016"/>
    <w:rsid w:val="00CC3359"/>
    <w:rsid w:val="00CC7106"/>
    <w:rsid w:val="00CD26BE"/>
    <w:rsid w:val="00CD4AC9"/>
    <w:rsid w:val="00CD5515"/>
    <w:rsid w:val="00CD6811"/>
    <w:rsid w:val="00CE1D42"/>
    <w:rsid w:val="00CF1E38"/>
    <w:rsid w:val="00CF2573"/>
    <w:rsid w:val="00CF766F"/>
    <w:rsid w:val="00D00EAC"/>
    <w:rsid w:val="00D03B75"/>
    <w:rsid w:val="00D0407F"/>
    <w:rsid w:val="00D05152"/>
    <w:rsid w:val="00D23966"/>
    <w:rsid w:val="00D24D14"/>
    <w:rsid w:val="00D263B5"/>
    <w:rsid w:val="00D33992"/>
    <w:rsid w:val="00D40BC8"/>
    <w:rsid w:val="00D43A66"/>
    <w:rsid w:val="00D4478C"/>
    <w:rsid w:val="00D454FF"/>
    <w:rsid w:val="00D4770F"/>
    <w:rsid w:val="00D5133A"/>
    <w:rsid w:val="00D53EDF"/>
    <w:rsid w:val="00D55023"/>
    <w:rsid w:val="00D573E5"/>
    <w:rsid w:val="00D627A1"/>
    <w:rsid w:val="00D64013"/>
    <w:rsid w:val="00D72ED6"/>
    <w:rsid w:val="00D81AFC"/>
    <w:rsid w:val="00D846FE"/>
    <w:rsid w:val="00D84D82"/>
    <w:rsid w:val="00D8547D"/>
    <w:rsid w:val="00D937FC"/>
    <w:rsid w:val="00D97FF5"/>
    <w:rsid w:val="00DA035A"/>
    <w:rsid w:val="00DA4572"/>
    <w:rsid w:val="00DB5C8E"/>
    <w:rsid w:val="00DB64B7"/>
    <w:rsid w:val="00DC191D"/>
    <w:rsid w:val="00DC2292"/>
    <w:rsid w:val="00DC6939"/>
    <w:rsid w:val="00DD53E4"/>
    <w:rsid w:val="00DE04B3"/>
    <w:rsid w:val="00DE25C3"/>
    <w:rsid w:val="00DE5397"/>
    <w:rsid w:val="00DE761C"/>
    <w:rsid w:val="00DF1AB8"/>
    <w:rsid w:val="00DF3025"/>
    <w:rsid w:val="00DF6A54"/>
    <w:rsid w:val="00E153E7"/>
    <w:rsid w:val="00E16479"/>
    <w:rsid w:val="00E25E6A"/>
    <w:rsid w:val="00E26C33"/>
    <w:rsid w:val="00E3001C"/>
    <w:rsid w:val="00E34DD0"/>
    <w:rsid w:val="00E35A19"/>
    <w:rsid w:val="00E418A2"/>
    <w:rsid w:val="00E44E7D"/>
    <w:rsid w:val="00E46D54"/>
    <w:rsid w:val="00E5153C"/>
    <w:rsid w:val="00E519BF"/>
    <w:rsid w:val="00E52576"/>
    <w:rsid w:val="00E57603"/>
    <w:rsid w:val="00E6163A"/>
    <w:rsid w:val="00E67C1F"/>
    <w:rsid w:val="00E734AE"/>
    <w:rsid w:val="00E8045D"/>
    <w:rsid w:val="00E84552"/>
    <w:rsid w:val="00E86499"/>
    <w:rsid w:val="00EA66B3"/>
    <w:rsid w:val="00EB0B01"/>
    <w:rsid w:val="00EB34BC"/>
    <w:rsid w:val="00EB5AD0"/>
    <w:rsid w:val="00EB6851"/>
    <w:rsid w:val="00EC15D1"/>
    <w:rsid w:val="00EC64F6"/>
    <w:rsid w:val="00ED0F0B"/>
    <w:rsid w:val="00ED37AE"/>
    <w:rsid w:val="00ED3E79"/>
    <w:rsid w:val="00ED45FC"/>
    <w:rsid w:val="00ED46D0"/>
    <w:rsid w:val="00ED4D0C"/>
    <w:rsid w:val="00ED6307"/>
    <w:rsid w:val="00EE54A0"/>
    <w:rsid w:val="00EF02B2"/>
    <w:rsid w:val="00EF1238"/>
    <w:rsid w:val="00EF261E"/>
    <w:rsid w:val="00F01B19"/>
    <w:rsid w:val="00F1116B"/>
    <w:rsid w:val="00F11790"/>
    <w:rsid w:val="00F11A91"/>
    <w:rsid w:val="00F16D18"/>
    <w:rsid w:val="00F17022"/>
    <w:rsid w:val="00F1752F"/>
    <w:rsid w:val="00F22D0E"/>
    <w:rsid w:val="00F23A5D"/>
    <w:rsid w:val="00F2426E"/>
    <w:rsid w:val="00F2479A"/>
    <w:rsid w:val="00F261E5"/>
    <w:rsid w:val="00F30657"/>
    <w:rsid w:val="00F334CB"/>
    <w:rsid w:val="00F35B4B"/>
    <w:rsid w:val="00F40755"/>
    <w:rsid w:val="00F426DF"/>
    <w:rsid w:val="00F426EA"/>
    <w:rsid w:val="00F441E0"/>
    <w:rsid w:val="00F466F9"/>
    <w:rsid w:val="00F52BA3"/>
    <w:rsid w:val="00F65958"/>
    <w:rsid w:val="00F77E2F"/>
    <w:rsid w:val="00F81596"/>
    <w:rsid w:val="00F8165E"/>
    <w:rsid w:val="00F82AB7"/>
    <w:rsid w:val="00F84EB4"/>
    <w:rsid w:val="00F85A46"/>
    <w:rsid w:val="00F93C40"/>
    <w:rsid w:val="00FA0EB2"/>
    <w:rsid w:val="00FA5B9C"/>
    <w:rsid w:val="00FB1286"/>
    <w:rsid w:val="00FB2F82"/>
    <w:rsid w:val="00FB471B"/>
    <w:rsid w:val="00FB68B6"/>
    <w:rsid w:val="00FB7428"/>
    <w:rsid w:val="00FB7E0C"/>
    <w:rsid w:val="00FB7E24"/>
    <w:rsid w:val="00FC1AA2"/>
    <w:rsid w:val="00FC2CDB"/>
    <w:rsid w:val="00FC68F8"/>
    <w:rsid w:val="00FD179C"/>
    <w:rsid w:val="00FD5E57"/>
    <w:rsid w:val="00FD6D2A"/>
    <w:rsid w:val="00FE00E6"/>
    <w:rsid w:val="00FE0589"/>
    <w:rsid w:val="00FF1C44"/>
    <w:rsid w:val="00FF4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688E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72C35"/>
    <w:pPr>
      <w:keepNext/>
      <w:outlineLvl w:val="1"/>
    </w:pPr>
    <w:rPr>
      <w:rFonts w:ascii="Verdana" w:eastAsia="Arial Unicode MS" w:hAnsi="Verdana" w:cs="Arial Unicode MS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C642D2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C642D2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8669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669F5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572C35"/>
    <w:rPr>
      <w:rFonts w:ascii="Verdana" w:eastAsia="Arial Unicode MS" w:hAnsi="Verdana" w:cs="Arial Unicode MS"/>
      <w:sz w:val="24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1D4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D42"/>
    <w:rPr>
      <w:b/>
      <w:bCs/>
    </w:rPr>
  </w:style>
  <w:style w:type="paragraph" w:styleId="Akapitzlist">
    <w:name w:val="List Paragraph"/>
    <w:basedOn w:val="Normalny"/>
    <w:uiPriority w:val="34"/>
    <w:qFormat/>
    <w:rsid w:val="00BE1B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B7768C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387F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166C2F"/>
    <w:rPr>
      <w:color w:val="0000FF" w:themeColor="hyperlink"/>
      <w:u w:val="single"/>
    </w:rPr>
  </w:style>
  <w:style w:type="character" w:customStyle="1" w:styleId="left">
    <w:name w:val="left"/>
    <w:basedOn w:val="Domylnaczcionkaakapitu"/>
    <w:rsid w:val="006B1A5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53E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53E7"/>
  </w:style>
  <w:style w:type="character" w:styleId="Odwoanieprzypisukocowego">
    <w:name w:val="endnote reference"/>
    <w:basedOn w:val="Domylnaczcionkaakapitu"/>
    <w:uiPriority w:val="99"/>
    <w:semiHidden/>
    <w:unhideWhenUsed/>
    <w:rsid w:val="00E153E7"/>
    <w:rPr>
      <w:vertAlign w:val="superscript"/>
    </w:rPr>
  </w:style>
  <w:style w:type="paragraph" w:styleId="Poprawka">
    <w:name w:val="Revision"/>
    <w:hidden/>
    <w:uiPriority w:val="99"/>
    <w:semiHidden/>
    <w:rsid w:val="00CA2A0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4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3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5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4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8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3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tr@um.wroc.pl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86243B-53D2-44A1-BA1F-297F4550C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2925</Words>
  <Characters>17550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ummiok01</dc:creator>
  <cp:lastModifiedBy>Patrycja Przybylska</cp:lastModifiedBy>
  <cp:revision>7</cp:revision>
  <cp:lastPrinted>2021-06-24T12:53:00Z</cp:lastPrinted>
  <dcterms:created xsi:type="dcterms:W3CDTF">2023-04-11T07:11:00Z</dcterms:created>
  <dcterms:modified xsi:type="dcterms:W3CDTF">2023-04-11T07:40:00Z</dcterms:modified>
</cp:coreProperties>
</file>