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12" w:rsidRPr="0048321E" w:rsidRDefault="00673812" w:rsidP="00673812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48321E">
        <w:rPr>
          <w:rFonts w:ascii="Verdana" w:hAnsi="Verdana"/>
          <w:color w:val="auto"/>
          <w:sz w:val="24"/>
          <w:szCs w:val="24"/>
        </w:rPr>
        <w:t xml:space="preserve">Losowanie uzupełniające – pojazdy gastronomiczne </w:t>
      </w:r>
      <w:r>
        <w:rPr>
          <w:rFonts w:ascii="Verdana" w:hAnsi="Verdana"/>
          <w:color w:val="auto"/>
          <w:sz w:val="24"/>
          <w:szCs w:val="24"/>
        </w:rPr>
        <w:t xml:space="preserve">                         w parku kulturowym „Stare Miasto”</w:t>
      </w:r>
    </w:p>
    <w:p w:rsidR="00673812" w:rsidRPr="00535AEA" w:rsidRDefault="00673812" w:rsidP="00673812">
      <w:pPr>
        <w:pStyle w:val="Default"/>
        <w:jc w:val="both"/>
        <w:rPr>
          <w:rFonts w:asciiTheme="minorHAnsi" w:hAnsiTheme="minorHAnsi"/>
        </w:rPr>
      </w:pPr>
    </w:p>
    <w:p w:rsidR="00673812" w:rsidRDefault="00673812" w:rsidP="00673812">
      <w:pPr>
        <w:pStyle w:val="Default"/>
        <w:spacing w:line="360" w:lineRule="auto"/>
      </w:pPr>
      <w:r w:rsidRPr="0048321E">
        <w:rPr>
          <w:bCs/>
        </w:rPr>
        <w:t xml:space="preserve">Do losowania uzupełniającego </w:t>
      </w:r>
      <w:r w:rsidRPr="0048321E">
        <w:t xml:space="preserve">mogą przystąpić tylko i wyłącznie wnioskodawcy, którzy złożyli </w:t>
      </w:r>
      <w:r>
        <w:t>kompletne</w:t>
      </w:r>
      <w:r w:rsidRPr="0048321E">
        <w:t xml:space="preserve"> wnioski do </w:t>
      </w:r>
      <w:r>
        <w:t>10.03.2023</w:t>
      </w:r>
      <w:r w:rsidRPr="0048321E">
        <w:t xml:space="preserve"> r. </w:t>
      </w:r>
      <w:r>
        <w:t>na podstawie ogłoszenia do losowania z dnia 9.02.2023 r.</w:t>
      </w:r>
      <w:r w:rsidRPr="007D726E">
        <w:t xml:space="preserve"> </w:t>
      </w:r>
      <w:hyperlink r:id="rId4" w:history="1">
        <w:r w:rsidRPr="007D4C93">
          <w:rPr>
            <w:rStyle w:val="Hipercze"/>
          </w:rPr>
          <w:t>https://bip.um.wroc.pl/przetarg/64811/pojazdy-gastronomiczne-w-parku-kulturowym-stare-miasto</w:t>
        </w:r>
      </w:hyperlink>
    </w:p>
    <w:p w:rsidR="00673812" w:rsidRDefault="00673812" w:rsidP="00673812">
      <w:pPr>
        <w:pStyle w:val="Default"/>
        <w:spacing w:line="360" w:lineRule="auto"/>
        <w:rPr>
          <w:bCs/>
        </w:rPr>
      </w:pPr>
      <w:r w:rsidRPr="0048321E">
        <w:t>i nie w</w:t>
      </w:r>
      <w:r w:rsidR="00FC53FE">
        <w:t>ygrali</w:t>
      </w:r>
      <w:r w:rsidRPr="0048321E">
        <w:t xml:space="preserve"> miejsca handlowego w losowaniu przeprowadzonym w dniu </w:t>
      </w:r>
      <w:r>
        <w:t>16.03.2023</w:t>
      </w:r>
      <w:r w:rsidRPr="0048321E">
        <w:t xml:space="preserve"> r. </w:t>
      </w:r>
      <w:r w:rsidRPr="0048321E">
        <w:rPr>
          <w:bCs/>
        </w:rPr>
        <w:t xml:space="preserve"> </w:t>
      </w:r>
    </w:p>
    <w:p w:rsidR="00673812" w:rsidRPr="0048321E" w:rsidRDefault="00673812" w:rsidP="00673812">
      <w:pPr>
        <w:pStyle w:val="Default"/>
        <w:spacing w:line="360" w:lineRule="auto"/>
      </w:pPr>
      <w:r w:rsidRPr="00220FB9">
        <w:rPr>
          <w:b/>
          <w:bCs/>
        </w:rPr>
        <w:t>Zgłoszenia należy wysyłać</w:t>
      </w:r>
      <w:r>
        <w:rPr>
          <w:bCs/>
        </w:rPr>
        <w:t xml:space="preserve"> </w:t>
      </w:r>
      <w:r>
        <w:rPr>
          <w:b/>
          <w:bCs/>
        </w:rPr>
        <w:t>najpóźniej do 22.03.2023</w:t>
      </w:r>
      <w:r w:rsidRPr="00220FB9">
        <w:rPr>
          <w:b/>
          <w:bCs/>
        </w:rPr>
        <w:t xml:space="preserve"> r.</w:t>
      </w:r>
      <w:r>
        <w:rPr>
          <w:bCs/>
        </w:rPr>
        <w:t xml:space="preserve"> </w:t>
      </w:r>
      <w:r w:rsidRPr="0048321E">
        <w:t>na adres sekretariatu</w:t>
      </w:r>
      <w:r w:rsidR="00FC53FE">
        <w:t xml:space="preserve"> Biura Rozwoju Gospodarczego</w:t>
      </w:r>
      <w:r w:rsidRPr="0048321E">
        <w:t xml:space="preserve">: </w:t>
      </w:r>
      <w:r w:rsidRPr="0048321E">
        <w:rPr>
          <w:b/>
        </w:rPr>
        <w:t>brg@um.wroc.pl</w:t>
      </w:r>
      <w:r w:rsidRPr="0048321E">
        <w:t xml:space="preserve"> podając </w:t>
      </w:r>
      <w:r>
        <w:t xml:space="preserve">jedną z niżej wymienionych lokalizacji, </w:t>
      </w:r>
      <w:r w:rsidRPr="0048321E">
        <w:t>imię i nazwisko wnioskodawcy</w:t>
      </w:r>
      <w:r>
        <w:t xml:space="preserve"> (z wniosku) oraz</w:t>
      </w:r>
      <w:r w:rsidRPr="0048321E">
        <w:t xml:space="preserve"> telefon kontaktowy.</w:t>
      </w:r>
      <w:r>
        <w:t xml:space="preserve"> Przy wyborze miejsca należy sprawdzić czy </w:t>
      </w:r>
      <w:r w:rsidR="00FD6F3A">
        <w:t>wpisane dane we wniosku do losowania odpowiadają wymogom określonym przy danej lokalizacji (branża, pojazd)</w:t>
      </w:r>
      <w:r>
        <w:t>.</w:t>
      </w:r>
      <w:r w:rsidRPr="0048321E">
        <w:t xml:space="preserve"> </w:t>
      </w:r>
      <w:r>
        <w:t>Podanie niezgodnych</w:t>
      </w:r>
      <w:r w:rsidRPr="0048321E">
        <w:t xml:space="preserve"> informacji może skutkować odrzuceniem </w:t>
      </w:r>
      <w:r>
        <w:t>z losowania</w:t>
      </w:r>
      <w:r w:rsidRPr="0048321E">
        <w:t>.</w:t>
      </w:r>
    </w:p>
    <w:p w:rsidR="00673812" w:rsidRPr="0048321E" w:rsidRDefault="00673812" w:rsidP="00673812">
      <w:pPr>
        <w:pStyle w:val="Default"/>
        <w:spacing w:line="360" w:lineRule="auto"/>
      </w:pPr>
      <w:r w:rsidRPr="0048321E">
        <w:t>W przypadku pytań - kontakt telefoniczn</w:t>
      </w:r>
      <w:r>
        <w:t xml:space="preserve">y z pracownikami Działu Handlu i Reklam: </w:t>
      </w:r>
      <w:r w:rsidRPr="0048321E">
        <w:t>tel. 71/ 777 78 03, 71/777 78 17</w:t>
      </w:r>
      <w:r>
        <w:t>, 71/ 777 76 27 sekretariat: 71/777 71 74.</w:t>
      </w:r>
    </w:p>
    <w:p w:rsidR="00673812" w:rsidRPr="0048321E" w:rsidRDefault="00673812" w:rsidP="00673812">
      <w:pPr>
        <w:pStyle w:val="Default"/>
        <w:spacing w:line="360" w:lineRule="auto"/>
      </w:pPr>
      <w:r w:rsidRPr="0048321E">
        <w:t>Planowany termin losowania uzupełniającego:</w:t>
      </w:r>
      <w:r w:rsidR="00FC53FE">
        <w:t xml:space="preserve"> 23</w:t>
      </w:r>
      <w:r w:rsidRPr="0048321E">
        <w:t>.</w:t>
      </w:r>
      <w:r>
        <w:t>03.202</w:t>
      </w:r>
      <w:r w:rsidR="00FC53FE">
        <w:t>3</w:t>
      </w:r>
      <w:r>
        <w:t xml:space="preserve"> r.</w:t>
      </w:r>
    </w:p>
    <w:p w:rsidR="00673812" w:rsidRPr="0048321E" w:rsidRDefault="00673812" w:rsidP="00673812">
      <w:pPr>
        <w:pStyle w:val="Default"/>
        <w:spacing w:line="360" w:lineRule="auto"/>
      </w:pPr>
      <w:r>
        <w:rPr>
          <w:bCs/>
        </w:rPr>
        <w:t>Losowanie o</w:t>
      </w:r>
      <w:r w:rsidRPr="0048321E">
        <w:rPr>
          <w:bCs/>
        </w:rPr>
        <w:t xml:space="preserve">dbędzie się </w:t>
      </w:r>
      <w:r w:rsidRPr="0048321E">
        <w:t>przy użyciu systemu informatycznego LOMI.</w:t>
      </w:r>
    </w:p>
    <w:p w:rsidR="00FC53FE" w:rsidRDefault="00FC53FE" w:rsidP="00673812">
      <w:pPr>
        <w:jc w:val="both"/>
        <w:rPr>
          <w:rFonts w:ascii="Verdana" w:hAnsi="Verdana"/>
          <w:b/>
          <w:sz w:val="24"/>
          <w:szCs w:val="24"/>
        </w:rPr>
      </w:pPr>
    </w:p>
    <w:p w:rsidR="00673812" w:rsidRPr="00FC53FE" w:rsidRDefault="00673812" w:rsidP="00673812">
      <w:pPr>
        <w:jc w:val="both"/>
        <w:rPr>
          <w:rFonts w:ascii="Verdana" w:hAnsi="Verdana"/>
          <w:sz w:val="24"/>
          <w:szCs w:val="24"/>
        </w:rPr>
      </w:pPr>
      <w:r w:rsidRPr="00FC53FE">
        <w:rPr>
          <w:rFonts w:ascii="Verdana" w:hAnsi="Verdana"/>
          <w:sz w:val="24"/>
          <w:szCs w:val="24"/>
        </w:rPr>
        <w:t>Lista wolnych lokalizacji: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418"/>
        <w:gridCol w:w="2835"/>
        <w:gridCol w:w="4677"/>
      </w:tblGrid>
      <w:tr w:rsidR="00FC53FE" w:rsidRPr="00DA5A83" w:rsidTr="00FC53FE">
        <w:tc>
          <w:tcPr>
            <w:tcW w:w="709" w:type="dxa"/>
          </w:tcPr>
          <w:p w:rsidR="00FC53FE" w:rsidRPr="00DA5A83" w:rsidRDefault="00FC53FE" w:rsidP="002A45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53FE" w:rsidRPr="00DA5A83" w:rsidRDefault="00FC53FE" w:rsidP="002A45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418" w:type="dxa"/>
          </w:tcPr>
          <w:p w:rsidR="00FC53FE" w:rsidRPr="00DA5A83" w:rsidRDefault="00FC53FE" w:rsidP="002A45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53FE" w:rsidRPr="00DA5A83" w:rsidRDefault="00FC53FE" w:rsidP="002A45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Nr miejsca </w:t>
            </w:r>
          </w:p>
        </w:tc>
        <w:tc>
          <w:tcPr>
            <w:tcW w:w="2835" w:type="dxa"/>
          </w:tcPr>
          <w:p w:rsidR="00FC53FE" w:rsidRPr="00DA5A83" w:rsidRDefault="00FC53FE" w:rsidP="002A45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  <w:p w:rsidR="00FC53FE" w:rsidRPr="00DA5A83" w:rsidRDefault="00FC53FE" w:rsidP="002A45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       Lokalizacja</w:t>
            </w:r>
          </w:p>
        </w:tc>
        <w:tc>
          <w:tcPr>
            <w:tcW w:w="4677" w:type="dxa"/>
          </w:tcPr>
          <w:p w:rsidR="00FC53FE" w:rsidRPr="00DA5A83" w:rsidRDefault="00FC53FE" w:rsidP="002A45A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C53FE" w:rsidRPr="00DA5A83" w:rsidRDefault="00FC53FE" w:rsidP="002A45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</w:tr>
      <w:tr w:rsidR="00FC53FE" w:rsidRPr="00DA5A83" w:rsidTr="00FC53FE">
        <w:trPr>
          <w:trHeight w:val="1305"/>
        </w:trPr>
        <w:tc>
          <w:tcPr>
            <w:tcW w:w="709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302</w:t>
            </w:r>
          </w:p>
        </w:tc>
        <w:tc>
          <w:tcPr>
            <w:tcW w:w="2835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Wyspa Słodowa </w:t>
            </w:r>
          </w:p>
        </w:tc>
        <w:tc>
          <w:tcPr>
            <w:tcW w:w="4677" w:type="dxa"/>
          </w:tcPr>
          <w:p w:rsidR="00FC53FE" w:rsidRPr="00DA5A83" w:rsidRDefault="00FC53FE" w:rsidP="002A45A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gastronomia),  w szczególności: gofry, bagietki, zapiekanki, tosty, frytki, hamburgery, wata cukrowa, precle, kukurydza w kolbach, popcorn, napoje (tj. kawa, herbata, lemoniada, soki, woda, koktajle owocowe)</w:t>
            </w:r>
          </w:p>
        </w:tc>
      </w:tr>
      <w:tr w:rsidR="00FC53FE" w:rsidRPr="00DA5A83" w:rsidTr="008956FA">
        <w:trPr>
          <w:trHeight w:val="2025"/>
        </w:trPr>
        <w:tc>
          <w:tcPr>
            <w:tcW w:w="709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  <w:r w:rsidRPr="00DA5A8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304</w:t>
            </w:r>
          </w:p>
        </w:tc>
        <w:tc>
          <w:tcPr>
            <w:tcW w:w="2835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Promenada Staromiejska – al. J. Słowackiego/ul. Podwale</w:t>
            </w:r>
            <w:r w:rsidR="008956FA" w:rsidRPr="008956FA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 xml:space="preserve"> </w:t>
            </w:r>
            <w:r w:rsidR="008956FA" w:rsidRPr="008956FA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677" w:type="dxa"/>
          </w:tcPr>
          <w:p w:rsidR="00FC53FE" w:rsidRPr="00DA5A83" w:rsidRDefault="00FC53FE" w:rsidP="002A45A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FC53FE" w:rsidRPr="00DA5A83" w:rsidTr="00FC53FE">
        <w:tc>
          <w:tcPr>
            <w:tcW w:w="709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DA5A8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309</w:t>
            </w:r>
          </w:p>
        </w:tc>
        <w:tc>
          <w:tcPr>
            <w:tcW w:w="2835" w:type="dxa"/>
          </w:tcPr>
          <w:p w:rsidR="00FC53FE" w:rsidRPr="008956FA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8956FA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Wschodnia strona ul. Garncarskiej/pl. Polski - </w:t>
            </w:r>
            <w:r w:rsidRPr="008956FA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677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owocowe).</w:t>
            </w:r>
          </w:p>
        </w:tc>
      </w:tr>
      <w:tr w:rsidR="00FC53FE" w:rsidRPr="00DA5A83" w:rsidTr="00FC53FE">
        <w:trPr>
          <w:trHeight w:val="1815"/>
        </w:trPr>
        <w:tc>
          <w:tcPr>
            <w:tcW w:w="709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DA5A8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</w:p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</w:p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310</w:t>
            </w:r>
          </w:p>
        </w:tc>
        <w:tc>
          <w:tcPr>
            <w:tcW w:w="2835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-  </w:t>
            </w:r>
            <w:r w:rsidRPr="008956FA">
              <w:rPr>
                <w:rFonts w:ascii="Verdana" w:hAnsi="Verdana"/>
                <w:sz w:val="20"/>
                <w:szCs w:val="20"/>
              </w:rPr>
              <w:t>miejsce wyłącznie dla</w:t>
            </w:r>
            <w:r w:rsidRPr="008956F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8956FA">
              <w:rPr>
                <w:rFonts w:ascii="Verdana" w:hAnsi="Verdana"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677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</w:tr>
      <w:tr w:rsidR="00FC53FE" w:rsidRPr="00DA5A83" w:rsidTr="00FC53FE">
        <w:tc>
          <w:tcPr>
            <w:tcW w:w="709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DA5A8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314</w:t>
            </w:r>
          </w:p>
        </w:tc>
        <w:tc>
          <w:tcPr>
            <w:tcW w:w="2835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Skwer Wrocławianek – miejsce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wyłącznie dla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rowerowego lub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gastronomicznego pchanego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ręcznie</w:t>
            </w:r>
          </w:p>
        </w:tc>
        <w:tc>
          <w:tcPr>
            <w:tcW w:w="4677" w:type="dxa"/>
          </w:tcPr>
          <w:p w:rsidR="00FC53FE" w:rsidRPr="00DA5A83" w:rsidRDefault="00FC53FE" w:rsidP="002A45A2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owocowe).</w:t>
            </w:r>
          </w:p>
        </w:tc>
      </w:tr>
    </w:tbl>
    <w:p w:rsidR="00FC53FE" w:rsidRDefault="00FC53FE" w:rsidP="00673812">
      <w:pPr>
        <w:jc w:val="both"/>
        <w:rPr>
          <w:rFonts w:ascii="Verdana" w:hAnsi="Verdana"/>
          <w:b/>
          <w:sz w:val="24"/>
          <w:szCs w:val="24"/>
        </w:rPr>
      </w:pPr>
    </w:p>
    <w:sectPr w:rsidR="00FC53FE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3812"/>
    <w:rsid w:val="00116E7C"/>
    <w:rsid w:val="003B6C57"/>
    <w:rsid w:val="00673812"/>
    <w:rsid w:val="008956FA"/>
    <w:rsid w:val="00977AED"/>
    <w:rsid w:val="00CD7004"/>
    <w:rsid w:val="00E25E46"/>
    <w:rsid w:val="00F765B9"/>
    <w:rsid w:val="00F96F0A"/>
    <w:rsid w:val="00FC53FE"/>
    <w:rsid w:val="00FD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12"/>
  </w:style>
  <w:style w:type="paragraph" w:styleId="Nagwek1">
    <w:name w:val="heading 1"/>
    <w:basedOn w:val="Normalny"/>
    <w:next w:val="Normalny"/>
    <w:link w:val="Nagwek1Znak"/>
    <w:uiPriority w:val="9"/>
    <w:qFormat/>
    <w:rsid w:val="00673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738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73812"/>
    <w:pPr>
      <w:spacing w:after="0" w:line="240" w:lineRule="auto"/>
      <w:ind w:left="720"/>
      <w:contextualSpacing/>
    </w:pPr>
    <w:rPr>
      <w:rFonts w:ascii="Arial Unicode MS" w:eastAsia="Times New Roman" w:hAnsi="Arial Unicode MS" w:cs="Arial Unicode MS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3812"/>
    <w:rPr>
      <w:color w:val="0000FF" w:themeColor="hyperlink"/>
      <w:u w:val="single"/>
    </w:rPr>
  </w:style>
  <w:style w:type="character" w:customStyle="1" w:styleId="markedcontent">
    <w:name w:val="markedcontent"/>
    <w:rsid w:val="00FC5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roc.pl/przetarg/64811/pojazdy-gastronomiczne-w-parku-kulturowym-stare-miast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5</cp:revision>
  <cp:lastPrinted>2023-03-16T13:26:00Z</cp:lastPrinted>
  <dcterms:created xsi:type="dcterms:W3CDTF">2023-03-16T12:30:00Z</dcterms:created>
  <dcterms:modified xsi:type="dcterms:W3CDTF">2023-03-16T13:35:00Z</dcterms:modified>
</cp:coreProperties>
</file>