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9C5" w:rsidRDefault="00CA49C5" w:rsidP="00CA49C5">
      <w:pPr>
        <w:pStyle w:val="Bezodstpw"/>
        <w:jc w:val="both"/>
        <w:rPr>
          <w:rFonts w:ascii="Verdana" w:hAnsi="Verdana"/>
          <w:sz w:val="20"/>
          <w:szCs w:val="20"/>
        </w:rPr>
      </w:pPr>
    </w:p>
    <w:p w:rsidR="00CA49C5" w:rsidRDefault="00CA49C5" w:rsidP="00CA49C5">
      <w:pPr>
        <w:pStyle w:val="Bezodstpw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eastAsia="pl-PL"/>
        </w:rPr>
        <w:drawing>
          <wp:inline distT="0" distB="0" distL="0" distR="0">
            <wp:extent cx="2246630" cy="1854835"/>
            <wp:effectExtent l="19050" t="0" r="1270" b="0"/>
            <wp:docPr id="1" name="Obraz 3" descr="BRM_[KRM]_[BRM-Komisja Infrastruktury Komunalnej]_naglow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BRM_[KRM]_[BRM-Komisja Infrastruktury Komunalnej]_naglowe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630" cy="185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9C5" w:rsidRDefault="00CA49C5" w:rsidP="00CA49C5">
      <w:pPr>
        <w:pStyle w:val="Bezodstpw"/>
        <w:rPr>
          <w:rFonts w:ascii="Verdana" w:hAnsi="Verdana"/>
          <w:b/>
          <w:bCs/>
          <w:i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Pan</w:t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</w:p>
    <w:p w:rsidR="00CA49C5" w:rsidRDefault="00CA49C5" w:rsidP="00CA49C5">
      <w:pPr>
        <w:pStyle w:val="Bezodstpw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Sergiusz Kmiecik</w:t>
      </w:r>
    </w:p>
    <w:p w:rsidR="00CA49C5" w:rsidRDefault="00CA49C5" w:rsidP="00CA49C5">
      <w:pPr>
        <w:pStyle w:val="Bezodstpw"/>
        <w:rPr>
          <w:rFonts w:ascii="Verdana" w:hAnsi="Verdana"/>
          <w:b/>
          <w:bCs/>
          <w:i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Przewodniczący</w:t>
      </w:r>
    </w:p>
    <w:p w:rsidR="00CA49C5" w:rsidRDefault="00CA49C5" w:rsidP="00CA49C5">
      <w:pPr>
        <w:pStyle w:val="Bezodstpw"/>
        <w:rPr>
          <w:rFonts w:ascii="Verdana" w:hAnsi="Verdana"/>
          <w:b/>
          <w:bCs/>
          <w:i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Rady Miejskiej Wrocławia</w:t>
      </w:r>
    </w:p>
    <w:p w:rsidR="00CA49C5" w:rsidRDefault="00D9175F" w:rsidP="00CA49C5">
      <w:pPr>
        <w:pStyle w:val="Bezodstpw"/>
        <w:jc w:val="right"/>
        <w:rPr>
          <w:rFonts w:ascii="Verdana" w:hAnsi="Verdana"/>
          <w:bCs/>
          <w:i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Wrocław, 17.03</w:t>
      </w:r>
      <w:r w:rsidR="00610616">
        <w:rPr>
          <w:rFonts w:ascii="Verdana" w:hAnsi="Verdana"/>
          <w:bCs/>
          <w:sz w:val="20"/>
          <w:szCs w:val="20"/>
        </w:rPr>
        <w:t>.2022</w:t>
      </w:r>
    </w:p>
    <w:p w:rsidR="00CA49C5" w:rsidRDefault="00CA49C5" w:rsidP="00CA49C5">
      <w:pPr>
        <w:pStyle w:val="Bezodstpw"/>
        <w:rPr>
          <w:rFonts w:ascii="Verdana" w:hAnsi="Verdana"/>
          <w:sz w:val="20"/>
          <w:szCs w:val="20"/>
        </w:rPr>
      </w:pPr>
    </w:p>
    <w:p w:rsidR="00CA49C5" w:rsidRDefault="00610616" w:rsidP="00CA49C5">
      <w:pPr>
        <w:pStyle w:val="Bezodstpw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sz w:val="20"/>
          <w:szCs w:val="20"/>
        </w:rPr>
        <w:t>BRM-DPP.0011.20.1.2022</w:t>
      </w:r>
    </w:p>
    <w:p w:rsidR="00CA49C5" w:rsidRDefault="00CA49C5" w:rsidP="00CA49C5">
      <w:pPr>
        <w:pStyle w:val="Bezodstpw"/>
        <w:rPr>
          <w:rFonts w:ascii="Verdana" w:hAnsi="Verdana"/>
          <w:iCs/>
          <w:sz w:val="20"/>
          <w:szCs w:val="20"/>
        </w:rPr>
      </w:pPr>
    </w:p>
    <w:p w:rsidR="00CA49C5" w:rsidRDefault="00CA49C5" w:rsidP="00CA49C5">
      <w:pPr>
        <w:pStyle w:val="Bezodstpw"/>
        <w:jc w:val="both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ab/>
        <w:t>Uprzejmie informuję, że Komisja Gospodarki Komunalnej</w:t>
      </w:r>
      <w:r w:rsidR="00610616">
        <w:rPr>
          <w:rFonts w:ascii="Verdana" w:hAnsi="Verdana"/>
          <w:bCs/>
          <w:sz w:val="20"/>
          <w:szCs w:val="20"/>
        </w:rPr>
        <w:t xml:space="preserve"> i Inicjatyw Gospodarczych</w:t>
      </w:r>
      <w:r>
        <w:rPr>
          <w:rFonts w:ascii="Verdana" w:hAnsi="Verdana"/>
          <w:bCs/>
          <w:sz w:val="20"/>
          <w:szCs w:val="20"/>
        </w:rPr>
        <w:t xml:space="preserve"> Rady Miejskiej Wrocławi</w:t>
      </w:r>
      <w:r w:rsidR="006D1BAB">
        <w:rPr>
          <w:rFonts w:ascii="Verdana" w:hAnsi="Verdana"/>
          <w:bCs/>
          <w:sz w:val="20"/>
          <w:szCs w:val="20"/>
        </w:rPr>
        <w:t>a na swoim posiedzeniu w dniu 17.03</w:t>
      </w:r>
      <w:r>
        <w:rPr>
          <w:rFonts w:ascii="Verdana" w:hAnsi="Verdana"/>
          <w:bCs/>
          <w:sz w:val="20"/>
          <w:szCs w:val="20"/>
        </w:rPr>
        <w:t>.20</w:t>
      </w:r>
      <w:r w:rsidR="006D1BAB">
        <w:rPr>
          <w:rFonts w:ascii="Verdana" w:hAnsi="Verdana"/>
          <w:bCs/>
          <w:sz w:val="20"/>
          <w:szCs w:val="20"/>
        </w:rPr>
        <w:t>22</w:t>
      </w:r>
      <w:r>
        <w:rPr>
          <w:rFonts w:ascii="Verdana" w:hAnsi="Verdana"/>
          <w:bCs/>
          <w:sz w:val="20"/>
          <w:szCs w:val="20"/>
        </w:rPr>
        <w:t xml:space="preserve"> r.</w:t>
      </w:r>
      <w:r>
        <w:rPr>
          <w:rFonts w:ascii="Verdana" w:hAnsi="Verdana"/>
          <w:sz w:val="20"/>
          <w:szCs w:val="20"/>
        </w:rPr>
        <w:t xml:space="preserve"> </w:t>
      </w:r>
      <w:r w:rsidR="006D1BAB">
        <w:rPr>
          <w:rFonts w:ascii="Verdana" w:hAnsi="Verdana"/>
          <w:bCs/>
          <w:sz w:val="20"/>
          <w:szCs w:val="20"/>
        </w:rPr>
        <w:t xml:space="preserve">postanowiła </w:t>
      </w:r>
      <w:r>
        <w:rPr>
          <w:rFonts w:ascii="Verdana" w:hAnsi="Verdana"/>
          <w:bCs/>
          <w:sz w:val="20"/>
          <w:szCs w:val="20"/>
        </w:rPr>
        <w:t xml:space="preserve">przyjąć następujący </w:t>
      </w:r>
      <w:r>
        <w:rPr>
          <w:rFonts w:ascii="Verdana" w:hAnsi="Verdana"/>
          <w:b/>
          <w:bCs/>
          <w:sz w:val="20"/>
          <w:szCs w:val="20"/>
        </w:rPr>
        <w:t>plan pracy Komisji Gospodarki Komunalnej</w:t>
      </w:r>
      <w:r w:rsidR="006D1BAB">
        <w:rPr>
          <w:rFonts w:ascii="Verdana" w:hAnsi="Verdana"/>
          <w:b/>
          <w:bCs/>
          <w:sz w:val="20"/>
          <w:szCs w:val="20"/>
        </w:rPr>
        <w:t xml:space="preserve"> </w:t>
      </w:r>
      <w:r w:rsidR="003C2ED9">
        <w:rPr>
          <w:rFonts w:ascii="Verdana" w:hAnsi="Verdana"/>
          <w:b/>
          <w:bCs/>
          <w:sz w:val="20"/>
          <w:szCs w:val="20"/>
        </w:rPr>
        <w:t xml:space="preserve">                 </w:t>
      </w:r>
      <w:r w:rsidR="006D1BAB">
        <w:rPr>
          <w:rFonts w:ascii="Verdana" w:hAnsi="Verdana"/>
          <w:b/>
          <w:bCs/>
          <w:sz w:val="20"/>
          <w:szCs w:val="20"/>
        </w:rPr>
        <w:t>i Inicjatyw Gospodarczych</w:t>
      </w:r>
      <w:r>
        <w:rPr>
          <w:rFonts w:ascii="Verdana" w:hAnsi="Verdana"/>
          <w:b/>
          <w:bCs/>
          <w:sz w:val="20"/>
          <w:szCs w:val="20"/>
        </w:rPr>
        <w:t xml:space="preserve"> na 2022 rok</w:t>
      </w:r>
      <w:r>
        <w:rPr>
          <w:rFonts w:ascii="Verdana" w:hAnsi="Verdana"/>
          <w:bCs/>
          <w:sz w:val="20"/>
          <w:szCs w:val="20"/>
        </w:rPr>
        <w:t xml:space="preserve">:             </w:t>
      </w:r>
    </w:p>
    <w:p w:rsidR="00610616" w:rsidRPr="00CA49C5" w:rsidRDefault="00CA49C5" w:rsidP="00610616">
      <w:pPr>
        <w:pStyle w:val="Bezodstpw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</w:t>
      </w:r>
      <w:r>
        <w:rPr>
          <w:rFonts w:ascii="Verdana" w:hAnsi="Verdana"/>
          <w:sz w:val="20"/>
          <w:szCs w:val="20"/>
        </w:rPr>
        <w:tab/>
      </w:r>
      <w:r w:rsidR="00610616" w:rsidRPr="00CA49C5">
        <w:rPr>
          <w:rFonts w:ascii="Verdana" w:hAnsi="Verdana"/>
          <w:sz w:val="20"/>
          <w:szCs w:val="20"/>
        </w:rPr>
        <w:t xml:space="preserve">Opiniowanie wniosków i projektów uchwał związanych z zakresem merytorycznym Komisji, w tym </w:t>
      </w:r>
      <w:r w:rsidR="00610616" w:rsidRPr="00CA49C5">
        <w:rPr>
          <w:rFonts w:ascii="Verdana" w:hAnsi="Verdana" w:cs="Courier New"/>
          <w:sz w:val="20"/>
          <w:szCs w:val="20"/>
        </w:rPr>
        <w:t>opiniowanie  wniosków  o wydanie  opinii w sprawie lokalizacji kasyn.</w:t>
      </w:r>
    </w:p>
    <w:p w:rsidR="006D1BAB" w:rsidRPr="00CA49C5" w:rsidRDefault="006D1BAB" w:rsidP="006D1BAB">
      <w:pPr>
        <w:pStyle w:val="Bezodstpw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2.</w:t>
      </w:r>
      <w:r>
        <w:rPr>
          <w:rFonts w:ascii="Verdana" w:hAnsi="Verdana" w:cs="Courier New"/>
          <w:sz w:val="20"/>
          <w:szCs w:val="20"/>
        </w:rPr>
        <w:tab/>
      </w:r>
      <w:r w:rsidRPr="00CA49C5">
        <w:rPr>
          <w:rFonts w:ascii="Verdana" w:hAnsi="Verdana" w:cs="Courier New"/>
          <w:sz w:val="20"/>
          <w:szCs w:val="20"/>
        </w:rPr>
        <w:t>Opiniowanie projektów uchwał w sprawie budżetu Miasta oraz sprawozdań z jego wykonania.</w:t>
      </w:r>
    </w:p>
    <w:p w:rsidR="006D1BAB" w:rsidRPr="00CA49C5" w:rsidRDefault="006D1BAB" w:rsidP="006D1BAB">
      <w:pPr>
        <w:pStyle w:val="Bezodstpw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3.</w:t>
      </w:r>
      <w:r>
        <w:rPr>
          <w:rFonts w:ascii="Verdana" w:hAnsi="Verdana" w:cs="Courier New"/>
          <w:sz w:val="20"/>
          <w:szCs w:val="20"/>
        </w:rPr>
        <w:tab/>
      </w:r>
      <w:r w:rsidRPr="00CA49C5">
        <w:rPr>
          <w:rFonts w:ascii="Verdana" w:hAnsi="Verdana" w:cs="Courier New"/>
          <w:sz w:val="20"/>
          <w:szCs w:val="20"/>
        </w:rPr>
        <w:t>Opiniowanie raportu o stanie miasta Wrocławia.</w:t>
      </w:r>
    </w:p>
    <w:p w:rsidR="00CA49C5" w:rsidRDefault="006D1BAB" w:rsidP="00CA49C5">
      <w:pPr>
        <w:pStyle w:val="Bezodstpw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</w:t>
      </w:r>
      <w:r w:rsidR="00CA49C5">
        <w:rPr>
          <w:rFonts w:ascii="Verdana" w:hAnsi="Verdana"/>
          <w:sz w:val="20"/>
          <w:szCs w:val="20"/>
        </w:rPr>
        <w:t>.</w:t>
      </w:r>
      <w:r w:rsidR="00CA49C5">
        <w:rPr>
          <w:rFonts w:ascii="Verdana" w:hAnsi="Verdana"/>
          <w:sz w:val="20"/>
          <w:szCs w:val="20"/>
        </w:rPr>
        <w:tab/>
        <w:t>Rozpatrywanie spraw skierowanych do komisji przez Przewodniczącego Rady Miejskiej Wrocławia.</w:t>
      </w:r>
    </w:p>
    <w:p w:rsidR="00CA49C5" w:rsidRDefault="006D1BAB" w:rsidP="00CA49C5">
      <w:pPr>
        <w:pStyle w:val="Bezodstpw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</w:t>
      </w:r>
      <w:r w:rsidR="00CA49C5">
        <w:rPr>
          <w:rFonts w:ascii="Verdana" w:hAnsi="Verdana"/>
          <w:sz w:val="20"/>
          <w:szCs w:val="20"/>
        </w:rPr>
        <w:t>.</w:t>
      </w:r>
      <w:r w:rsidR="00CA49C5">
        <w:rPr>
          <w:rFonts w:ascii="Verdana" w:hAnsi="Verdana"/>
          <w:sz w:val="20"/>
          <w:szCs w:val="20"/>
        </w:rPr>
        <w:tab/>
        <w:t>Opiniowanie wniosków Prezydenta Wrocławia oraz podległych Prezydentowi Wydziałów Urzędu Miasta Wrocławia z zakresu merytorycznego komisji.</w:t>
      </w:r>
    </w:p>
    <w:p w:rsidR="00CA49C5" w:rsidRDefault="006D1BAB" w:rsidP="00CA49C5">
      <w:pPr>
        <w:pStyle w:val="Bezodstpw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CA49C5">
        <w:rPr>
          <w:rFonts w:ascii="Verdana" w:hAnsi="Verdana"/>
          <w:sz w:val="20"/>
          <w:szCs w:val="20"/>
        </w:rPr>
        <w:t>.</w:t>
      </w:r>
      <w:r w:rsidR="00CA49C5">
        <w:rPr>
          <w:rFonts w:ascii="Verdana" w:hAnsi="Verdana"/>
          <w:sz w:val="20"/>
          <w:szCs w:val="20"/>
        </w:rPr>
        <w:tab/>
        <w:t>Rozpatrywanie pism od mieszkańców, jednostek pomocniczych Miasta oraz organizacji w zakresie merytorycznym komisji.</w:t>
      </w:r>
    </w:p>
    <w:p w:rsidR="00CA49C5" w:rsidRDefault="006D1BAB" w:rsidP="00CA49C5">
      <w:pPr>
        <w:pStyle w:val="Bezodstpw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7</w:t>
      </w:r>
      <w:r w:rsidR="00CA49C5">
        <w:rPr>
          <w:rFonts w:ascii="Verdana" w:hAnsi="Verdana"/>
          <w:color w:val="000000"/>
          <w:sz w:val="20"/>
          <w:szCs w:val="20"/>
        </w:rPr>
        <w:t>.</w:t>
      </w:r>
      <w:r w:rsidR="00CA49C5">
        <w:rPr>
          <w:rFonts w:ascii="Verdana" w:hAnsi="Verdana"/>
          <w:color w:val="000000"/>
          <w:sz w:val="20"/>
          <w:szCs w:val="20"/>
        </w:rPr>
        <w:tab/>
        <w:t xml:space="preserve">Współpraca z jednostkami Urzędu Miejskiego Wrocławia, </w:t>
      </w:r>
      <w:r w:rsidR="00CA49C5">
        <w:rPr>
          <w:rFonts w:ascii="Verdana" w:hAnsi="Verdana"/>
          <w:sz w:val="20"/>
          <w:szCs w:val="20"/>
        </w:rPr>
        <w:t>jednostkami pomocniczymi Miasta</w:t>
      </w:r>
      <w:r w:rsidR="00CA49C5">
        <w:rPr>
          <w:rFonts w:ascii="Verdana" w:hAnsi="Verdana"/>
          <w:color w:val="000000"/>
          <w:sz w:val="20"/>
          <w:szCs w:val="20"/>
        </w:rPr>
        <w:t xml:space="preserve"> oraz organizacjami w zakresie merytorycznym komisji. </w:t>
      </w:r>
    </w:p>
    <w:p w:rsidR="00CA49C5" w:rsidRDefault="006D1BAB" w:rsidP="00CA49C5">
      <w:pPr>
        <w:pStyle w:val="Bezodstpw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8</w:t>
      </w:r>
      <w:r w:rsidR="00CA49C5">
        <w:rPr>
          <w:rFonts w:ascii="Verdana" w:hAnsi="Verdana"/>
          <w:color w:val="000000"/>
          <w:sz w:val="20"/>
          <w:szCs w:val="20"/>
        </w:rPr>
        <w:t>.</w:t>
      </w:r>
      <w:r w:rsidR="00CA49C5">
        <w:rPr>
          <w:rFonts w:ascii="Verdana" w:hAnsi="Verdana"/>
          <w:color w:val="000000"/>
          <w:sz w:val="20"/>
          <w:szCs w:val="20"/>
        </w:rPr>
        <w:tab/>
        <w:t>Monitorowanie realizacji zadań inwestycyjnych planowych w budżecie miasta Wrocławia na rok 2022, objętych zakresem merytorycznym komisji.</w:t>
      </w:r>
    </w:p>
    <w:p w:rsidR="00CA49C5" w:rsidRDefault="006D1BAB" w:rsidP="00CA49C5">
      <w:pPr>
        <w:pStyle w:val="Bezodstpw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9</w:t>
      </w:r>
      <w:r w:rsidR="00CA49C5">
        <w:rPr>
          <w:rFonts w:ascii="Verdana" w:hAnsi="Verdana"/>
          <w:color w:val="000000"/>
          <w:sz w:val="20"/>
          <w:szCs w:val="20"/>
        </w:rPr>
        <w:t>.</w:t>
      </w:r>
      <w:r w:rsidR="00CA49C5">
        <w:rPr>
          <w:rFonts w:ascii="Verdana" w:hAnsi="Verdana"/>
          <w:color w:val="000000"/>
          <w:sz w:val="20"/>
          <w:szCs w:val="20"/>
        </w:rPr>
        <w:tab/>
        <w:t>Monitorowanie i ocena polityki cenowej miasta w zakresie opłat czynszowych, za wodę, ścieki i odpady.</w:t>
      </w:r>
    </w:p>
    <w:p w:rsidR="00CA49C5" w:rsidRDefault="006D1BAB" w:rsidP="00CA49C5">
      <w:pPr>
        <w:pStyle w:val="Bezodstpw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10</w:t>
      </w:r>
      <w:r w:rsidR="00CA49C5">
        <w:rPr>
          <w:rFonts w:ascii="Verdana" w:hAnsi="Verdana"/>
          <w:color w:val="000000"/>
          <w:sz w:val="20"/>
          <w:szCs w:val="20"/>
        </w:rPr>
        <w:t>.</w:t>
      </w:r>
      <w:r w:rsidR="00CA49C5">
        <w:rPr>
          <w:rFonts w:ascii="Verdana" w:hAnsi="Verdana"/>
          <w:color w:val="000000"/>
          <w:sz w:val="20"/>
          <w:szCs w:val="20"/>
        </w:rPr>
        <w:tab/>
        <w:t xml:space="preserve">Monitorowanie procedur przetargowych, właściwych dla zakresu merytorycznego komisji. </w:t>
      </w:r>
    </w:p>
    <w:p w:rsidR="00CA49C5" w:rsidRDefault="006D1BAB" w:rsidP="00CA49C5">
      <w:pPr>
        <w:pStyle w:val="Bezodstpw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11</w:t>
      </w:r>
      <w:r w:rsidR="00CA49C5">
        <w:rPr>
          <w:rFonts w:ascii="Verdana" w:hAnsi="Verdana"/>
          <w:color w:val="000000"/>
          <w:sz w:val="20"/>
          <w:szCs w:val="20"/>
        </w:rPr>
        <w:t>.</w:t>
      </w:r>
      <w:r w:rsidR="00CA49C5">
        <w:rPr>
          <w:rFonts w:ascii="Verdana" w:hAnsi="Verdana"/>
          <w:color w:val="000000"/>
          <w:sz w:val="20"/>
          <w:szCs w:val="20"/>
        </w:rPr>
        <w:tab/>
        <w:t xml:space="preserve">Analizowanie programu TBS. </w:t>
      </w:r>
    </w:p>
    <w:p w:rsidR="00CA49C5" w:rsidRDefault="006D1BAB" w:rsidP="00CA49C5">
      <w:pPr>
        <w:pStyle w:val="Bezodstpw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12</w:t>
      </w:r>
      <w:r w:rsidR="00CA49C5">
        <w:rPr>
          <w:rFonts w:ascii="Verdana" w:hAnsi="Verdana"/>
          <w:color w:val="000000"/>
          <w:sz w:val="20"/>
          <w:szCs w:val="20"/>
        </w:rPr>
        <w:t>.</w:t>
      </w:r>
      <w:r w:rsidR="00CA49C5">
        <w:rPr>
          <w:rFonts w:ascii="Verdana" w:hAnsi="Verdana"/>
          <w:color w:val="000000"/>
          <w:sz w:val="20"/>
          <w:szCs w:val="20"/>
        </w:rPr>
        <w:tab/>
        <w:t>Analiza i ocena działalności spółek miejskich, których działalność pokrywa się               z zakresem merytorycznym komisji.</w:t>
      </w:r>
    </w:p>
    <w:p w:rsidR="006D1BAB" w:rsidRPr="00CA49C5" w:rsidRDefault="006D1BAB" w:rsidP="006D1BAB">
      <w:pPr>
        <w:pStyle w:val="Bezodstpw"/>
        <w:jc w:val="both"/>
        <w:rPr>
          <w:rFonts w:ascii="Verdana" w:eastAsia="Times New Roman" w:hAnsi="Verdana" w:cs="Courier New"/>
          <w:sz w:val="20"/>
          <w:szCs w:val="20"/>
          <w:lang w:eastAsia="pl-PL"/>
        </w:rPr>
      </w:pPr>
      <w:r>
        <w:rPr>
          <w:rFonts w:ascii="Verdana" w:eastAsia="Times New Roman" w:hAnsi="Verdana" w:cs="Courier New"/>
          <w:sz w:val="20"/>
          <w:szCs w:val="20"/>
          <w:lang w:eastAsia="pl-PL"/>
        </w:rPr>
        <w:t>13.</w:t>
      </w:r>
      <w:r>
        <w:rPr>
          <w:rFonts w:ascii="Verdana" w:eastAsia="Times New Roman" w:hAnsi="Verdana" w:cs="Courier New"/>
          <w:sz w:val="20"/>
          <w:szCs w:val="20"/>
          <w:lang w:eastAsia="pl-PL"/>
        </w:rPr>
        <w:tab/>
      </w:r>
      <w:r w:rsidRPr="00CA49C5">
        <w:rPr>
          <w:rFonts w:ascii="Verdana" w:eastAsia="Times New Roman" w:hAnsi="Verdana" w:cs="Courier New"/>
          <w:sz w:val="20"/>
          <w:szCs w:val="20"/>
          <w:lang w:eastAsia="pl-PL"/>
        </w:rPr>
        <w:t xml:space="preserve">Analiza zadań i </w:t>
      </w:r>
      <w:r w:rsidRPr="00CA49C5">
        <w:rPr>
          <w:rFonts w:ascii="Verdana" w:hAnsi="Verdana"/>
          <w:color w:val="000000"/>
          <w:sz w:val="20"/>
          <w:szCs w:val="20"/>
        </w:rPr>
        <w:t>monitoring działań Urzędu Miejskiego Wrocławia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eastAsia="Times New Roman" w:hAnsi="Verdana" w:cs="Courier New"/>
          <w:sz w:val="20"/>
          <w:szCs w:val="20"/>
          <w:lang w:eastAsia="pl-PL"/>
        </w:rPr>
        <w:t xml:space="preserve">w zakresie </w:t>
      </w:r>
      <w:r w:rsidRPr="00CA49C5">
        <w:rPr>
          <w:rFonts w:ascii="Verdana" w:eastAsia="Times New Roman" w:hAnsi="Verdana" w:cs="Courier New"/>
          <w:sz w:val="20"/>
          <w:szCs w:val="20"/>
          <w:lang w:eastAsia="pl-PL"/>
        </w:rPr>
        <w:t>tworzenia warunków rozwoju gospodarczego Wrocławia,</w:t>
      </w:r>
      <w:r>
        <w:rPr>
          <w:rFonts w:ascii="Verdana" w:eastAsia="Times New Roman" w:hAnsi="Verdana" w:cs="Courier New"/>
          <w:sz w:val="20"/>
          <w:szCs w:val="20"/>
          <w:lang w:eastAsia="pl-PL"/>
        </w:rPr>
        <w:t xml:space="preserve"> </w:t>
      </w:r>
      <w:r w:rsidRPr="00CA49C5">
        <w:rPr>
          <w:rFonts w:ascii="Verdana" w:eastAsia="Times New Roman" w:hAnsi="Verdana" w:cs="Courier New"/>
          <w:sz w:val="20"/>
          <w:szCs w:val="20"/>
          <w:lang w:eastAsia="pl-PL"/>
        </w:rPr>
        <w:t>pobudzania i wspierania przedsiębiorczości, w tym projektów innowacyjnych,</w:t>
      </w:r>
      <w:r>
        <w:rPr>
          <w:rFonts w:ascii="Verdana" w:eastAsia="Times New Roman" w:hAnsi="Verdana" w:cs="Courier New"/>
          <w:sz w:val="20"/>
          <w:szCs w:val="20"/>
          <w:lang w:eastAsia="pl-PL"/>
        </w:rPr>
        <w:t xml:space="preserve"> </w:t>
      </w:r>
      <w:r w:rsidRPr="00CA49C5">
        <w:rPr>
          <w:rFonts w:ascii="Verdana" w:eastAsia="Times New Roman" w:hAnsi="Verdana" w:cs="Courier New"/>
          <w:sz w:val="20"/>
          <w:szCs w:val="20"/>
          <w:lang w:eastAsia="pl-PL"/>
        </w:rPr>
        <w:t>organizacji i wspierania handlu,</w:t>
      </w:r>
      <w:r>
        <w:rPr>
          <w:rFonts w:ascii="Verdana" w:eastAsia="Times New Roman" w:hAnsi="Verdana" w:cs="Courier New"/>
          <w:sz w:val="20"/>
          <w:szCs w:val="20"/>
          <w:lang w:eastAsia="pl-PL"/>
        </w:rPr>
        <w:t xml:space="preserve"> </w:t>
      </w:r>
      <w:r w:rsidRPr="00CA49C5">
        <w:rPr>
          <w:rFonts w:ascii="Verdana" w:eastAsia="Times New Roman" w:hAnsi="Verdana" w:cs="Courier New"/>
          <w:sz w:val="20"/>
          <w:szCs w:val="20"/>
          <w:lang w:eastAsia="pl-PL"/>
        </w:rPr>
        <w:t>reklamy zewnętrznej w przestrzeni miejskiej.</w:t>
      </w:r>
    </w:p>
    <w:p w:rsidR="00834332" w:rsidRDefault="00834332" w:rsidP="00834332">
      <w:pPr>
        <w:pStyle w:val="Stopka"/>
      </w:pPr>
      <w:r>
        <w:rPr>
          <w:noProof/>
        </w:rPr>
        <w:drawing>
          <wp:inline distT="0" distB="0" distL="0" distR="0">
            <wp:extent cx="1290955" cy="855345"/>
            <wp:effectExtent l="19050" t="0" r="4445" b="0"/>
            <wp:docPr id="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5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332" w:rsidRDefault="00834332" w:rsidP="00CA49C5">
      <w:pPr>
        <w:pStyle w:val="Bezodstpw"/>
        <w:jc w:val="both"/>
        <w:rPr>
          <w:rFonts w:ascii="Verdana" w:hAnsi="Verdana"/>
          <w:color w:val="000000"/>
          <w:sz w:val="20"/>
          <w:szCs w:val="20"/>
        </w:rPr>
      </w:pPr>
    </w:p>
    <w:p w:rsidR="00CA49C5" w:rsidRDefault="006D1BAB" w:rsidP="00CA49C5">
      <w:pPr>
        <w:pStyle w:val="Bezodstpw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14</w:t>
      </w:r>
      <w:r w:rsidR="00CA49C5">
        <w:rPr>
          <w:rFonts w:ascii="Verdana" w:hAnsi="Verdana"/>
          <w:color w:val="000000"/>
          <w:sz w:val="20"/>
          <w:szCs w:val="20"/>
        </w:rPr>
        <w:t>.</w:t>
      </w:r>
      <w:r w:rsidR="00CA49C5">
        <w:rPr>
          <w:rFonts w:ascii="Verdana" w:hAnsi="Verdana"/>
          <w:color w:val="000000"/>
          <w:sz w:val="20"/>
          <w:szCs w:val="20"/>
        </w:rPr>
        <w:tab/>
        <w:t>Współpraca z Radami Osiedli, organizacjami pozarządowymi, organizacjami zawodowymi w zakresie merytorycznym komisji.</w:t>
      </w:r>
    </w:p>
    <w:p w:rsidR="00CA49C5" w:rsidRDefault="006D1BAB" w:rsidP="00CA49C5">
      <w:pPr>
        <w:pStyle w:val="Bezodstpw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15</w:t>
      </w:r>
      <w:r w:rsidR="00CA49C5">
        <w:rPr>
          <w:rFonts w:ascii="Verdana" w:hAnsi="Verdana"/>
          <w:sz w:val="20"/>
          <w:szCs w:val="20"/>
        </w:rPr>
        <w:t>.</w:t>
      </w:r>
      <w:r w:rsidR="00CA49C5">
        <w:rPr>
          <w:rFonts w:ascii="Verdana" w:hAnsi="Verdana"/>
          <w:sz w:val="20"/>
          <w:szCs w:val="20"/>
        </w:rPr>
        <w:tab/>
        <w:t>Opiniowanie i monitorowanie realizacji planów rewitalizacji miasta.</w:t>
      </w:r>
    </w:p>
    <w:p w:rsidR="00CA49C5" w:rsidRDefault="00CA49C5" w:rsidP="00CA49C5">
      <w:pPr>
        <w:pStyle w:val="Bezodstpw"/>
        <w:jc w:val="right"/>
        <w:rPr>
          <w:rFonts w:ascii="Verdana" w:hAnsi="Verdana"/>
          <w:noProof/>
          <w:sz w:val="20"/>
          <w:szCs w:val="20"/>
        </w:rPr>
      </w:pPr>
    </w:p>
    <w:p w:rsidR="00CA49C5" w:rsidRDefault="00CA49C5" w:rsidP="00CA49C5">
      <w:pPr>
        <w:pStyle w:val="Bezodstpw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  <w:lang w:eastAsia="pl-PL"/>
        </w:rPr>
        <w:tab/>
        <w:t>W planie pracy Komisji zakłada się, że większość ujętych w nim zagadnień                  i punktów w sposób naturalny przechodzi na lata następne. Przyjmuje się również możliwość włączania do prac Komisji innych ważnych tematów bieżących pojawiających się w ciągu roku kalendarzowego.</w:t>
      </w:r>
    </w:p>
    <w:p w:rsidR="00CA49C5" w:rsidRDefault="00CA49C5" w:rsidP="00CA49C5">
      <w:pPr>
        <w:pStyle w:val="Bezodstpw"/>
        <w:rPr>
          <w:rFonts w:ascii="Verdana" w:hAnsi="Verdana"/>
          <w:b/>
          <w:sz w:val="20"/>
          <w:szCs w:val="20"/>
        </w:rPr>
      </w:pPr>
    </w:p>
    <w:p w:rsidR="00CA49C5" w:rsidRDefault="00CA49C5" w:rsidP="00CA49C5">
      <w:pPr>
        <w:pStyle w:val="Bezodstpw"/>
        <w:rPr>
          <w:rFonts w:ascii="Verdana" w:hAnsi="Verdana"/>
          <w:b/>
          <w:i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 poważaniem</w:t>
      </w:r>
    </w:p>
    <w:p w:rsidR="00CA49C5" w:rsidRDefault="00CA49C5" w:rsidP="00CA49C5">
      <w:pPr>
        <w:pStyle w:val="Bezodstpw"/>
        <w:rPr>
          <w:rFonts w:ascii="Verdana" w:hAnsi="Verdana"/>
          <w:b/>
          <w:bCs/>
          <w:iCs/>
          <w:sz w:val="20"/>
          <w:szCs w:val="20"/>
        </w:rPr>
      </w:pPr>
    </w:p>
    <w:p w:rsidR="00CA49C5" w:rsidRDefault="00CA49C5" w:rsidP="00CA49C5">
      <w:pPr>
        <w:pStyle w:val="Bezodstpw"/>
        <w:rPr>
          <w:rFonts w:ascii="Verdana" w:hAnsi="Verdana"/>
          <w:b/>
          <w:bCs/>
          <w:iCs/>
          <w:sz w:val="20"/>
          <w:szCs w:val="20"/>
        </w:rPr>
      </w:pPr>
      <w:r>
        <w:rPr>
          <w:rFonts w:ascii="Verdana" w:hAnsi="Verdana"/>
          <w:b/>
          <w:bCs/>
          <w:iCs/>
          <w:sz w:val="20"/>
          <w:szCs w:val="20"/>
        </w:rPr>
        <w:t>P</w:t>
      </w:r>
      <w:r>
        <w:rPr>
          <w:rFonts w:ascii="Verdana" w:hAnsi="Verdana"/>
          <w:b/>
          <w:bCs/>
          <w:sz w:val="20"/>
          <w:szCs w:val="20"/>
        </w:rPr>
        <w:t>rzewodniczący Komisji</w:t>
      </w:r>
    </w:p>
    <w:p w:rsidR="00CA49C5" w:rsidRDefault="00610616" w:rsidP="00CA49C5">
      <w:pPr>
        <w:pStyle w:val="Bezodstpw"/>
        <w:rPr>
          <w:rFonts w:ascii="Verdana" w:eastAsia="Arial Unicode MS" w:hAnsi="Verdana"/>
          <w:b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Mirosław Lach</w:t>
      </w:r>
    </w:p>
    <w:p w:rsidR="00CA49C5" w:rsidRDefault="00CA49C5" w:rsidP="00CA49C5">
      <w:pPr>
        <w:pStyle w:val="Bezodstpw"/>
        <w:jc w:val="both"/>
        <w:rPr>
          <w:rFonts w:ascii="Verdana" w:hAnsi="Verdana"/>
          <w:b/>
          <w:sz w:val="20"/>
          <w:szCs w:val="20"/>
        </w:rPr>
      </w:pPr>
    </w:p>
    <w:p w:rsidR="00CA49C5" w:rsidRDefault="00CA49C5" w:rsidP="00CA49C5">
      <w:pPr>
        <w:jc w:val="right"/>
      </w:pPr>
    </w:p>
    <w:p w:rsidR="00CA49C5" w:rsidRDefault="00CA49C5" w:rsidP="00CA49C5">
      <w:pPr>
        <w:jc w:val="right"/>
      </w:pPr>
    </w:p>
    <w:p w:rsidR="00CA49C5" w:rsidRDefault="00CA49C5" w:rsidP="00CA49C5"/>
    <w:p w:rsidR="00CA49C5" w:rsidRDefault="00CA49C5" w:rsidP="00CA49C5">
      <w:pPr>
        <w:pStyle w:val="Bezodstpw"/>
        <w:jc w:val="both"/>
        <w:rPr>
          <w:rFonts w:ascii="Verdana" w:hAnsi="Verdana"/>
          <w:sz w:val="20"/>
          <w:szCs w:val="20"/>
        </w:rPr>
      </w:pPr>
    </w:p>
    <w:p w:rsidR="00CA49C5" w:rsidRDefault="00CA49C5" w:rsidP="00CA49C5">
      <w:pPr>
        <w:pStyle w:val="Bezodstpw"/>
        <w:jc w:val="both"/>
        <w:rPr>
          <w:rFonts w:ascii="Verdana" w:hAnsi="Verdana"/>
          <w:sz w:val="20"/>
          <w:szCs w:val="20"/>
        </w:rPr>
      </w:pPr>
    </w:p>
    <w:p w:rsidR="00CA49C5" w:rsidRDefault="00CA49C5" w:rsidP="00CA49C5">
      <w:pPr>
        <w:pStyle w:val="Bezodstpw"/>
        <w:jc w:val="both"/>
        <w:rPr>
          <w:rFonts w:ascii="Verdana" w:hAnsi="Verdana"/>
          <w:sz w:val="20"/>
          <w:szCs w:val="20"/>
        </w:rPr>
      </w:pPr>
    </w:p>
    <w:p w:rsidR="009D1DAA" w:rsidRPr="00CA49C5" w:rsidRDefault="009D1DAA" w:rsidP="00CA49C5">
      <w:pPr>
        <w:pStyle w:val="Bezodstpw"/>
        <w:jc w:val="both"/>
        <w:rPr>
          <w:rFonts w:ascii="Verdana" w:hAnsi="Verdana"/>
          <w:sz w:val="20"/>
          <w:szCs w:val="20"/>
        </w:rPr>
      </w:pPr>
    </w:p>
    <w:sectPr w:rsidR="009D1DAA" w:rsidRPr="00CA49C5" w:rsidSect="009D1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D83AA1"/>
    <w:multiLevelType w:val="hybridMultilevel"/>
    <w:tmpl w:val="C9402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C66317"/>
    <w:multiLevelType w:val="hybridMultilevel"/>
    <w:tmpl w:val="5BF06C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425"/>
  <w:characterSpacingControl w:val="doNotCompress"/>
  <w:compat/>
  <w:rsids>
    <w:rsidRoot w:val="00CA49C5"/>
    <w:rsid w:val="003C2ED9"/>
    <w:rsid w:val="00610616"/>
    <w:rsid w:val="006D1BAB"/>
    <w:rsid w:val="00834332"/>
    <w:rsid w:val="009D1DAA"/>
    <w:rsid w:val="00CA49C5"/>
    <w:rsid w:val="00D9175F"/>
    <w:rsid w:val="00F85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49C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49C5"/>
    <w:pPr>
      <w:ind w:left="720"/>
      <w:contextualSpacing/>
    </w:pPr>
  </w:style>
  <w:style w:type="paragraph" w:customStyle="1" w:styleId="11Trescpisma">
    <w:name w:val="@11.Tresc_pisma"/>
    <w:basedOn w:val="Normalny"/>
    <w:rsid w:val="00CA49C5"/>
    <w:pPr>
      <w:spacing w:before="180" w:after="0" w:line="240" w:lineRule="auto"/>
      <w:jc w:val="both"/>
    </w:pPr>
    <w:rPr>
      <w:rFonts w:ascii="Verdana" w:eastAsia="Times New Roman" w:hAnsi="Verdana"/>
      <w:sz w:val="20"/>
      <w:szCs w:val="18"/>
      <w:lang w:eastAsia="pl-PL"/>
    </w:rPr>
  </w:style>
  <w:style w:type="paragraph" w:customStyle="1" w:styleId="20Dowiadomoscilista">
    <w:name w:val="@20.Do_wiadomosci_lista"/>
    <w:basedOn w:val="11Trescpisma"/>
    <w:rsid w:val="00CA49C5"/>
    <w:pPr>
      <w:numPr>
        <w:numId w:val="1"/>
      </w:numPr>
      <w:spacing w:before="0"/>
      <w:ind w:left="714" w:hanging="357"/>
    </w:pPr>
    <w:rPr>
      <w:sz w:val="16"/>
    </w:rPr>
  </w:style>
  <w:style w:type="paragraph" w:styleId="Bezodstpw">
    <w:name w:val="No Spacing"/>
    <w:uiPriority w:val="1"/>
    <w:qFormat/>
    <w:rsid w:val="00CA49C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A4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9C5"/>
    <w:rPr>
      <w:rFonts w:ascii="Tahoma" w:eastAsia="Calibri" w:hAnsi="Tahoma" w:cs="Tahoma"/>
      <w:sz w:val="16"/>
      <w:szCs w:val="16"/>
    </w:rPr>
  </w:style>
  <w:style w:type="paragraph" w:styleId="Stopka">
    <w:name w:val="footer"/>
    <w:basedOn w:val="Normalny"/>
    <w:link w:val="StopkaZnak"/>
    <w:rsid w:val="00610616"/>
    <w:pPr>
      <w:tabs>
        <w:tab w:val="center" w:pos="4536"/>
        <w:tab w:val="right" w:pos="9072"/>
      </w:tabs>
      <w:spacing w:after="0" w:line="240" w:lineRule="auto"/>
      <w:jc w:val="right"/>
    </w:pPr>
    <w:rPr>
      <w:rFonts w:ascii="Verdana" w:eastAsia="Times New Roman" w:hAnsi="Verdana"/>
      <w:color w:val="333333"/>
      <w:sz w:val="16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610616"/>
    <w:rPr>
      <w:rFonts w:ascii="Verdana" w:eastAsia="Times New Roman" w:hAnsi="Verdana" w:cs="Times New Roman"/>
      <w:color w:val="333333"/>
      <w:sz w:val="16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8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umrypa02</dc:creator>
  <cp:lastModifiedBy>umrypa02</cp:lastModifiedBy>
  <cp:revision>5</cp:revision>
  <dcterms:created xsi:type="dcterms:W3CDTF">2022-03-03T09:12:00Z</dcterms:created>
  <dcterms:modified xsi:type="dcterms:W3CDTF">2022-03-03T09:36:00Z</dcterms:modified>
</cp:coreProperties>
</file>