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C2" w:rsidRPr="00F47F8E" w:rsidRDefault="00DF56C2" w:rsidP="00F47F8E">
      <w:pPr>
        <w:pStyle w:val="10Szanowny"/>
        <w:suppressAutoHyphens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C1961">
        <w:rPr>
          <w:rFonts w:ascii="Verdana" w:hAnsi="Verdana"/>
          <w:sz w:val="20"/>
          <w:szCs w:val="20"/>
          <w:highlight w:val="black"/>
        </w:rPr>
        <w:t>Pan Marcin Kukuła</w:t>
      </w:r>
      <w:r w:rsidRPr="00F47F8E">
        <w:rPr>
          <w:rFonts w:ascii="Verdana" w:hAnsi="Verdana"/>
          <w:sz w:val="20"/>
          <w:szCs w:val="20"/>
        </w:rPr>
        <w:t xml:space="preserve"> </w:t>
      </w:r>
    </w:p>
    <w:p w:rsidR="00DF56C2" w:rsidRPr="00EC1961" w:rsidRDefault="00DF56C2" w:rsidP="00F47F8E">
      <w:pPr>
        <w:pStyle w:val="11Trescpisma"/>
        <w:rPr>
          <w:szCs w:val="20"/>
          <w:highlight w:val="black"/>
        </w:rPr>
      </w:pPr>
      <w:r w:rsidRPr="00EC1961">
        <w:rPr>
          <w:szCs w:val="20"/>
          <w:highlight w:val="black"/>
        </w:rPr>
        <w:t>EY Doradztwo Podatkowe Krupa Sp. k.</w:t>
      </w:r>
    </w:p>
    <w:p w:rsidR="00DF56C2" w:rsidRPr="00F47F8E" w:rsidRDefault="00642E66" w:rsidP="00F47F8E">
      <w:pPr>
        <w:jc w:val="both"/>
        <w:rPr>
          <w:rFonts w:ascii="Verdana" w:hAnsi="Verdana"/>
          <w:bCs/>
          <w:sz w:val="20"/>
          <w:szCs w:val="20"/>
        </w:rPr>
      </w:pPr>
      <w:fldSimple w:instr=" DOCVARIABLE adres_k1\* MERGEFORMAT ">
        <w:r w:rsidR="00DF56C2" w:rsidRPr="00EC1961">
          <w:rPr>
            <w:rFonts w:ascii="Verdana" w:hAnsi="Verdana"/>
            <w:bCs/>
            <w:sz w:val="20"/>
            <w:szCs w:val="20"/>
            <w:highlight w:val="black"/>
          </w:rPr>
          <w:t xml:space="preserve">ul. Rzeźnicza 32-33 </w:t>
        </w:r>
      </w:fldSimple>
    </w:p>
    <w:p w:rsidR="00DF56C2" w:rsidRPr="00F47F8E" w:rsidRDefault="00642E66" w:rsidP="00F47F8E">
      <w:pPr>
        <w:jc w:val="both"/>
        <w:rPr>
          <w:rFonts w:ascii="Verdana" w:hAnsi="Verdana"/>
          <w:bCs/>
          <w:sz w:val="20"/>
          <w:szCs w:val="20"/>
        </w:rPr>
      </w:pPr>
      <w:fldSimple w:instr=" DOCVARIABLE adres_k2\* MERGEFORMAT ">
        <w:r w:rsidR="00DF56C2" w:rsidRPr="00EC1961">
          <w:rPr>
            <w:rFonts w:ascii="Verdana" w:hAnsi="Verdana"/>
            <w:bCs/>
            <w:sz w:val="20"/>
            <w:szCs w:val="20"/>
            <w:highlight w:val="black"/>
          </w:rPr>
          <w:t>50-130 WROCŁAW</w:t>
        </w:r>
      </w:fldSimple>
    </w:p>
    <w:p w:rsidR="00DF56C2" w:rsidRPr="00F47F8E" w:rsidRDefault="00DF56C2" w:rsidP="00F47F8E">
      <w:pPr>
        <w:pStyle w:val="Tekstpodstawowywcity"/>
        <w:ind w:left="0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F56C2" w:rsidRPr="00F47F8E" w:rsidRDefault="00DF56C2" w:rsidP="00F47F8E">
      <w:pPr>
        <w:pStyle w:val="Tekstpodstawowywcity"/>
        <w:ind w:left="0"/>
        <w:jc w:val="both"/>
        <w:rPr>
          <w:rFonts w:ascii="Verdana" w:hAnsi="Verdana"/>
          <w:b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>Pełnomocnik</w:t>
      </w:r>
    </w:p>
    <w:p w:rsidR="00DF56C2" w:rsidRPr="00EC1961" w:rsidRDefault="00642E66" w:rsidP="00F47F8E">
      <w:pPr>
        <w:jc w:val="both"/>
        <w:rPr>
          <w:rFonts w:ascii="Verdana" w:hAnsi="Verdana"/>
          <w:bCs/>
          <w:sz w:val="20"/>
          <w:szCs w:val="20"/>
          <w:highlight w:val="black"/>
        </w:rPr>
      </w:pPr>
      <w:fldSimple w:instr=" DOCVARIABLE klient \* MERGEFORMAT ">
        <w:r w:rsidR="00DF56C2" w:rsidRPr="00EC1961">
          <w:rPr>
            <w:rFonts w:ascii="Verdana" w:hAnsi="Verdana"/>
            <w:sz w:val="20"/>
            <w:szCs w:val="20"/>
            <w:highlight w:val="black"/>
          </w:rPr>
          <w:t>AMREST SP. Z O.O.</w:t>
        </w:r>
      </w:fldSimple>
      <w:r w:rsidR="00DF56C2" w:rsidRPr="00EC1961">
        <w:rPr>
          <w:rFonts w:ascii="Verdana" w:hAnsi="Verdana"/>
          <w:sz w:val="20"/>
          <w:szCs w:val="20"/>
          <w:highlight w:val="black"/>
        </w:rPr>
        <w:t xml:space="preserve">                                                       </w:t>
      </w:r>
    </w:p>
    <w:p w:rsidR="00DF56C2" w:rsidRPr="00EC1961" w:rsidRDefault="00642E66" w:rsidP="00F47F8E">
      <w:pPr>
        <w:pStyle w:val="Tekstpodstawowywcity"/>
        <w:ind w:left="0"/>
        <w:jc w:val="both"/>
        <w:rPr>
          <w:rFonts w:ascii="Verdana" w:hAnsi="Verdana"/>
          <w:b/>
          <w:sz w:val="20"/>
          <w:szCs w:val="20"/>
          <w:highlight w:val="black"/>
        </w:rPr>
      </w:pPr>
      <w:fldSimple w:instr=" DOCVARIABLE adres_k1\* MERGEFORMAT ">
        <w:r w:rsidR="00DF56C2" w:rsidRPr="00EC1961">
          <w:rPr>
            <w:rFonts w:ascii="Verdana" w:hAnsi="Verdana"/>
            <w:bCs/>
            <w:sz w:val="20"/>
            <w:szCs w:val="20"/>
            <w:highlight w:val="black"/>
          </w:rPr>
          <w:t xml:space="preserve">UL. POWSTAŃCÓW ŚLĄSKICH 15-17 </w:t>
        </w:r>
      </w:fldSimple>
    </w:p>
    <w:p w:rsidR="00DF56C2" w:rsidRPr="00EC1961" w:rsidRDefault="00642E66" w:rsidP="00F47F8E">
      <w:pPr>
        <w:jc w:val="both"/>
        <w:rPr>
          <w:rFonts w:ascii="Verdana" w:hAnsi="Verdana"/>
          <w:sz w:val="20"/>
          <w:szCs w:val="20"/>
          <w:highlight w:val="black"/>
        </w:rPr>
      </w:pPr>
      <w:fldSimple w:instr=" DOCVARIABLE adres_k2\* MERGEFORMAT ">
        <w:r w:rsidR="00DF56C2" w:rsidRPr="00EC1961">
          <w:rPr>
            <w:rFonts w:ascii="Verdana" w:hAnsi="Verdana"/>
            <w:bCs/>
            <w:sz w:val="20"/>
            <w:szCs w:val="20"/>
            <w:highlight w:val="black"/>
          </w:rPr>
          <w:t>53-332 WROCŁAW</w:t>
        </w:r>
      </w:fldSimple>
      <w:r w:rsidR="00DF56C2" w:rsidRPr="00EC1961">
        <w:rPr>
          <w:rFonts w:ascii="Verdana" w:hAnsi="Verdana"/>
          <w:sz w:val="20"/>
          <w:szCs w:val="20"/>
          <w:highlight w:val="black"/>
        </w:rPr>
        <w:t xml:space="preserve"> </w:t>
      </w:r>
    </w:p>
    <w:p w:rsidR="00DF56C2" w:rsidRPr="00EC1961" w:rsidRDefault="00DF56C2" w:rsidP="00F47F8E">
      <w:pPr>
        <w:pStyle w:val="01Instytucja1"/>
        <w:spacing w:line="360" w:lineRule="auto"/>
        <w:rPr>
          <w:highlight w:val="black"/>
        </w:rPr>
      </w:pPr>
    </w:p>
    <w:p w:rsidR="00DF56C2" w:rsidRPr="00F47F8E" w:rsidRDefault="00DF56C2" w:rsidP="00F47F8E">
      <w:pPr>
        <w:pStyle w:val="10Szanowny"/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EC1961">
        <w:rPr>
          <w:rFonts w:ascii="Verdana" w:hAnsi="Verdana"/>
          <w:sz w:val="20"/>
          <w:szCs w:val="20"/>
          <w:highlight w:val="black"/>
        </w:rPr>
        <w:t>Adres elektroniczny: /86060604051/</w:t>
      </w:r>
      <w:proofErr w:type="spellStart"/>
      <w:r w:rsidRPr="00EC1961">
        <w:rPr>
          <w:rFonts w:ascii="Verdana" w:hAnsi="Verdana"/>
          <w:sz w:val="20"/>
          <w:szCs w:val="20"/>
          <w:highlight w:val="black"/>
        </w:rPr>
        <w:t>domyslna</w:t>
      </w:r>
      <w:proofErr w:type="spellEnd"/>
    </w:p>
    <w:p w:rsidR="006C05A9" w:rsidRPr="00F47F8E" w:rsidRDefault="00891850" w:rsidP="00F47F8E">
      <w:pPr>
        <w:pStyle w:val="04StanowiskoAdresata"/>
        <w:suppressAutoHyphens/>
        <w:spacing w:line="360" w:lineRule="auto"/>
      </w:pPr>
      <w:r w:rsidRPr="00F47F8E">
        <w:tab/>
      </w:r>
    </w:p>
    <w:p w:rsidR="00341F35" w:rsidRPr="00F47F8E" w:rsidRDefault="00DF56C2" w:rsidP="00F47F8E">
      <w:pPr>
        <w:pStyle w:val="04StanowiskoAdresata"/>
        <w:suppressAutoHyphens/>
        <w:spacing w:line="360" w:lineRule="auto"/>
        <w:rPr>
          <w:rStyle w:val="displayonly"/>
        </w:rPr>
      </w:pPr>
      <w:r w:rsidRPr="00F47F8E">
        <w:t>WPO-DNT.310.1.</w:t>
      </w:r>
      <w:r w:rsidR="00F6382B">
        <w:t>9</w:t>
      </w:r>
      <w:r w:rsidRPr="00F47F8E">
        <w:t>.2023</w:t>
      </w:r>
      <w:r w:rsidR="006C05A9" w:rsidRPr="00F47F8E">
        <w:t xml:space="preserve">.JT                                       </w:t>
      </w:r>
      <w:r w:rsidRPr="00F47F8E">
        <w:t xml:space="preserve">  </w:t>
      </w:r>
      <w:r w:rsidR="006C05A9" w:rsidRPr="00F47F8E">
        <w:t xml:space="preserve"> </w:t>
      </w:r>
      <w:fldSimple w:instr=" DOCVARIABLE miasto \* MERGEFORMAT ">
        <w:r w:rsidR="00341F35" w:rsidRPr="00F47F8E">
          <w:t>Wrocław</w:t>
        </w:r>
      </w:fldSimple>
      <w:r w:rsidR="00341F35" w:rsidRPr="00F47F8E">
        <w:t>,</w:t>
      </w:r>
      <w:r w:rsidR="00804E33">
        <w:t xml:space="preserve"> </w:t>
      </w:r>
      <w:r w:rsidR="00BC64A5">
        <w:t>9</w:t>
      </w:r>
      <w:r w:rsidR="00F6382B">
        <w:t xml:space="preserve"> lutego 2023 </w:t>
      </w:r>
      <w:r w:rsidR="006C05A9" w:rsidRPr="00F47F8E">
        <w:t>r.</w:t>
      </w:r>
      <w:r w:rsidR="007423FD" w:rsidRPr="00F47F8E">
        <w:t xml:space="preserve">             </w:t>
      </w:r>
    </w:p>
    <w:p w:rsidR="007B7EA1" w:rsidRDefault="006C05A9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 xml:space="preserve">KOD PODATNIKA: </w:t>
      </w:r>
      <w:r w:rsidR="00F6382B" w:rsidRPr="00EC1961">
        <w:rPr>
          <w:rFonts w:ascii="Verdana" w:hAnsi="Verdana"/>
          <w:sz w:val="20"/>
          <w:szCs w:val="20"/>
          <w:highlight w:val="black"/>
        </w:rPr>
        <w:t>38716</w:t>
      </w:r>
    </w:p>
    <w:p w:rsidR="00F47F8E" w:rsidRDefault="00F47F8E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47F8E" w:rsidRPr="00F47F8E" w:rsidRDefault="00F47F8E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B7EA1" w:rsidRPr="00F47F8E" w:rsidRDefault="007B7EA1" w:rsidP="00804E33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47F8E">
        <w:rPr>
          <w:rFonts w:ascii="Verdana" w:hAnsi="Verdana"/>
          <w:b/>
          <w:sz w:val="20"/>
          <w:szCs w:val="20"/>
        </w:rPr>
        <w:t>Interpretacja indywidualna przepisów prawa podatkowego</w:t>
      </w:r>
    </w:p>
    <w:p w:rsidR="00DE7DE6" w:rsidRDefault="007B7EA1" w:rsidP="00F47F8E">
      <w:pPr>
        <w:pStyle w:val="11Trescpisma"/>
        <w:spacing w:line="360" w:lineRule="auto"/>
        <w:rPr>
          <w:szCs w:val="20"/>
        </w:rPr>
      </w:pPr>
      <w:r w:rsidRPr="00F47F8E">
        <w:rPr>
          <w:szCs w:val="20"/>
        </w:rPr>
        <w:t>Na podstawie art. 14b, art. 14c</w:t>
      </w:r>
      <w:r w:rsidR="00607298" w:rsidRPr="00F47F8E">
        <w:rPr>
          <w:szCs w:val="20"/>
        </w:rPr>
        <w:t xml:space="preserve">, art. 14h w związku z art. 165a § 1 </w:t>
      </w:r>
      <w:r w:rsidRPr="00F47F8E">
        <w:rPr>
          <w:szCs w:val="20"/>
        </w:rPr>
        <w:t xml:space="preserve"> i art. 14j §1 ustawy z dnia 29 sierpnia 1997 r. Ordynacja podatkowa </w:t>
      </w:r>
      <w:r w:rsidR="00DE7DE6">
        <w:rPr>
          <w:szCs w:val="20"/>
        </w:rPr>
        <w:t>(</w:t>
      </w:r>
      <w:r w:rsidR="00607298" w:rsidRPr="00F47F8E">
        <w:rPr>
          <w:rFonts w:eastAsia="Calibri" w:cs="Helv"/>
          <w:color w:val="000000"/>
          <w:szCs w:val="20"/>
        </w:rPr>
        <w:t>Dz. U. z 2022 r. poz. 2651</w:t>
      </w:r>
      <w:r w:rsidR="00DE7DE6">
        <w:rPr>
          <w:rFonts w:eastAsia="Calibri" w:cs="Helv"/>
          <w:color w:val="000000"/>
          <w:szCs w:val="20"/>
        </w:rPr>
        <w:t>)</w:t>
      </w:r>
      <w:r w:rsidRPr="00F47F8E">
        <w:rPr>
          <w:rFonts w:eastAsia="Calibri" w:cs="Helv"/>
          <w:color w:val="000000"/>
          <w:szCs w:val="20"/>
        </w:rPr>
        <w:t xml:space="preserve"> </w:t>
      </w:r>
      <w:r w:rsidR="00B9664F" w:rsidRPr="00F47F8E">
        <w:rPr>
          <w:szCs w:val="20"/>
        </w:rPr>
        <w:t xml:space="preserve">w związku z art. 1c ustawy </w:t>
      </w:r>
      <w:r w:rsidRPr="00F47F8E">
        <w:rPr>
          <w:szCs w:val="20"/>
        </w:rPr>
        <w:t xml:space="preserve">z dnia 12 stycznia 1991 r. </w:t>
      </w:r>
      <w:r w:rsidR="00607298" w:rsidRPr="00F47F8E">
        <w:rPr>
          <w:szCs w:val="20"/>
        </w:rPr>
        <w:br/>
      </w:r>
      <w:r w:rsidRPr="00F47F8E">
        <w:rPr>
          <w:szCs w:val="20"/>
        </w:rPr>
        <w:t xml:space="preserve">o </w:t>
      </w:r>
      <w:r w:rsidR="007423FD" w:rsidRPr="00F47F8E">
        <w:rPr>
          <w:szCs w:val="20"/>
        </w:rPr>
        <w:t xml:space="preserve">podatkach i opłatach lokalnych </w:t>
      </w:r>
      <w:r w:rsidR="00DE7DE6">
        <w:rPr>
          <w:szCs w:val="20"/>
        </w:rPr>
        <w:t>(</w:t>
      </w:r>
      <w:r w:rsidR="00607298" w:rsidRPr="00F47F8E">
        <w:rPr>
          <w:szCs w:val="20"/>
        </w:rPr>
        <w:t>Dz. U. z 2022</w:t>
      </w:r>
      <w:r w:rsidRPr="00F47F8E">
        <w:rPr>
          <w:szCs w:val="20"/>
        </w:rPr>
        <w:t xml:space="preserve"> r.</w:t>
      </w:r>
      <w:r w:rsidR="00607298" w:rsidRPr="00F47F8E">
        <w:rPr>
          <w:szCs w:val="20"/>
        </w:rPr>
        <w:t xml:space="preserve"> poz. 1542</w:t>
      </w:r>
      <w:r w:rsidRPr="00F47F8E">
        <w:rPr>
          <w:szCs w:val="20"/>
        </w:rPr>
        <w:t xml:space="preserve"> z </w:t>
      </w:r>
      <w:proofErr w:type="spellStart"/>
      <w:r w:rsidRPr="00F47F8E">
        <w:rPr>
          <w:szCs w:val="20"/>
        </w:rPr>
        <w:t>późn</w:t>
      </w:r>
      <w:proofErr w:type="spellEnd"/>
      <w:r w:rsidRPr="00F47F8E">
        <w:rPr>
          <w:szCs w:val="20"/>
        </w:rPr>
        <w:t>. zm.</w:t>
      </w:r>
      <w:r w:rsidR="00DE7DE6">
        <w:rPr>
          <w:szCs w:val="20"/>
        </w:rPr>
        <w:t xml:space="preserve"> – dalej </w:t>
      </w:r>
      <w:proofErr w:type="spellStart"/>
      <w:r w:rsidR="00DE7DE6">
        <w:rPr>
          <w:szCs w:val="20"/>
        </w:rPr>
        <w:t>upol</w:t>
      </w:r>
      <w:proofErr w:type="spellEnd"/>
      <w:r w:rsidR="00DE7DE6">
        <w:rPr>
          <w:szCs w:val="20"/>
        </w:rPr>
        <w:t>)</w:t>
      </w:r>
      <w:r w:rsidRPr="00F47F8E">
        <w:rPr>
          <w:szCs w:val="20"/>
        </w:rPr>
        <w:t>,</w:t>
      </w:r>
      <w:r w:rsidR="00DE7DE6">
        <w:rPr>
          <w:szCs w:val="20"/>
        </w:rPr>
        <w:t xml:space="preserve"> </w:t>
      </w:r>
    </w:p>
    <w:p w:rsidR="00F24CF9" w:rsidRPr="00F47F8E" w:rsidRDefault="007423FD" w:rsidP="00F47F8E">
      <w:pPr>
        <w:pStyle w:val="11Trescpisma"/>
        <w:spacing w:line="360" w:lineRule="auto"/>
        <w:rPr>
          <w:szCs w:val="20"/>
        </w:rPr>
      </w:pPr>
      <w:r w:rsidRPr="00F47F8E">
        <w:rPr>
          <w:szCs w:val="20"/>
        </w:rPr>
        <w:t>po rozpatrze</w:t>
      </w:r>
      <w:r w:rsidR="00607298" w:rsidRPr="00F47F8E">
        <w:rPr>
          <w:szCs w:val="20"/>
        </w:rPr>
        <w:t>niu wniosku z</w:t>
      </w:r>
      <w:r w:rsidR="009E65B2" w:rsidRPr="00F47F8E">
        <w:rPr>
          <w:szCs w:val="20"/>
        </w:rPr>
        <w:t xml:space="preserve"> dnia 9</w:t>
      </w:r>
      <w:r w:rsidR="002C65E3" w:rsidRPr="00F47F8E">
        <w:rPr>
          <w:szCs w:val="20"/>
        </w:rPr>
        <w:t xml:space="preserve"> </w:t>
      </w:r>
      <w:r w:rsidR="00607298" w:rsidRPr="00F47F8E">
        <w:rPr>
          <w:szCs w:val="20"/>
        </w:rPr>
        <w:t>listopada</w:t>
      </w:r>
      <w:r w:rsidR="002C65E3" w:rsidRPr="00F47F8E">
        <w:rPr>
          <w:szCs w:val="20"/>
        </w:rPr>
        <w:t xml:space="preserve"> 2022</w:t>
      </w:r>
      <w:r w:rsidRPr="00F47F8E">
        <w:rPr>
          <w:szCs w:val="20"/>
        </w:rPr>
        <w:t xml:space="preserve"> r. (data wpływu do urzędu), </w:t>
      </w:r>
      <w:proofErr w:type="spellStart"/>
      <w:r w:rsidR="00607298" w:rsidRPr="00EC1961">
        <w:rPr>
          <w:szCs w:val="20"/>
          <w:highlight w:val="black"/>
        </w:rPr>
        <w:t>Amrest</w:t>
      </w:r>
      <w:proofErr w:type="spellEnd"/>
      <w:r w:rsidR="00607298" w:rsidRPr="00EC1961">
        <w:rPr>
          <w:szCs w:val="20"/>
          <w:highlight w:val="black"/>
        </w:rPr>
        <w:t xml:space="preserve"> Sp. z o.o.</w:t>
      </w:r>
      <w:r w:rsidR="00607298" w:rsidRPr="00F47F8E">
        <w:rPr>
          <w:szCs w:val="20"/>
        </w:rPr>
        <w:t xml:space="preserve"> </w:t>
      </w:r>
      <w:r w:rsidRPr="00F47F8E">
        <w:rPr>
          <w:szCs w:val="20"/>
        </w:rPr>
        <w:t>z siedzibą we Wrocławiu przy</w:t>
      </w:r>
      <w:r w:rsidR="00607298" w:rsidRPr="00F47F8E">
        <w:rPr>
          <w:szCs w:val="20"/>
        </w:rPr>
        <w:t xml:space="preserve"> ul. </w:t>
      </w:r>
      <w:r w:rsidR="00607298" w:rsidRPr="00EC1961">
        <w:rPr>
          <w:szCs w:val="20"/>
          <w:highlight w:val="black"/>
        </w:rPr>
        <w:t>Powstańców Śląskich 15 - 17</w:t>
      </w:r>
      <w:r w:rsidRPr="00F47F8E">
        <w:rPr>
          <w:szCs w:val="20"/>
        </w:rPr>
        <w:t xml:space="preserve">, </w:t>
      </w:r>
      <w:r w:rsidR="005732DB" w:rsidRPr="00F47F8E">
        <w:rPr>
          <w:szCs w:val="20"/>
        </w:rPr>
        <w:t>o wyda</w:t>
      </w:r>
      <w:r w:rsidR="00EC4988" w:rsidRPr="00F47F8E">
        <w:rPr>
          <w:szCs w:val="20"/>
        </w:rPr>
        <w:t xml:space="preserve">nie indywidualnej interpretacji przepisów </w:t>
      </w:r>
      <w:r w:rsidR="005732DB" w:rsidRPr="00F47F8E">
        <w:rPr>
          <w:szCs w:val="20"/>
        </w:rPr>
        <w:t xml:space="preserve">prawa podatkowego </w:t>
      </w:r>
      <w:r w:rsidR="00DE7DE6">
        <w:rPr>
          <w:szCs w:val="20"/>
        </w:rPr>
        <w:br/>
      </w:r>
      <w:r w:rsidRPr="00F47F8E">
        <w:rPr>
          <w:szCs w:val="20"/>
        </w:rPr>
        <w:t xml:space="preserve">w sprawie </w:t>
      </w:r>
      <w:r w:rsidR="004B59E9">
        <w:rPr>
          <w:szCs w:val="20"/>
        </w:rPr>
        <w:t xml:space="preserve">oceny </w:t>
      </w:r>
      <w:r w:rsidR="005732DB" w:rsidRPr="00F47F8E">
        <w:rPr>
          <w:szCs w:val="20"/>
        </w:rPr>
        <w:t>czy</w:t>
      </w:r>
      <w:r w:rsidRPr="00F47F8E">
        <w:rPr>
          <w:szCs w:val="20"/>
        </w:rPr>
        <w:t>:</w:t>
      </w:r>
    </w:p>
    <w:p w:rsidR="003A3BB5" w:rsidRPr="00F47F8E" w:rsidRDefault="003A3BB5" w:rsidP="00F47F8E">
      <w:pPr>
        <w:pStyle w:val="11Trescpisma"/>
        <w:numPr>
          <w:ilvl w:val="0"/>
          <w:numId w:val="22"/>
        </w:numPr>
        <w:spacing w:before="120" w:line="360" w:lineRule="auto"/>
        <w:rPr>
          <w:color w:val="000000"/>
          <w:szCs w:val="20"/>
        </w:rPr>
      </w:pPr>
      <w:r w:rsidRPr="00F47F8E">
        <w:rPr>
          <w:color w:val="000000"/>
          <w:szCs w:val="20"/>
        </w:rPr>
        <w:t>Wskazane w stanie faktycznym grunty, które należały do Spółki w okresie od maja 2018 r. do sierpnia 2020 r., i które nie były i nie mogły być przez Spółkę wykorzystywane do prowadzenia działalności gospodarczej</w:t>
      </w:r>
      <w:r w:rsidR="004B59E9">
        <w:rPr>
          <w:color w:val="000000"/>
          <w:szCs w:val="20"/>
        </w:rPr>
        <w:t>,</w:t>
      </w:r>
      <w:r w:rsidRPr="00F47F8E">
        <w:rPr>
          <w:color w:val="000000"/>
          <w:szCs w:val="20"/>
        </w:rPr>
        <w:t xml:space="preserve"> należy uznać </w:t>
      </w:r>
      <w:r w:rsidRPr="00F47F8E">
        <w:rPr>
          <w:color w:val="000000"/>
          <w:szCs w:val="20"/>
        </w:rPr>
        <w:br/>
        <w:t>w przedmiotowym okresie za związane z prowadzeniem działalności gospodarczej?</w:t>
      </w:r>
    </w:p>
    <w:p w:rsidR="003A3BB5" w:rsidRPr="00F47F8E" w:rsidRDefault="003A3BB5" w:rsidP="00F47F8E">
      <w:pPr>
        <w:pStyle w:val="11Trescpisma"/>
        <w:numPr>
          <w:ilvl w:val="0"/>
          <w:numId w:val="22"/>
        </w:numPr>
        <w:spacing w:before="120" w:line="360" w:lineRule="auto"/>
        <w:rPr>
          <w:color w:val="000000"/>
          <w:szCs w:val="20"/>
        </w:rPr>
      </w:pPr>
      <w:r w:rsidRPr="00F47F8E">
        <w:rPr>
          <w:color w:val="000000"/>
          <w:szCs w:val="20"/>
        </w:rPr>
        <w:lastRenderedPageBreak/>
        <w:t>Wskazane w stanie faktycznym  budynki, które należały do  Spółki w okresie od maja 2018 r. do sierpnia 2020 r., i które nie były i nie mogły być przez Spółkę wykorzystywane do prowadzenia działalności gospodarczej należy</w:t>
      </w:r>
      <w:r w:rsidR="004B59E9">
        <w:rPr>
          <w:color w:val="000000"/>
          <w:szCs w:val="20"/>
        </w:rPr>
        <w:t>,</w:t>
      </w:r>
      <w:r w:rsidRPr="00F47F8E">
        <w:rPr>
          <w:color w:val="000000"/>
          <w:szCs w:val="20"/>
        </w:rPr>
        <w:t xml:space="preserve"> </w:t>
      </w:r>
      <w:r w:rsidR="00F47F8E">
        <w:rPr>
          <w:color w:val="000000"/>
          <w:szCs w:val="20"/>
        </w:rPr>
        <w:t xml:space="preserve">uznać </w:t>
      </w:r>
      <w:r w:rsidRPr="00F47F8E">
        <w:rPr>
          <w:color w:val="000000"/>
          <w:szCs w:val="20"/>
        </w:rPr>
        <w:t>w przedmiotowym okresie za związane z prowadzeniem działalności gospodarczej?</w:t>
      </w:r>
    </w:p>
    <w:p w:rsidR="003A3BB5" w:rsidRPr="00F47F8E" w:rsidRDefault="003A3BB5" w:rsidP="00F47F8E">
      <w:pPr>
        <w:pStyle w:val="11Trescpisma"/>
        <w:numPr>
          <w:ilvl w:val="0"/>
          <w:numId w:val="22"/>
        </w:numPr>
        <w:spacing w:before="120" w:line="360" w:lineRule="auto"/>
        <w:rPr>
          <w:color w:val="000000"/>
          <w:szCs w:val="20"/>
        </w:rPr>
      </w:pPr>
      <w:r w:rsidRPr="00F47F8E">
        <w:rPr>
          <w:color w:val="000000"/>
          <w:szCs w:val="20"/>
        </w:rPr>
        <w:t>Wskazane w stanie faktycznym budowle, które należały do  Spółki w okresie od maja 2018 r. do sierpnia 2020 r., i które nie były i nie mogły być przez Spółkę wykorzystywane do prowadzenia działalności gospodarczej</w:t>
      </w:r>
      <w:r w:rsidR="004B59E9">
        <w:rPr>
          <w:color w:val="000000"/>
          <w:szCs w:val="20"/>
        </w:rPr>
        <w:t>,</w:t>
      </w:r>
      <w:r w:rsidRPr="00F47F8E">
        <w:rPr>
          <w:color w:val="000000"/>
          <w:szCs w:val="20"/>
        </w:rPr>
        <w:t xml:space="preserve"> należy uznać </w:t>
      </w:r>
      <w:r w:rsidR="00F47F8E">
        <w:rPr>
          <w:color w:val="000000"/>
          <w:szCs w:val="20"/>
        </w:rPr>
        <w:br/>
      </w:r>
      <w:r w:rsidRPr="00F47F8E">
        <w:rPr>
          <w:color w:val="000000"/>
          <w:szCs w:val="20"/>
        </w:rPr>
        <w:t>w podanym okresie za związane z prowadzeniem działalności gospodarczej?</w:t>
      </w:r>
    </w:p>
    <w:p w:rsidR="00804E33" w:rsidRDefault="00DE7DE6" w:rsidP="00F47F8E">
      <w:pPr>
        <w:pStyle w:val="11Trescpisma"/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</w:t>
      </w:r>
      <w:r w:rsidR="007B7EA1" w:rsidRPr="00F47F8E">
        <w:rPr>
          <w:rFonts w:cs="Arial"/>
          <w:b/>
          <w:szCs w:val="20"/>
        </w:rPr>
        <w:t>rgan podatkowy</w:t>
      </w:r>
      <w:r w:rsidR="00804E33">
        <w:rPr>
          <w:rFonts w:cs="Arial"/>
          <w:b/>
          <w:szCs w:val="20"/>
        </w:rPr>
        <w:t>:</w:t>
      </w:r>
      <w:r w:rsidR="007B7EA1" w:rsidRPr="00F47F8E">
        <w:rPr>
          <w:rFonts w:cs="Arial"/>
          <w:b/>
          <w:szCs w:val="20"/>
        </w:rPr>
        <w:t xml:space="preserve"> </w:t>
      </w:r>
    </w:p>
    <w:p w:rsidR="00383E2C" w:rsidRPr="00383E2C" w:rsidRDefault="00383E2C" w:rsidP="00383E2C">
      <w:pPr>
        <w:pStyle w:val="14StanowiskoPodpisujacego"/>
        <w:suppressAutoHyphens/>
        <w:spacing w:line="360" w:lineRule="auto"/>
        <w:rPr>
          <w:b/>
          <w:szCs w:val="20"/>
        </w:rPr>
      </w:pPr>
      <w:r>
        <w:rPr>
          <w:b/>
          <w:szCs w:val="20"/>
        </w:rPr>
        <w:t xml:space="preserve">I </w:t>
      </w:r>
      <w:r w:rsidR="005313D7">
        <w:rPr>
          <w:b/>
          <w:color w:val="000000"/>
          <w:sz w:val="20"/>
          <w:szCs w:val="20"/>
        </w:rPr>
        <w:t>O</w:t>
      </w:r>
      <w:r>
        <w:rPr>
          <w:b/>
          <w:color w:val="000000"/>
          <w:sz w:val="20"/>
          <w:szCs w:val="20"/>
        </w:rPr>
        <w:t xml:space="preserve">dmawia wszczęcia postępowania </w:t>
      </w:r>
      <w:r w:rsidRPr="00F47F8E">
        <w:rPr>
          <w:b/>
          <w:color w:val="000000"/>
          <w:sz w:val="20"/>
          <w:szCs w:val="20"/>
        </w:rPr>
        <w:t>zakresi</w:t>
      </w:r>
      <w:r>
        <w:rPr>
          <w:b/>
          <w:color w:val="000000"/>
          <w:sz w:val="20"/>
          <w:szCs w:val="20"/>
        </w:rPr>
        <w:t xml:space="preserve">e pytania nr 2 </w:t>
      </w:r>
      <w:r w:rsidRPr="00D14181">
        <w:rPr>
          <w:sz w:val="20"/>
          <w:szCs w:val="20"/>
        </w:rPr>
        <w:t>dot. oceny właściwej stawki podatku dla opisanych budynków</w:t>
      </w:r>
      <w:r>
        <w:rPr>
          <w:sz w:val="20"/>
          <w:szCs w:val="20"/>
        </w:rPr>
        <w:t xml:space="preserve"> na podstawie art. </w:t>
      </w:r>
      <w:r w:rsidRPr="00D14181">
        <w:rPr>
          <w:sz w:val="20"/>
          <w:szCs w:val="20"/>
        </w:rPr>
        <w:t>14b § 5 ustawy Ordynacja podatkowa</w:t>
      </w:r>
      <w:r>
        <w:rPr>
          <w:sz w:val="20"/>
          <w:szCs w:val="20"/>
        </w:rPr>
        <w:t xml:space="preserve">, zgodnie z którym </w:t>
      </w:r>
      <w:r w:rsidRPr="00D14181">
        <w:rPr>
          <w:color w:val="000000"/>
          <w:sz w:val="20"/>
          <w:szCs w:val="20"/>
        </w:rPr>
        <w:t>n</w:t>
      </w:r>
      <w:r w:rsidRPr="00D14181">
        <w:rPr>
          <w:sz w:val="20"/>
          <w:szCs w:val="20"/>
        </w:rPr>
        <w:t xml:space="preserve">ie wydaje się interpretacji indywidualnej w zakresie tych elementów stanu faktycznego lub zdarzenia przyszłego, które w dniu złożenia wniosku o interpretację są przedmiotem toczącego się postępowania podatkowego, kontroli podatkowej, kontroli celno-skarbowej, albo gdy w tym zakresie sprawa została rozstrzygnięta co do jej istoty w decyzji lub postanowieniu organu podatkowego albo uzgodniona w porozumieniu podatkowym, o którym mowa w art. 20zb, albo porozumieniu inwestycyjnym, o którym mowa w art. 20zs § 1, w zakresie art. 20zt </w:t>
      </w:r>
      <w:proofErr w:type="spellStart"/>
      <w:r w:rsidRPr="00D14181">
        <w:rPr>
          <w:sz w:val="20"/>
          <w:szCs w:val="20"/>
        </w:rPr>
        <w:t>pkt</w:t>
      </w:r>
      <w:proofErr w:type="spellEnd"/>
      <w:r w:rsidRPr="00D14181">
        <w:rPr>
          <w:sz w:val="20"/>
          <w:szCs w:val="20"/>
        </w:rPr>
        <w:t xml:space="preserve"> 5.</w:t>
      </w:r>
    </w:p>
    <w:p w:rsidR="001271BA" w:rsidRPr="00383E2C" w:rsidRDefault="00383E2C" w:rsidP="00F47F8E">
      <w:pPr>
        <w:pStyle w:val="11Trescpisma"/>
        <w:spacing w:line="360" w:lineRule="auto"/>
        <w:rPr>
          <w:b/>
          <w:szCs w:val="20"/>
        </w:rPr>
      </w:pPr>
      <w:r>
        <w:rPr>
          <w:b/>
          <w:szCs w:val="20"/>
        </w:rPr>
        <w:t xml:space="preserve">II </w:t>
      </w:r>
      <w:r w:rsidR="005313D7">
        <w:rPr>
          <w:b/>
          <w:szCs w:val="20"/>
        </w:rPr>
        <w:t>U</w:t>
      </w:r>
      <w:r w:rsidR="007B7EA1" w:rsidRPr="00F47F8E">
        <w:rPr>
          <w:b/>
          <w:szCs w:val="20"/>
        </w:rPr>
        <w:t>znaj</w:t>
      </w:r>
      <w:r w:rsidR="00D24839" w:rsidRPr="00F47F8E">
        <w:rPr>
          <w:b/>
          <w:szCs w:val="20"/>
        </w:rPr>
        <w:t>e stanowisko wnioskodawcy</w:t>
      </w:r>
      <w:r w:rsidR="004B59E9">
        <w:rPr>
          <w:b/>
          <w:szCs w:val="20"/>
        </w:rPr>
        <w:t xml:space="preserve"> za nieprawidłowe</w:t>
      </w:r>
      <w:r w:rsidR="003A3BB5" w:rsidRPr="00F47F8E">
        <w:rPr>
          <w:b/>
          <w:szCs w:val="20"/>
        </w:rPr>
        <w:t xml:space="preserve"> w zakresie pytania</w:t>
      </w:r>
      <w:r w:rsidR="00406669" w:rsidRPr="00F47F8E">
        <w:rPr>
          <w:b/>
          <w:szCs w:val="20"/>
        </w:rPr>
        <w:t xml:space="preserve"> nr</w:t>
      </w:r>
      <w:r w:rsidR="003A3BB5" w:rsidRPr="00F47F8E">
        <w:rPr>
          <w:b/>
          <w:szCs w:val="20"/>
        </w:rPr>
        <w:t xml:space="preserve"> 1 </w:t>
      </w:r>
      <w:r w:rsidR="00406669" w:rsidRPr="00F47F8E">
        <w:rPr>
          <w:b/>
          <w:szCs w:val="20"/>
        </w:rPr>
        <w:t xml:space="preserve">i  nr </w:t>
      </w:r>
      <w:r w:rsidR="003A3BB5" w:rsidRPr="00F47F8E">
        <w:rPr>
          <w:b/>
          <w:szCs w:val="20"/>
        </w:rPr>
        <w:t>3</w:t>
      </w:r>
      <w:r w:rsidR="00D24839" w:rsidRPr="00F47F8E">
        <w:rPr>
          <w:b/>
          <w:szCs w:val="20"/>
        </w:rPr>
        <w:t xml:space="preserve"> </w:t>
      </w:r>
      <w:r w:rsidR="004B59E9">
        <w:rPr>
          <w:b/>
          <w:szCs w:val="20"/>
        </w:rPr>
        <w:t>i stwierdza, że:</w:t>
      </w:r>
    </w:p>
    <w:p w:rsidR="004B59E9" w:rsidRPr="004B59E9" w:rsidRDefault="00406669" w:rsidP="00F47F8E">
      <w:pPr>
        <w:pStyle w:val="14StanowiskoPodpisujacego"/>
        <w:numPr>
          <w:ilvl w:val="0"/>
          <w:numId w:val="20"/>
        </w:numPr>
        <w:suppressAutoHyphens/>
        <w:spacing w:line="360" w:lineRule="auto"/>
        <w:rPr>
          <w:b/>
          <w:sz w:val="20"/>
          <w:szCs w:val="20"/>
        </w:rPr>
      </w:pPr>
      <w:r w:rsidRPr="00F47F8E">
        <w:rPr>
          <w:color w:val="000000"/>
          <w:sz w:val="20"/>
          <w:szCs w:val="20"/>
        </w:rPr>
        <w:t>wskaz</w:t>
      </w:r>
      <w:r w:rsidR="00D520B9">
        <w:rPr>
          <w:color w:val="000000"/>
          <w:sz w:val="20"/>
          <w:szCs w:val="20"/>
        </w:rPr>
        <w:t>ane w stanie faktycznym grunty</w:t>
      </w:r>
      <w:r w:rsidRPr="00F47F8E">
        <w:rPr>
          <w:color w:val="000000"/>
          <w:sz w:val="20"/>
          <w:szCs w:val="20"/>
        </w:rPr>
        <w:t>, które należały do  Spółki w okresie od maja 2018 r. do sierpnia 2020 r., winny być</w:t>
      </w:r>
      <w:r w:rsidR="004B59E9">
        <w:rPr>
          <w:color w:val="000000"/>
          <w:sz w:val="20"/>
          <w:szCs w:val="20"/>
        </w:rPr>
        <w:t xml:space="preserve"> opodatkowane stawkami podatku o których mowa</w:t>
      </w:r>
      <w:r w:rsidRPr="00F47F8E">
        <w:rPr>
          <w:color w:val="000000"/>
          <w:sz w:val="20"/>
          <w:szCs w:val="20"/>
        </w:rPr>
        <w:t xml:space="preserve"> w art. 5 ust</w:t>
      </w:r>
      <w:r w:rsidR="004B59E9">
        <w:rPr>
          <w:color w:val="000000"/>
          <w:sz w:val="20"/>
          <w:szCs w:val="20"/>
        </w:rPr>
        <w:t>.</w:t>
      </w:r>
      <w:r w:rsidRPr="00F47F8E">
        <w:rPr>
          <w:color w:val="000000"/>
          <w:sz w:val="20"/>
          <w:szCs w:val="20"/>
        </w:rPr>
        <w:t xml:space="preserve"> 1 </w:t>
      </w:r>
      <w:proofErr w:type="spellStart"/>
      <w:r w:rsidRPr="00F47F8E">
        <w:rPr>
          <w:color w:val="000000"/>
          <w:sz w:val="20"/>
          <w:szCs w:val="20"/>
        </w:rPr>
        <w:t>pkt</w:t>
      </w:r>
      <w:proofErr w:type="spellEnd"/>
      <w:r w:rsidRPr="00F47F8E">
        <w:rPr>
          <w:color w:val="000000"/>
          <w:sz w:val="20"/>
          <w:szCs w:val="20"/>
        </w:rPr>
        <w:t xml:space="preserve"> 1 lit. a</w:t>
      </w:r>
      <w:r w:rsidR="00D520B9">
        <w:rPr>
          <w:color w:val="000000"/>
          <w:sz w:val="20"/>
          <w:szCs w:val="20"/>
        </w:rPr>
        <w:t xml:space="preserve"> </w:t>
      </w:r>
      <w:proofErr w:type="spellStart"/>
      <w:r w:rsidR="00DE7DE6">
        <w:rPr>
          <w:color w:val="000000"/>
          <w:sz w:val="20"/>
          <w:szCs w:val="20"/>
        </w:rPr>
        <w:t>upol</w:t>
      </w:r>
      <w:proofErr w:type="spellEnd"/>
      <w:r w:rsidRPr="00F47F8E">
        <w:rPr>
          <w:color w:val="000000"/>
          <w:sz w:val="20"/>
          <w:szCs w:val="20"/>
        </w:rPr>
        <w:t>,</w:t>
      </w:r>
      <w:r w:rsidR="004B59E9">
        <w:rPr>
          <w:color w:val="000000"/>
          <w:sz w:val="20"/>
          <w:szCs w:val="20"/>
        </w:rPr>
        <w:t xml:space="preserve"> tj. dla </w:t>
      </w:r>
      <w:r w:rsidR="00DE7DE6">
        <w:rPr>
          <w:color w:val="000000"/>
          <w:sz w:val="20"/>
          <w:szCs w:val="20"/>
        </w:rPr>
        <w:t xml:space="preserve">gruntów </w:t>
      </w:r>
      <w:r w:rsidR="004B59E9">
        <w:rPr>
          <w:color w:val="000000"/>
          <w:sz w:val="20"/>
          <w:szCs w:val="20"/>
        </w:rPr>
        <w:t>związanych z prowadzeniem działalności gospodarczej</w:t>
      </w:r>
      <w:r w:rsidR="00DE7DE6">
        <w:rPr>
          <w:color w:val="000000"/>
          <w:sz w:val="20"/>
          <w:szCs w:val="20"/>
        </w:rPr>
        <w:t>;</w:t>
      </w:r>
    </w:p>
    <w:p w:rsidR="00804E33" w:rsidRDefault="00D520B9" w:rsidP="00804E33">
      <w:pPr>
        <w:pStyle w:val="14StanowiskoPodpisujacego"/>
        <w:numPr>
          <w:ilvl w:val="0"/>
          <w:numId w:val="20"/>
        </w:numPr>
        <w:suppressAutoHyphens/>
        <w:spacing w:line="360" w:lineRule="auto"/>
        <w:rPr>
          <w:b/>
          <w:sz w:val="20"/>
          <w:szCs w:val="20"/>
        </w:rPr>
      </w:pPr>
      <w:r w:rsidRPr="00F47F8E">
        <w:rPr>
          <w:color w:val="000000"/>
          <w:sz w:val="20"/>
          <w:szCs w:val="20"/>
        </w:rPr>
        <w:t>wskaz</w:t>
      </w:r>
      <w:r>
        <w:rPr>
          <w:color w:val="000000"/>
          <w:sz w:val="20"/>
          <w:szCs w:val="20"/>
        </w:rPr>
        <w:t>ane w stanie faktycznym budowle</w:t>
      </w:r>
      <w:r w:rsidRPr="00F47F8E">
        <w:rPr>
          <w:color w:val="000000"/>
          <w:sz w:val="20"/>
          <w:szCs w:val="20"/>
        </w:rPr>
        <w:t>, które należały do  Spółki w okresie od maja 2018 r. do sierpnia 2020 r., winny być</w:t>
      </w:r>
      <w:r>
        <w:rPr>
          <w:color w:val="000000"/>
          <w:sz w:val="20"/>
          <w:szCs w:val="20"/>
        </w:rPr>
        <w:t xml:space="preserve"> opodatkowane stawkami podatku o których mowa</w:t>
      </w:r>
      <w:r w:rsidR="00406669" w:rsidRPr="00F47F8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="00406669" w:rsidRPr="00F47F8E">
        <w:rPr>
          <w:color w:val="000000"/>
          <w:sz w:val="20"/>
          <w:szCs w:val="20"/>
        </w:rPr>
        <w:t>art. 5 ust</w:t>
      </w:r>
      <w:r w:rsidR="004B59E9">
        <w:rPr>
          <w:color w:val="000000"/>
          <w:sz w:val="20"/>
          <w:szCs w:val="20"/>
        </w:rPr>
        <w:t>.</w:t>
      </w:r>
      <w:r w:rsidR="00406669" w:rsidRPr="00F47F8E">
        <w:rPr>
          <w:color w:val="000000"/>
          <w:sz w:val="20"/>
          <w:szCs w:val="20"/>
        </w:rPr>
        <w:t xml:space="preserve"> 1 </w:t>
      </w:r>
      <w:proofErr w:type="spellStart"/>
      <w:r w:rsidR="00406669" w:rsidRPr="00F47F8E">
        <w:rPr>
          <w:color w:val="000000"/>
          <w:sz w:val="20"/>
          <w:szCs w:val="20"/>
        </w:rPr>
        <w:t>pkt</w:t>
      </w:r>
      <w:proofErr w:type="spellEnd"/>
      <w:r w:rsidR="00406669" w:rsidRPr="00F47F8E">
        <w:rPr>
          <w:color w:val="000000"/>
          <w:sz w:val="20"/>
          <w:szCs w:val="20"/>
        </w:rPr>
        <w:t xml:space="preserve"> 3 </w:t>
      </w:r>
      <w:proofErr w:type="spellStart"/>
      <w:r w:rsidR="00DE7DE6">
        <w:rPr>
          <w:color w:val="000000"/>
          <w:sz w:val="20"/>
          <w:szCs w:val="20"/>
        </w:rPr>
        <w:t>upol</w:t>
      </w:r>
      <w:proofErr w:type="spellEnd"/>
      <w:r w:rsidR="00406669" w:rsidRPr="00F47F8E">
        <w:rPr>
          <w:color w:val="000000"/>
          <w:sz w:val="20"/>
          <w:szCs w:val="20"/>
        </w:rPr>
        <w:t xml:space="preserve">, jako związane </w:t>
      </w:r>
      <w:r w:rsidR="00F47F8E">
        <w:rPr>
          <w:color w:val="000000"/>
          <w:sz w:val="20"/>
          <w:szCs w:val="20"/>
        </w:rPr>
        <w:br/>
      </w:r>
      <w:r w:rsidR="00406669" w:rsidRPr="00F47F8E">
        <w:rPr>
          <w:color w:val="000000"/>
          <w:sz w:val="20"/>
          <w:szCs w:val="20"/>
        </w:rPr>
        <w:t xml:space="preserve">w prowadzeniem działalności gospodarczej. </w:t>
      </w:r>
    </w:p>
    <w:p w:rsidR="00406669" w:rsidRPr="00F47F8E" w:rsidRDefault="00406669" w:rsidP="00F47F8E">
      <w:pPr>
        <w:pStyle w:val="14StanowiskoPodpisujacego"/>
        <w:suppressAutoHyphens/>
        <w:spacing w:line="360" w:lineRule="auto"/>
        <w:rPr>
          <w:b/>
          <w:color w:val="000000"/>
          <w:sz w:val="20"/>
          <w:szCs w:val="20"/>
        </w:rPr>
      </w:pPr>
    </w:p>
    <w:p w:rsidR="00406669" w:rsidRPr="00F47F8E" w:rsidRDefault="00406669" w:rsidP="00F47F8E">
      <w:pPr>
        <w:pStyle w:val="14StanowiskoPodpisujacego"/>
        <w:suppressAutoHyphens/>
        <w:spacing w:line="360" w:lineRule="auto"/>
        <w:rPr>
          <w:b/>
          <w:sz w:val="20"/>
          <w:szCs w:val="20"/>
        </w:rPr>
      </w:pPr>
    </w:p>
    <w:p w:rsidR="007B7EA1" w:rsidRPr="00F47F8E" w:rsidRDefault="007B7EA1" w:rsidP="00F47F8E">
      <w:pPr>
        <w:pStyle w:val="14StanowiskoPodpisujacego"/>
        <w:suppressAutoHyphens/>
        <w:spacing w:line="360" w:lineRule="auto"/>
        <w:jc w:val="center"/>
        <w:rPr>
          <w:b/>
          <w:sz w:val="20"/>
          <w:szCs w:val="20"/>
        </w:rPr>
      </w:pPr>
      <w:r w:rsidRPr="00F47F8E">
        <w:rPr>
          <w:b/>
          <w:sz w:val="20"/>
          <w:szCs w:val="20"/>
        </w:rPr>
        <w:t>U Z A S A D N I E N I E</w:t>
      </w:r>
    </w:p>
    <w:p w:rsidR="009E65B2" w:rsidRPr="00F47F8E" w:rsidRDefault="00C579C6" w:rsidP="00F47F8E">
      <w:pPr>
        <w:pStyle w:val="11Trescpisma"/>
        <w:spacing w:before="120" w:line="360" w:lineRule="auto"/>
        <w:rPr>
          <w:color w:val="000000"/>
          <w:szCs w:val="20"/>
        </w:rPr>
      </w:pPr>
      <w:r w:rsidRPr="00F47F8E">
        <w:rPr>
          <w:szCs w:val="20"/>
        </w:rPr>
        <w:t>W dni</w:t>
      </w:r>
      <w:r w:rsidR="009E65B2" w:rsidRPr="00F47F8E">
        <w:rPr>
          <w:szCs w:val="20"/>
        </w:rPr>
        <w:t>u 9</w:t>
      </w:r>
      <w:r w:rsidRPr="00F47F8E">
        <w:rPr>
          <w:szCs w:val="20"/>
        </w:rPr>
        <w:t xml:space="preserve"> </w:t>
      </w:r>
      <w:r w:rsidR="009E65B2" w:rsidRPr="00F47F8E">
        <w:rPr>
          <w:szCs w:val="20"/>
        </w:rPr>
        <w:t>listopada 2022</w:t>
      </w:r>
      <w:r w:rsidRPr="00F47F8E">
        <w:rPr>
          <w:szCs w:val="20"/>
        </w:rPr>
        <w:t xml:space="preserve"> r. do organu podatkowego wpłynął wniosek </w:t>
      </w:r>
      <w:proofErr w:type="spellStart"/>
      <w:r w:rsidR="009E65B2" w:rsidRPr="00EC1961">
        <w:rPr>
          <w:szCs w:val="20"/>
          <w:highlight w:val="black"/>
        </w:rPr>
        <w:t>Amrest</w:t>
      </w:r>
      <w:proofErr w:type="spellEnd"/>
      <w:r w:rsidR="009E65B2" w:rsidRPr="00EC1961">
        <w:rPr>
          <w:szCs w:val="20"/>
          <w:highlight w:val="black"/>
        </w:rPr>
        <w:t xml:space="preserve"> Sp. </w:t>
      </w:r>
      <w:r w:rsidR="00F47F8E" w:rsidRPr="00EC1961">
        <w:rPr>
          <w:szCs w:val="20"/>
          <w:highlight w:val="black"/>
        </w:rPr>
        <w:br/>
      </w:r>
      <w:r w:rsidR="009E65B2" w:rsidRPr="00EC1961">
        <w:rPr>
          <w:szCs w:val="20"/>
          <w:highlight w:val="black"/>
        </w:rPr>
        <w:t>z o.o.</w:t>
      </w:r>
      <w:r w:rsidRPr="00EC1961">
        <w:rPr>
          <w:szCs w:val="20"/>
          <w:highlight w:val="black"/>
        </w:rPr>
        <w:t>,</w:t>
      </w:r>
      <w:r w:rsidRPr="00F47F8E">
        <w:rPr>
          <w:szCs w:val="20"/>
        </w:rPr>
        <w:t xml:space="preserve"> o udzielenie pisemnej interpreta</w:t>
      </w:r>
      <w:r w:rsidR="00A5233B" w:rsidRPr="00F47F8E">
        <w:rPr>
          <w:szCs w:val="20"/>
        </w:rPr>
        <w:t>cji przepisów prawa podatkowego. Przedmiotem wniosku jest ocena</w:t>
      </w:r>
      <w:r w:rsidRPr="00F47F8E">
        <w:rPr>
          <w:szCs w:val="20"/>
        </w:rPr>
        <w:t xml:space="preserve"> czy </w:t>
      </w:r>
      <w:r w:rsidR="009E65B2" w:rsidRPr="00F47F8E">
        <w:rPr>
          <w:szCs w:val="20"/>
        </w:rPr>
        <w:t>grunty, budynki i budowle</w:t>
      </w:r>
      <w:r w:rsidRPr="00F47F8E">
        <w:rPr>
          <w:szCs w:val="20"/>
        </w:rPr>
        <w:t xml:space="preserve"> </w:t>
      </w:r>
      <w:r w:rsidR="009E65B2" w:rsidRPr="00F47F8E">
        <w:rPr>
          <w:color w:val="000000"/>
          <w:szCs w:val="20"/>
        </w:rPr>
        <w:t xml:space="preserve">które należały do  Spółki w okresie od maja 2018 r. do sierpnia 2020 r., i które nie były i nie mogły być przez Spółkę wykorzystywane do prowadzenia działalności gospodarczej </w:t>
      </w:r>
      <w:r w:rsidR="009E65B2" w:rsidRPr="00F47F8E">
        <w:rPr>
          <w:color w:val="000000"/>
          <w:szCs w:val="20"/>
        </w:rPr>
        <w:lastRenderedPageBreak/>
        <w:t>należy uznać w podanym okresie za związane z prowadzeniem działalności gospodarczej?</w:t>
      </w:r>
    </w:p>
    <w:p w:rsidR="00C579C6" w:rsidRPr="00F47F8E" w:rsidRDefault="00C579C6" w:rsidP="00F47F8E">
      <w:pPr>
        <w:pStyle w:val="14StanowiskoPodpisujacego"/>
        <w:suppressAutoHyphens/>
        <w:spacing w:line="360" w:lineRule="auto"/>
        <w:rPr>
          <w:sz w:val="20"/>
          <w:szCs w:val="20"/>
        </w:rPr>
      </w:pPr>
    </w:p>
    <w:p w:rsidR="009E65B2" w:rsidRPr="00F47F8E" w:rsidRDefault="00F2441D" w:rsidP="00F47F8E">
      <w:pPr>
        <w:pStyle w:val="Tekstpodstawowy"/>
        <w:suppressAutoHyphens/>
        <w:spacing w:line="360" w:lineRule="auto"/>
        <w:jc w:val="both"/>
        <w:rPr>
          <w:rFonts w:ascii="Verdana" w:hAnsi="Verdana"/>
          <w:sz w:val="20"/>
        </w:rPr>
      </w:pPr>
      <w:r w:rsidRPr="00F47F8E">
        <w:rPr>
          <w:rFonts w:ascii="Verdana" w:hAnsi="Verdana"/>
          <w:sz w:val="20"/>
        </w:rPr>
        <w:t xml:space="preserve">Wnioskodawca </w:t>
      </w:r>
      <w:r w:rsidR="00926D64" w:rsidRPr="00F47F8E">
        <w:rPr>
          <w:rFonts w:ascii="Verdana" w:hAnsi="Verdana"/>
          <w:sz w:val="20"/>
        </w:rPr>
        <w:t xml:space="preserve">przedstawił następujący stan faktyczny. </w:t>
      </w:r>
    </w:p>
    <w:p w:rsidR="00D33F3E" w:rsidRDefault="009E65B2" w:rsidP="00F47F8E">
      <w:pPr>
        <w:pStyle w:val="11Trescpisma"/>
        <w:spacing w:before="120" w:line="360" w:lineRule="auto"/>
        <w:rPr>
          <w:color w:val="000000"/>
          <w:szCs w:val="20"/>
        </w:rPr>
      </w:pPr>
      <w:r w:rsidRPr="00F47F8E">
        <w:rPr>
          <w:color w:val="000000"/>
          <w:szCs w:val="20"/>
        </w:rPr>
        <w:t xml:space="preserve">Spółka od maja 2018 r. do sierpnia 2020 r. opłacała podatek od nieruchomości za grunty, budynki i budowle zlokalizowane przy ul. </w:t>
      </w:r>
      <w:r w:rsidRPr="00EC1961">
        <w:rPr>
          <w:color w:val="000000"/>
          <w:szCs w:val="20"/>
          <w:highlight w:val="black"/>
        </w:rPr>
        <w:t>Traugutta 114-120</w:t>
      </w:r>
      <w:r w:rsidRPr="00F47F8E">
        <w:rPr>
          <w:color w:val="000000"/>
          <w:szCs w:val="20"/>
        </w:rPr>
        <w:t xml:space="preserve"> we Wrocławiu. Przedmioty opodatkowania, które spółka zgłosiła w deklaracji DN-1 wg stawek najwyższych, przewidzianych dla gruntów budynków i budowli związanych z prowadzeniem działalności gospodarczej, wchodziły w skład kompleksu dawnego szpitala </w:t>
      </w:r>
      <w:r w:rsidRPr="00EC1961">
        <w:rPr>
          <w:color w:val="000000"/>
          <w:szCs w:val="20"/>
          <w:highlight w:val="black"/>
        </w:rPr>
        <w:t>im. T. Marciniaka we</w:t>
      </w:r>
      <w:r w:rsidRPr="00F47F8E">
        <w:rPr>
          <w:color w:val="000000"/>
          <w:szCs w:val="20"/>
        </w:rPr>
        <w:t xml:space="preserve"> Wrocławiu. Sp</w:t>
      </w:r>
      <w:r w:rsidR="00E406FA">
        <w:rPr>
          <w:color w:val="000000"/>
          <w:szCs w:val="20"/>
        </w:rPr>
        <w:t xml:space="preserve">ółka zakupiła te nieruchomości </w:t>
      </w:r>
      <w:r w:rsidR="00995DC3">
        <w:rPr>
          <w:color w:val="000000"/>
          <w:szCs w:val="20"/>
        </w:rPr>
        <w:br/>
      </w:r>
      <w:r w:rsidRPr="00F47F8E">
        <w:rPr>
          <w:color w:val="000000"/>
          <w:szCs w:val="20"/>
        </w:rPr>
        <w:t xml:space="preserve">w celach inwestycyjnych, a gruntów budynków i budowli nie wykorzystywała do prowadzenia działalności gospodarczej. W czerwcu 2020 r. kompleks dawnego szpitala został przeniesiony do spółki </w:t>
      </w:r>
      <w:proofErr w:type="spellStart"/>
      <w:r w:rsidRPr="00995DC3">
        <w:rPr>
          <w:color w:val="000000"/>
          <w:szCs w:val="20"/>
          <w:highlight w:val="black"/>
        </w:rPr>
        <w:t>AmRest</w:t>
      </w:r>
      <w:proofErr w:type="spellEnd"/>
      <w:r w:rsidRPr="00995DC3">
        <w:rPr>
          <w:color w:val="000000"/>
          <w:szCs w:val="20"/>
          <w:highlight w:val="black"/>
        </w:rPr>
        <w:t xml:space="preserve"> Traugutta sp. z o.o.,</w:t>
      </w:r>
      <w:r w:rsidRPr="00F47F8E">
        <w:rPr>
          <w:color w:val="000000"/>
          <w:szCs w:val="20"/>
        </w:rPr>
        <w:t xml:space="preserve"> która zajmowała się działalnością inwestycyjną tj. kupnem i sprzedażą nieruchomościami wg Polskiej Klasyfikacji Działalności Gospodarczej (PKD). Dnia 15 grudnia 2020 r. nastąpiło połączenie poprzez przejęcie </w:t>
      </w:r>
      <w:proofErr w:type="spellStart"/>
      <w:r w:rsidRPr="00995DC3">
        <w:rPr>
          <w:color w:val="000000"/>
          <w:szCs w:val="20"/>
          <w:highlight w:val="black"/>
        </w:rPr>
        <w:t>AmRest</w:t>
      </w:r>
      <w:proofErr w:type="spellEnd"/>
      <w:r w:rsidRPr="00995DC3">
        <w:rPr>
          <w:color w:val="000000"/>
          <w:szCs w:val="20"/>
          <w:highlight w:val="black"/>
        </w:rPr>
        <w:t xml:space="preserve"> Traugutta sp. z o.o.</w:t>
      </w:r>
      <w:r w:rsidRPr="00F47F8E">
        <w:rPr>
          <w:color w:val="000000"/>
          <w:szCs w:val="20"/>
        </w:rPr>
        <w:t xml:space="preserve"> przez </w:t>
      </w:r>
      <w:proofErr w:type="spellStart"/>
      <w:r w:rsidRPr="00995DC3">
        <w:rPr>
          <w:color w:val="000000"/>
          <w:szCs w:val="20"/>
          <w:highlight w:val="black"/>
        </w:rPr>
        <w:t>AmRest</w:t>
      </w:r>
      <w:proofErr w:type="spellEnd"/>
      <w:r w:rsidRPr="00995DC3">
        <w:rPr>
          <w:color w:val="000000"/>
          <w:szCs w:val="20"/>
          <w:highlight w:val="black"/>
        </w:rPr>
        <w:t xml:space="preserve"> sp. z o.o</w:t>
      </w:r>
      <w:r w:rsidRPr="00F47F8E">
        <w:rPr>
          <w:color w:val="000000"/>
          <w:szCs w:val="20"/>
        </w:rPr>
        <w:t xml:space="preserve">., a nieruchomości wchodzące w skład dawnego szpitala zostały sprzedane niepowiązanemu podmiotowi. </w:t>
      </w:r>
      <w:r w:rsidR="00D33F3E" w:rsidRPr="00F47F8E">
        <w:rPr>
          <w:color w:val="000000"/>
          <w:szCs w:val="20"/>
        </w:rPr>
        <w:t xml:space="preserve">W ocenie wnioskodawcy, który zajmuję się wyłącznie działalnością wokół branży gastronomicznej, nieruchomości w złym stanie technicznym po zlikwidowanym szpitalu nie mogły być wykorzystywane </w:t>
      </w:r>
      <w:r w:rsidR="00D14181">
        <w:rPr>
          <w:color w:val="000000"/>
          <w:szCs w:val="20"/>
        </w:rPr>
        <w:br/>
      </w:r>
      <w:r w:rsidR="00D33F3E" w:rsidRPr="00F47F8E">
        <w:rPr>
          <w:color w:val="000000"/>
          <w:szCs w:val="20"/>
        </w:rPr>
        <w:t xml:space="preserve">w działalności spółki. Ponadto budynki A, B i D szpitala zostały wpisane do rejestru zabytków, co ograniczyło możliwość ich adaptacji na działalność spółki. </w:t>
      </w:r>
    </w:p>
    <w:p w:rsidR="00F813B5" w:rsidRPr="00F813B5" w:rsidRDefault="00921AD0" w:rsidP="006D0ADB">
      <w:pPr>
        <w:pStyle w:val="11Trescpisma"/>
        <w:spacing w:before="120" w:line="360" w:lineRule="auto"/>
        <w:rPr>
          <w:rFonts w:eastAsia="Calibri"/>
          <w:szCs w:val="24"/>
          <w:lang w:eastAsia="en-US"/>
        </w:rPr>
      </w:pPr>
      <w:r>
        <w:rPr>
          <w:color w:val="000000"/>
        </w:rPr>
        <w:t>Odnosząc się do definicji legalnej gruntów budynków i budowli zawartej w ustawie z dnia 12 stycznia 1991 r. o podatkach i opłatach lokalnych Wnioskod</w:t>
      </w:r>
      <w:r w:rsidR="00FE4077">
        <w:rPr>
          <w:color w:val="000000"/>
        </w:rPr>
        <w:t>awca przywołał wyrok Trybunału K</w:t>
      </w:r>
      <w:r>
        <w:rPr>
          <w:color w:val="000000"/>
        </w:rPr>
        <w:t xml:space="preserve">onstytucyjnego z dnia 24 lutego 2021 r. SK/39/19, który stwierdził, że </w:t>
      </w:r>
      <w:r>
        <w:rPr>
          <w:bCs/>
        </w:rPr>
        <w:t>"</w:t>
      </w:r>
      <w:r w:rsidRPr="00C412EE">
        <w:rPr>
          <w:bCs/>
        </w:rPr>
        <w:t>Art. 1a ust. 1</w:t>
      </w:r>
      <w:r>
        <w:rPr>
          <w:bCs/>
        </w:rPr>
        <w:t xml:space="preserve"> </w:t>
      </w:r>
      <w:proofErr w:type="spellStart"/>
      <w:r w:rsidRPr="00C412EE">
        <w:rPr>
          <w:bCs/>
        </w:rPr>
        <w:t>pkt</w:t>
      </w:r>
      <w:proofErr w:type="spellEnd"/>
      <w:r w:rsidRPr="00C412EE">
        <w:rPr>
          <w:bCs/>
        </w:rPr>
        <w:t xml:space="preserve"> 3 ustawy z dnia 12 stycznia 1991 r. </w:t>
      </w:r>
      <w:r>
        <w:rPr>
          <w:bCs/>
        </w:rPr>
        <w:br/>
      </w:r>
      <w:r w:rsidRPr="00C412EE">
        <w:rPr>
          <w:bCs/>
        </w:rPr>
        <w:t>o podatkach i opłatach lokalnych (Dz. U. z 2019 r. poz. 1170)</w:t>
      </w:r>
      <w:r>
        <w:rPr>
          <w:bCs/>
        </w:rPr>
        <w:t xml:space="preserve"> </w:t>
      </w:r>
      <w:r w:rsidRPr="00C412EE">
        <w:rPr>
          <w:bCs/>
        </w:rPr>
        <w:t xml:space="preserve">rozumiany w ten sposób, </w:t>
      </w:r>
      <w:r w:rsidRPr="00C412EE">
        <w:rPr>
          <w:rFonts w:cs="TimesNewRoman"/>
          <w:bCs/>
        </w:rPr>
        <w:t>ż</w:t>
      </w:r>
      <w:r w:rsidRPr="00C412EE">
        <w:rPr>
          <w:bCs/>
        </w:rPr>
        <w:t>e o zwi</w:t>
      </w:r>
      <w:r w:rsidRPr="00C412EE">
        <w:rPr>
          <w:rFonts w:cs="TimesNewRoman"/>
          <w:bCs/>
        </w:rPr>
        <w:t>ą</w:t>
      </w:r>
      <w:r w:rsidRPr="00C412EE">
        <w:rPr>
          <w:bCs/>
        </w:rPr>
        <w:t>zaniu gruntu, budynku lub budowli z prowadzeniem działalno</w:t>
      </w:r>
      <w:r w:rsidRPr="00C412EE">
        <w:rPr>
          <w:rFonts w:cs="TimesNewRoman"/>
          <w:bCs/>
        </w:rPr>
        <w:t>ś</w:t>
      </w:r>
      <w:r w:rsidRPr="00C412EE">
        <w:rPr>
          <w:bCs/>
        </w:rPr>
        <w:t>ci</w:t>
      </w:r>
      <w:r>
        <w:rPr>
          <w:bCs/>
        </w:rPr>
        <w:t xml:space="preserve"> </w:t>
      </w:r>
      <w:r w:rsidRPr="00C412EE">
        <w:rPr>
          <w:bCs/>
        </w:rPr>
        <w:t>gospodarczej decyduje wył</w:t>
      </w:r>
      <w:r w:rsidRPr="00C412EE">
        <w:rPr>
          <w:rFonts w:cs="TimesNewRoman"/>
          <w:bCs/>
        </w:rPr>
        <w:t>ą</w:t>
      </w:r>
      <w:r w:rsidRPr="00C412EE">
        <w:rPr>
          <w:bCs/>
        </w:rPr>
        <w:t>cznie posiadanie gruntu, budynku lub budowli przez przedsi</w:t>
      </w:r>
      <w:r w:rsidRPr="00C412EE">
        <w:rPr>
          <w:rFonts w:cs="TimesNewRoman"/>
          <w:bCs/>
        </w:rPr>
        <w:t>ę</w:t>
      </w:r>
      <w:r w:rsidRPr="00C412EE">
        <w:rPr>
          <w:bCs/>
        </w:rPr>
        <w:t>biorc</w:t>
      </w:r>
      <w:r w:rsidRPr="00C412EE">
        <w:rPr>
          <w:rFonts w:cs="TimesNewRoman"/>
          <w:bCs/>
        </w:rPr>
        <w:t xml:space="preserve">ę </w:t>
      </w:r>
      <w:r w:rsidRPr="00C412EE">
        <w:rPr>
          <w:bCs/>
        </w:rPr>
        <w:t>lub inny</w:t>
      </w:r>
      <w:r>
        <w:rPr>
          <w:bCs/>
        </w:rPr>
        <w:t xml:space="preserve"> </w:t>
      </w:r>
      <w:r w:rsidRPr="00C412EE">
        <w:rPr>
          <w:bCs/>
        </w:rPr>
        <w:t>podmiot prowadz</w:t>
      </w:r>
      <w:r w:rsidRPr="00C412EE">
        <w:rPr>
          <w:rFonts w:cs="TimesNewRoman"/>
          <w:bCs/>
        </w:rPr>
        <w:t>ą</w:t>
      </w:r>
      <w:r w:rsidRPr="00C412EE">
        <w:rPr>
          <w:bCs/>
        </w:rPr>
        <w:t>cy działalno</w:t>
      </w:r>
      <w:r w:rsidRPr="00C412EE">
        <w:rPr>
          <w:rFonts w:cs="TimesNewRoman"/>
          <w:bCs/>
        </w:rPr>
        <w:t xml:space="preserve">ść </w:t>
      </w:r>
      <w:r w:rsidRPr="00C412EE">
        <w:rPr>
          <w:bCs/>
        </w:rPr>
        <w:t>gospodarcz</w:t>
      </w:r>
      <w:r w:rsidRPr="00C412EE">
        <w:rPr>
          <w:rFonts w:cs="TimesNewRoman"/>
          <w:bCs/>
        </w:rPr>
        <w:t>ą</w:t>
      </w:r>
      <w:r w:rsidRPr="00C412EE">
        <w:rPr>
          <w:bCs/>
        </w:rPr>
        <w:t>, jest niezgodny z art. 64 ust. 1 w zwi</w:t>
      </w:r>
      <w:r w:rsidRPr="00C412EE">
        <w:rPr>
          <w:rFonts w:cs="TimesNewRoman"/>
          <w:bCs/>
        </w:rPr>
        <w:t>ą</w:t>
      </w:r>
      <w:r w:rsidRPr="00C412EE">
        <w:rPr>
          <w:bCs/>
        </w:rPr>
        <w:t>zku z art. 31 ust. 3 i art. 84</w:t>
      </w:r>
      <w:r>
        <w:rPr>
          <w:bCs/>
        </w:rPr>
        <w:t xml:space="preserve"> </w:t>
      </w:r>
      <w:r w:rsidRPr="00C412EE">
        <w:rPr>
          <w:bCs/>
        </w:rPr>
        <w:t>Konstytucji Rzeczypospolitej Polskiej.".</w:t>
      </w:r>
      <w:r>
        <w:rPr>
          <w:bCs/>
        </w:rPr>
        <w:t xml:space="preserve"> W uzasadnieniu wyroku Trybunał stwierdził, że "(...) </w:t>
      </w:r>
      <w:r w:rsidRPr="00F36FEA">
        <w:rPr>
          <w:rFonts w:eastAsia="Calibri"/>
          <w:szCs w:val="24"/>
          <w:lang w:eastAsia="en-US"/>
        </w:rPr>
        <w:t>przedsiębiorcy nie mogą być obciążani wyższą stawką podatku jedynie z powodu posiadania nieruchomości, które nie służą im do prowadzenia działalności gospodarczej</w:t>
      </w:r>
      <w:r w:rsidRPr="00013860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". Następnie we wniosku przywołano szereg orzeczeń sądów administracyjnych, które potwierdzały, że sam fakt posiadania nieruchomości przez przedsiębiorcę jest niewystarczający do opodatkowania gruntów budynków </w:t>
      </w:r>
      <w:r>
        <w:rPr>
          <w:rFonts w:eastAsia="Calibri"/>
          <w:szCs w:val="24"/>
          <w:lang w:eastAsia="en-US"/>
        </w:rPr>
        <w:br/>
        <w:t xml:space="preserve">i budowli przedsiębiorcy stawkami najwyższymi. </w:t>
      </w:r>
    </w:p>
    <w:p w:rsidR="006D0ADB" w:rsidRDefault="006D0ADB" w:rsidP="005E7BA5">
      <w:pPr>
        <w:pStyle w:val="11Trescpisma"/>
        <w:spacing w:before="120" w:line="360" w:lineRule="auto"/>
      </w:pPr>
      <w:r>
        <w:rPr>
          <w:color w:val="000000"/>
        </w:rPr>
        <w:lastRenderedPageBreak/>
        <w:t xml:space="preserve">Wraz ze złożonym wnioskiem pełnomocnik Wnioskodawcy oświadczył, </w:t>
      </w:r>
      <w:r>
        <w:t>że elementy stanu faktycznego objęte wnioskiem o wydanie interpretacji w dniu złożenia wniosku nie są przedmiotem toczącego się postępowania podatkowego, kontroli podatkowej, kontroli celno-skarbowej oraz że w tym zakresie sprawa nie została rozstrzygnięta co do jej istoty w decyzji lub postanowieniu organu podatkowego. W razie złożenia fałszywego oświadczenia wydana interpretacja indywidualna nie wywołuje skutków prawnych.</w:t>
      </w:r>
    </w:p>
    <w:p w:rsidR="00C946EC" w:rsidRDefault="00C946EC" w:rsidP="00D14181">
      <w:pPr>
        <w:pStyle w:val="11Trescpisma"/>
        <w:spacing w:before="120" w:line="360" w:lineRule="auto"/>
        <w:rPr>
          <w:szCs w:val="20"/>
        </w:rPr>
      </w:pPr>
    </w:p>
    <w:p w:rsidR="00383E2C" w:rsidRPr="00C946EC" w:rsidRDefault="00C946EC" w:rsidP="00D14181">
      <w:pPr>
        <w:pStyle w:val="11Trescpisma"/>
        <w:spacing w:before="120" w:line="360" w:lineRule="auto"/>
        <w:rPr>
          <w:b/>
          <w:szCs w:val="20"/>
        </w:rPr>
      </w:pPr>
      <w:r>
        <w:rPr>
          <w:b/>
          <w:szCs w:val="20"/>
        </w:rPr>
        <w:t>Ad I</w:t>
      </w:r>
    </w:p>
    <w:p w:rsidR="00D14181" w:rsidRPr="00D14181" w:rsidRDefault="00383E2C" w:rsidP="00D14181">
      <w:pPr>
        <w:pStyle w:val="11Trescpisma"/>
        <w:spacing w:before="120" w:line="360" w:lineRule="auto"/>
        <w:rPr>
          <w:color w:val="000000"/>
          <w:szCs w:val="20"/>
        </w:rPr>
      </w:pPr>
      <w:r>
        <w:rPr>
          <w:szCs w:val="20"/>
        </w:rPr>
        <w:t xml:space="preserve">W przedmiocie pytania nr 2 wnioskodawcy </w:t>
      </w:r>
      <w:r w:rsidRPr="00D14181">
        <w:rPr>
          <w:szCs w:val="20"/>
        </w:rPr>
        <w:t>tutejszy organ podatkowy</w:t>
      </w:r>
      <w:r>
        <w:rPr>
          <w:szCs w:val="20"/>
        </w:rPr>
        <w:t>, p</w:t>
      </w:r>
      <w:r w:rsidR="00D14181" w:rsidRPr="00D14181">
        <w:rPr>
          <w:szCs w:val="20"/>
        </w:rPr>
        <w:t>o przeanalizowaniu złożonego wniosku</w:t>
      </w:r>
      <w:r w:rsidR="00C946EC">
        <w:rPr>
          <w:szCs w:val="20"/>
        </w:rPr>
        <w:t>,</w:t>
      </w:r>
      <w:r w:rsidR="00D14181" w:rsidRPr="00D14181">
        <w:rPr>
          <w:szCs w:val="20"/>
        </w:rPr>
        <w:t xml:space="preserve"> ustalił, że nie jest uprawniony do wydania interpretacji indywidualnej przepisów prawa podatkowego w części dot. oceny </w:t>
      </w:r>
      <w:r w:rsidR="00D14181" w:rsidRPr="003A3AEF">
        <w:rPr>
          <w:szCs w:val="20"/>
        </w:rPr>
        <w:t>właściwej stawki podatku dla opisanych budynków,</w:t>
      </w:r>
      <w:r w:rsidR="00D14181" w:rsidRPr="00D14181">
        <w:rPr>
          <w:szCs w:val="20"/>
        </w:rPr>
        <w:t xml:space="preserve"> ponieważ sprawa opodatkowania nieruchomości</w:t>
      </w:r>
      <w:r w:rsidR="00804E33">
        <w:rPr>
          <w:szCs w:val="20"/>
        </w:rPr>
        <w:t xml:space="preserve"> (budynków)</w:t>
      </w:r>
      <w:r w:rsidR="00D14181" w:rsidRPr="00D14181">
        <w:rPr>
          <w:szCs w:val="20"/>
        </w:rPr>
        <w:t xml:space="preserve"> położonych we Wrocławiu </w:t>
      </w:r>
      <w:r w:rsidR="00D14181" w:rsidRPr="00D14181">
        <w:rPr>
          <w:color w:val="000000"/>
          <w:szCs w:val="20"/>
        </w:rPr>
        <w:t xml:space="preserve">przy ul. </w:t>
      </w:r>
      <w:r w:rsidR="00D14181" w:rsidRPr="00995DC3">
        <w:rPr>
          <w:color w:val="000000"/>
          <w:szCs w:val="20"/>
          <w:highlight w:val="black"/>
        </w:rPr>
        <w:t>T</w:t>
      </w:r>
      <w:r w:rsidR="008C1BD8" w:rsidRPr="00995DC3">
        <w:rPr>
          <w:color w:val="000000"/>
          <w:szCs w:val="20"/>
          <w:highlight w:val="black"/>
        </w:rPr>
        <w:t>r</w:t>
      </w:r>
      <w:r w:rsidR="00D14181" w:rsidRPr="00995DC3">
        <w:rPr>
          <w:color w:val="000000"/>
          <w:szCs w:val="20"/>
          <w:highlight w:val="black"/>
        </w:rPr>
        <w:t>augutta 114-120</w:t>
      </w:r>
      <w:r w:rsidR="00D14181" w:rsidRPr="00D14181">
        <w:rPr>
          <w:color w:val="000000"/>
          <w:szCs w:val="20"/>
        </w:rPr>
        <w:t xml:space="preserve"> w okresie maj 2018 – sierpień 2020</w:t>
      </w:r>
      <w:r w:rsidR="00D14181" w:rsidRPr="00D14181">
        <w:rPr>
          <w:b/>
          <w:color w:val="000000"/>
          <w:szCs w:val="20"/>
        </w:rPr>
        <w:t xml:space="preserve"> </w:t>
      </w:r>
      <w:r w:rsidR="00D14181" w:rsidRPr="00D14181">
        <w:rPr>
          <w:color w:val="000000"/>
          <w:szCs w:val="20"/>
        </w:rPr>
        <w:t>została ostatecznie rozstrzygnięta prawomocnymi decyzjami</w:t>
      </w:r>
      <w:r w:rsidR="00F813B5">
        <w:rPr>
          <w:color w:val="000000"/>
          <w:szCs w:val="20"/>
        </w:rPr>
        <w:t xml:space="preserve"> z dnia 30 czerwca 2022 r. znak </w:t>
      </w:r>
      <w:r w:rsidR="00995DC3">
        <w:rPr>
          <w:color w:val="000000"/>
          <w:szCs w:val="20"/>
        </w:rPr>
        <w:br/>
      </w:r>
      <w:r w:rsidR="003A3AEF" w:rsidRPr="003A3AEF">
        <w:rPr>
          <w:color w:val="000000"/>
          <w:szCs w:val="20"/>
        </w:rPr>
        <w:t>WPO-DNT.3120.1.15.2022.JT</w:t>
      </w:r>
      <w:r w:rsidR="00F813B5">
        <w:rPr>
          <w:color w:val="000000"/>
          <w:szCs w:val="20"/>
        </w:rPr>
        <w:t>,</w:t>
      </w:r>
      <w:r w:rsidR="00995DC3">
        <w:rPr>
          <w:color w:val="000000"/>
          <w:szCs w:val="20"/>
        </w:rPr>
        <w:t xml:space="preserve"> </w:t>
      </w:r>
      <w:r w:rsidR="003A3AEF" w:rsidRPr="003A3AEF">
        <w:rPr>
          <w:color w:val="000000"/>
          <w:szCs w:val="20"/>
        </w:rPr>
        <w:t>WPO-DNT.3120.1.1</w:t>
      </w:r>
      <w:r w:rsidR="003A3AEF">
        <w:rPr>
          <w:color w:val="000000"/>
          <w:szCs w:val="20"/>
        </w:rPr>
        <w:t>6</w:t>
      </w:r>
      <w:r w:rsidR="003A3AEF" w:rsidRPr="003A3AEF">
        <w:rPr>
          <w:color w:val="000000"/>
          <w:szCs w:val="20"/>
        </w:rPr>
        <w:t>.2022.JT</w:t>
      </w:r>
      <w:r w:rsidR="003A3AEF">
        <w:rPr>
          <w:color w:val="000000"/>
          <w:szCs w:val="20"/>
        </w:rPr>
        <w:t xml:space="preserve"> i </w:t>
      </w:r>
      <w:r w:rsidR="00995DC3">
        <w:rPr>
          <w:color w:val="000000"/>
          <w:szCs w:val="20"/>
        </w:rPr>
        <w:t>WPO-</w:t>
      </w:r>
      <w:r w:rsidR="003A3AEF" w:rsidRPr="003A3AEF">
        <w:rPr>
          <w:color w:val="000000"/>
          <w:szCs w:val="20"/>
        </w:rPr>
        <w:t>DNT.3120.1.1</w:t>
      </w:r>
      <w:r w:rsidR="003A3AEF">
        <w:rPr>
          <w:color w:val="000000"/>
          <w:szCs w:val="20"/>
        </w:rPr>
        <w:t>7</w:t>
      </w:r>
      <w:r w:rsidR="003A3AEF" w:rsidRPr="003A3AEF">
        <w:rPr>
          <w:color w:val="000000"/>
          <w:szCs w:val="20"/>
        </w:rPr>
        <w:t>.2022.JT</w:t>
      </w:r>
      <w:r w:rsidR="00D14181" w:rsidRPr="00D14181">
        <w:rPr>
          <w:color w:val="000000"/>
          <w:szCs w:val="20"/>
        </w:rPr>
        <w:t xml:space="preserve"> określającymi wysokość zobowiązania podatkowego </w:t>
      </w:r>
      <w:r w:rsidR="00995DC3">
        <w:rPr>
          <w:color w:val="000000"/>
          <w:szCs w:val="20"/>
        </w:rPr>
        <w:br/>
      </w:r>
      <w:r w:rsidR="00D14181" w:rsidRPr="00D14181">
        <w:rPr>
          <w:color w:val="000000"/>
          <w:szCs w:val="20"/>
        </w:rPr>
        <w:t xml:space="preserve">z tytułu podatku od nieruchomości. </w:t>
      </w:r>
    </w:p>
    <w:p w:rsidR="00D14181" w:rsidRPr="00D14181" w:rsidRDefault="00D14181" w:rsidP="005E7BA5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 xml:space="preserve">Interpretacja indywidualna wydawana jest na podstawie okoliczności faktycznych ujawnianych przez zainteresowanego w treści wniosku o jej wydanie. Wnioskujący </w:t>
      </w:r>
      <w:r w:rsidRPr="00D14181">
        <w:rPr>
          <w:rFonts w:ascii="Verdana" w:hAnsi="Verdana"/>
          <w:color w:val="000000"/>
          <w:sz w:val="20"/>
          <w:szCs w:val="20"/>
        </w:rPr>
        <w:br/>
        <w:t xml:space="preserve">o wydanie interpretacji zobowiązany jest - na mocy </w:t>
      </w:r>
      <w:r w:rsidRPr="00D14181">
        <w:rPr>
          <w:rFonts w:ascii="Verdana" w:hAnsi="Verdana"/>
          <w:color w:val="1B1B1B"/>
          <w:sz w:val="20"/>
          <w:szCs w:val="20"/>
        </w:rPr>
        <w:t>art. 14b § 4</w:t>
      </w:r>
      <w:r w:rsidRPr="00D14181">
        <w:rPr>
          <w:rFonts w:ascii="Verdana" w:hAnsi="Verdana"/>
          <w:color w:val="000000"/>
          <w:sz w:val="20"/>
          <w:szCs w:val="20"/>
        </w:rPr>
        <w:t xml:space="preserve"> tej ustawy - złożyć oświadczenie pod rygorem odpowiedzialności karnej za fałszywe zeznania, że elementy stanu faktycznego objęte wnioskiem o wydanie interpretacji w dniu złożenia wniosku nie są przedmiotem toczącego się postępowania podatkowego, kontroli podatkowej, postępowania kontrolnego organu kontroli skarbowej oraz że w tym zakresie sprawa nie została rozstrzygnięta co do jej istoty w decyzji lub postanowieniu organu podatkowego lub organu kontroli skarbowej. W razie złożenia fałszywego oświadczenia wydana interpretacja indywidualna nie wywołuje skutków prawnych. W przypadku natomiast, gdy z treści złożonego wniosku wynika, że wystąpiła którakolwiek z okoliczności wymienionych w </w:t>
      </w:r>
      <w:r w:rsidRPr="00D14181">
        <w:rPr>
          <w:rFonts w:ascii="Verdana" w:hAnsi="Verdana"/>
          <w:color w:val="1B1B1B"/>
          <w:sz w:val="20"/>
          <w:szCs w:val="20"/>
        </w:rPr>
        <w:t>art. 14b § 5</w:t>
      </w:r>
      <w:r w:rsidRPr="00D14181">
        <w:rPr>
          <w:rFonts w:ascii="Verdana" w:hAnsi="Verdana"/>
          <w:color w:val="000000"/>
          <w:sz w:val="20"/>
          <w:szCs w:val="20"/>
        </w:rPr>
        <w:t xml:space="preserve"> Ordynacji podatkowej, stanowi to podstawę dla odmowy wszczęcia postępowania </w:t>
      </w:r>
      <w:r w:rsidRPr="00D14181">
        <w:rPr>
          <w:rFonts w:ascii="Verdana" w:hAnsi="Verdana"/>
          <w:color w:val="000000"/>
          <w:sz w:val="20"/>
          <w:szCs w:val="20"/>
        </w:rPr>
        <w:br/>
        <w:t>w sprawie wydania pisemnej interpretacji przepisów prawa podatkowego (art. 14 h</w:t>
      </w:r>
      <w:r w:rsidRPr="00D14181">
        <w:rPr>
          <w:rFonts w:ascii="Verdana" w:hAnsi="Verdana"/>
          <w:sz w:val="20"/>
          <w:szCs w:val="20"/>
        </w:rPr>
        <w:t xml:space="preserve"> w związku z art. 165a § 1 </w:t>
      </w:r>
      <w:r w:rsidRPr="00D14181">
        <w:rPr>
          <w:rFonts w:ascii="Verdana" w:hAnsi="Verdana"/>
          <w:color w:val="000000"/>
          <w:sz w:val="20"/>
          <w:szCs w:val="20"/>
        </w:rPr>
        <w:t>ustawy Ordynacja podatkowa).</w:t>
      </w:r>
    </w:p>
    <w:p w:rsidR="00D14181" w:rsidRPr="00D14181" w:rsidRDefault="00D14181" w:rsidP="00D14181">
      <w:pPr>
        <w:pStyle w:val="11Trescpisma"/>
        <w:spacing w:before="120" w:line="360" w:lineRule="auto"/>
        <w:rPr>
          <w:szCs w:val="20"/>
        </w:rPr>
      </w:pPr>
      <w:r w:rsidRPr="005E7BA5">
        <w:rPr>
          <w:color w:val="000000"/>
          <w:szCs w:val="20"/>
        </w:rPr>
        <w:t>Decyzje z dnia 30 czerwca</w:t>
      </w:r>
      <w:r w:rsidRPr="00D14181">
        <w:rPr>
          <w:color w:val="000000"/>
          <w:szCs w:val="20"/>
        </w:rPr>
        <w:t xml:space="preserve"> 2022 r. znak </w:t>
      </w:r>
      <w:r w:rsidR="005E7BA5" w:rsidRPr="003A3AEF">
        <w:rPr>
          <w:color w:val="000000"/>
          <w:szCs w:val="20"/>
        </w:rPr>
        <w:t>WPO-DNT.3120.1.15.2022.JT</w:t>
      </w:r>
      <w:r w:rsidR="005E7BA5">
        <w:rPr>
          <w:color w:val="000000"/>
          <w:szCs w:val="20"/>
        </w:rPr>
        <w:t xml:space="preserve">, </w:t>
      </w:r>
      <w:r w:rsidR="005E7BA5" w:rsidRPr="003A3AEF">
        <w:rPr>
          <w:color w:val="000000"/>
          <w:szCs w:val="20"/>
        </w:rPr>
        <w:t>WPO-DNT.3120.1.1</w:t>
      </w:r>
      <w:r w:rsidR="005E7BA5">
        <w:rPr>
          <w:color w:val="000000"/>
          <w:szCs w:val="20"/>
        </w:rPr>
        <w:t>6</w:t>
      </w:r>
      <w:r w:rsidR="005E7BA5" w:rsidRPr="003A3AEF">
        <w:rPr>
          <w:color w:val="000000"/>
          <w:szCs w:val="20"/>
        </w:rPr>
        <w:t>.2022.JT</w:t>
      </w:r>
      <w:r w:rsidR="005E7BA5">
        <w:rPr>
          <w:color w:val="000000"/>
          <w:szCs w:val="20"/>
        </w:rPr>
        <w:t xml:space="preserve"> i </w:t>
      </w:r>
      <w:r w:rsidR="005E7BA5" w:rsidRPr="003A3AEF">
        <w:rPr>
          <w:color w:val="000000"/>
          <w:szCs w:val="20"/>
        </w:rPr>
        <w:t>WPO-DNT.3120.1.1</w:t>
      </w:r>
      <w:r w:rsidR="005E7BA5">
        <w:rPr>
          <w:color w:val="000000"/>
          <w:szCs w:val="20"/>
        </w:rPr>
        <w:t>7</w:t>
      </w:r>
      <w:r w:rsidR="005E7BA5" w:rsidRPr="003A3AEF">
        <w:rPr>
          <w:color w:val="000000"/>
          <w:szCs w:val="20"/>
        </w:rPr>
        <w:t>.2022.JT</w:t>
      </w:r>
      <w:r w:rsidRPr="00D14181">
        <w:rPr>
          <w:szCs w:val="20"/>
        </w:rPr>
        <w:t xml:space="preserve"> </w:t>
      </w:r>
      <w:r w:rsidRPr="00D14181">
        <w:rPr>
          <w:color w:val="000000"/>
          <w:szCs w:val="20"/>
        </w:rPr>
        <w:t xml:space="preserve">zostały wydane </w:t>
      </w:r>
      <w:r w:rsidRPr="00D14181">
        <w:rPr>
          <w:color w:val="000000"/>
          <w:szCs w:val="20"/>
        </w:rPr>
        <w:br/>
        <w:t>w odpowiedzi na wniosek Spółki, który wszczął pos</w:t>
      </w:r>
      <w:r w:rsidR="006D0ADB">
        <w:rPr>
          <w:color w:val="000000"/>
          <w:szCs w:val="20"/>
        </w:rPr>
        <w:t>tępowanie w sprawie stwierdzenia</w:t>
      </w:r>
      <w:r w:rsidRPr="00D14181">
        <w:rPr>
          <w:color w:val="000000"/>
          <w:szCs w:val="20"/>
        </w:rPr>
        <w:t xml:space="preserve"> nadpłaty z tytułu podatku od nieruchomości za lata 2018 - 2020. </w:t>
      </w:r>
      <w:r w:rsidRPr="00D14181">
        <w:rPr>
          <w:color w:val="000000"/>
          <w:szCs w:val="20"/>
        </w:rPr>
        <w:lastRenderedPageBreak/>
        <w:t xml:space="preserve">Spółka do tego wniosku dołączyła skorygowane deklaracje na podatek od nieruchomości i wskazała na nadpłatę z tytułu podatku od nieruchomości związaną z faktem, że budynki A, B i D szpitala zostały wpisane do rejestru zabytków </w:t>
      </w:r>
      <w:r>
        <w:rPr>
          <w:color w:val="000000"/>
          <w:szCs w:val="20"/>
        </w:rPr>
        <w:br/>
      </w:r>
      <w:r w:rsidRPr="00D14181">
        <w:rPr>
          <w:color w:val="000000"/>
          <w:szCs w:val="20"/>
        </w:rPr>
        <w:t xml:space="preserve">i winny podlegać zwolnieniu od podatku na podstawie art. 7 ust. 1 </w:t>
      </w:r>
      <w:proofErr w:type="spellStart"/>
      <w:r w:rsidRPr="00D14181">
        <w:rPr>
          <w:color w:val="000000"/>
          <w:szCs w:val="20"/>
        </w:rPr>
        <w:t>pkt</w:t>
      </w:r>
      <w:proofErr w:type="spellEnd"/>
      <w:r w:rsidRPr="00D14181">
        <w:rPr>
          <w:color w:val="000000"/>
          <w:szCs w:val="20"/>
        </w:rPr>
        <w:t xml:space="preserve"> 6 </w:t>
      </w:r>
      <w:proofErr w:type="spellStart"/>
      <w:r w:rsidR="00DE7DE6">
        <w:rPr>
          <w:color w:val="000000"/>
          <w:szCs w:val="20"/>
        </w:rPr>
        <w:t>upol</w:t>
      </w:r>
      <w:proofErr w:type="spellEnd"/>
      <w:r w:rsidRPr="00D14181">
        <w:rPr>
          <w:color w:val="000000"/>
          <w:szCs w:val="20"/>
        </w:rPr>
        <w:t xml:space="preserve">. </w:t>
      </w:r>
    </w:p>
    <w:p w:rsidR="00D14181" w:rsidRPr="00D14181" w:rsidRDefault="00D14181" w:rsidP="00D14181">
      <w:pPr>
        <w:pStyle w:val="11Trescpisma"/>
        <w:spacing w:before="120" w:line="360" w:lineRule="auto"/>
        <w:rPr>
          <w:szCs w:val="20"/>
        </w:rPr>
      </w:pPr>
      <w:r w:rsidRPr="00D14181">
        <w:rPr>
          <w:szCs w:val="20"/>
        </w:rPr>
        <w:t xml:space="preserve">Ze złożonego wniosku wynikało, że budynki przy ul. </w:t>
      </w:r>
      <w:r w:rsidRPr="00995DC3">
        <w:rPr>
          <w:szCs w:val="20"/>
          <w:highlight w:val="black"/>
        </w:rPr>
        <w:t>Traugutta 114/20</w:t>
      </w:r>
      <w:r w:rsidRPr="00D14181">
        <w:rPr>
          <w:szCs w:val="20"/>
        </w:rPr>
        <w:t>, jako obiekty zabytkowe są zwolnione od podatku z wyjątkiem:</w:t>
      </w:r>
    </w:p>
    <w:p w:rsidR="00D14181" w:rsidRPr="00D14181" w:rsidRDefault="00D14181" w:rsidP="00D14181">
      <w:pPr>
        <w:pStyle w:val="11Trescpisma"/>
        <w:spacing w:before="120" w:line="360" w:lineRule="auto"/>
        <w:rPr>
          <w:szCs w:val="20"/>
        </w:rPr>
      </w:pPr>
      <w:r w:rsidRPr="00D14181">
        <w:rPr>
          <w:szCs w:val="20"/>
        </w:rPr>
        <w:t>Budynku A – parterowe aneksy pomiędzy skrzydłami i ryzalitem w elewacji tylnej oraz podjazd dla karetek</w:t>
      </w:r>
    </w:p>
    <w:p w:rsidR="00D14181" w:rsidRPr="00D14181" w:rsidRDefault="00D14181" w:rsidP="00D14181">
      <w:pPr>
        <w:pStyle w:val="11Trescpisma"/>
        <w:spacing w:before="120" w:line="360" w:lineRule="auto"/>
        <w:rPr>
          <w:szCs w:val="20"/>
        </w:rPr>
      </w:pPr>
      <w:r w:rsidRPr="00D14181">
        <w:rPr>
          <w:szCs w:val="20"/>
        </w:rPr>
        <w:t>Budynku B – łącznik dostawiony do elewacji północnej budynku, łącznik dostawiony do elewacji południowej budynku oraz łącznik dostawiony do elewacji wschodniej budynku</w:t>
      </w:r>
    </w:p>
    <w:p w:rsidR="00D14181" w:rsidRPr="00D14181" w:rsidRDefault="00D14181" w:rsidP="00D14181">
      <w:pPr>
        <w:pStyle w:val="11Trescpisma"/>
        <w:spacing w:before="120" w:line="360" w:lineRule="auto"/>
        <w:rPr>
          <w:szCs w:val="20"/>
        </w:rPr>
      </w:pPr>
      <w:r w:rsidRPr="00D14181">
        <w:rPr>
          <w:szCs w:val="20"/>
        </w:rPr>
        <w:t>Budynku D – dobudowa dostawiona do elewacji wschodniej,</w:t>
      </w:r>
    </w:p>
    <w:p w:rsidR="00D14181" w:rsidRPr="00D14181" w:rsidRDefault="00D14181" w:rsidP="00D14181">
      <w:pPr>
        <w:pStyle w:val="11Trescpisma"/>
        <w:spacing w:before="120" w:line="360" w:lineRule="auto"/>
        <w:rPr>
          <w:szCs w:val="20"/>
        </w:rPr>
      </w:pPr>
      <w:r w:rsidRPr="00D14181">
        <w:rPr>
          <w:szCs w:val="20"/>
        </w:rPr>
        <w:t>które nie są wypisane do rejestru zabytków i objęte ochroną konserwatorską.</w:t>
      </w:r>
    </w:p>
    <w:p w:rsidR="00D14181" w:rsidRPr="00D14181" w:rsidRDefault="00D14181" w:rsidP="00D14181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 xml:space="preserve">W myśl </w:t>
      </w:r>
      <w:r w:rsidRPr="00D14181">
        <w:rPr>
          <w:rFonts w:ascii="Verdana" w:hAnsi="Verdana"/>
          <w:sz w:val="20"/>
          <w:szCs w:val="20"/>
        </w:rPr>
        <w:t xml:space="preserve">art. 75 § 1 - 4a ustawy Ordynacja podatkowa, jeżeli podatnik kwestionuje zasadność pobrania przez płatnika podatku albo wysokość pobranego podatku, może złożyć wniosek o stwierdzenie nadpłaty podatku. W myśl § 3 jeżeli </w:t>
      </w:r>
      <w:r w:rsidR="00F6624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 xml:space="preserve">z przepisów prawa podatkowego wynika obowiązek złożenia deklaracji, to podatnik, płatnik lub inkasent równocześnie z wnioskiem o stwierdzenie nadpłaty jest obowiązany złożyć skorygowaną deklarację, natomiast § 4 stanowi, iż jeżeli prawidłowość skorygowanego zeznania (deklaracji) nie budzi wątpliwości, organ podatkowy zwraca nadpłatę bez wydawania decyzji stwierdzającej nadpłatę. </w:t>
      </w:r>
      <w:r w:rsidR="00F6624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 xml:space="preserve">W takim przypadku korekta wywołuje skutki prawne. Natomiast, gdy wniosek nie jest zasadny, w decyzji stwierdzającej nadpłatę organ podatkowy określa wysokość zobowiązania podatkowego w prawidłowej wysokości w takim zakresie, w jakim powstanie nadpłaty jest związane ze zmianą wysokości zobowiązania podatkowego. W zakresie w jakim wniosek jest niezasadny, organ odmawia stwierdzenia nadpłaty.  </w:t>
      </w:r>
    </w:p>
    <w:p w:rsidR="00D14181" w:rsidRPr="00D14181" w:rsidRDefault="00D14181" w:rsidP="00D14181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sz w:val="20"/>
          <w:szCs w:val="20"/>
        </w:rPr>
        <w:t xml:space="preserve">Po przeanalizowaniu złożonego wniosku o stwierdzenie nadpłaty organ podatkowy przeprowadził postępowanie dowodowe i ocenił, że wniosek </w:t>
      </w:r>
      <w:proofErr w:type="spellStart"/>
      <w:r w:rsidRPr="00995DC3">
        <w:rPr>
          <w:rFonts w:ascii="Verdana" w:hAnsi="Verdana"/>
          <w:sz w:val="20"/>
          <w:szCs w:val="20"/>
          <w:highlight w:val="black"/>
        </w:rPr>
        <w:t>AmRest</w:t>
      </w:r>
      <w:proofErr w:type="spellEnd"/>
      <w:r w:rsidRPr="00995DC3">
        <w:rPr>
          <w:rFonts w:ascii="Verdana" w:hAnsi="Verdana"/>
          <w:sz w:val="20"/>
          <w:szCs w:val="20"/>
          <w:highlight w:val="black"/>
        </w:rPr>
        <w:t xml:space="preserve"> Sp. z o.o.</w:t>
      </w:r>
      <w:r w:rsidRPr="00D14181">
        <w:rPr>
          <w:rFonts w:ascii="Verdana" w:hAnsi="Verdana"/>
          <w:sz w:val="20"/>
          <w:szCs w:val="20"/>
        </w:rPr>
        <w:t xml:space="preserve"> jest niezasadny. </w:t>
      </w:r>
      <w:r w:rsidR="00153C92">
        <w:rPr>
          <w:rFonts w:ascii="Verdana" w:hAnsi="Verdana"/>
          <w:sz w:val="20"/>
          <w:szCs w:val="20"/>
        </w:rPr>
        <w:t>Dowody z</w:t>
      </w:r>
      <w:r w:rsidRPr="00D14181">
        <w:rPr>
          <w:rFonts w:ascii="Verdana" w:hAnsi="Verdana"/>
          <w:sz w:val="20"/>
          <w:szCs w:val="20"/>
        </w:rPr>
        <w:t xml:space="preserve">ebrane </w:t>
      </w:r>
      <w:r w:rsidR="00153C92">
        <w:rPr>
          <w:rFonts w:ascii="Verdana" w:hAnsi="Verdana"/>
          <w:sz w:val="20"/>
          <w:szCs w:val="20"/>
        </w:rPr>
        <w:t xml:space="preserve">w postępowaniu </w:t>
      </w:r>
      <w:r w:rsidRPr="00D14181">
        <w:rPr>
          <w:rFonts w:ascii="Verdana" w:hAnsi="Verdana"/>
          <w:sz w:val="20"/>
          <w:szCs w:val="20"/>
        </w:rPr>
        <w:t xml:space="preserve">nie potwierdziły aby w sprawie wystąpiły wszystkie warunki niezbędne do zwolnienia obiektów wpisanych do rejestru zabytków na podstawie art. 7 ust. 1 </w:t>
      </w:r>
      <w:proofErr w:type="spellStart"/>
      <w:r w:rsidRPr="00D14181">
        <w:rPr>
          <w:rFonts w:ascii="Verdana" w:hAnsi="Verdana"/>
          <w:sz w:val="20"/>
          <w:szCs w:val="20"/>
        </w:rPr>
        <w:t>pkt</w:t>
      </w:r>
      <w:proofErr w:type="spellEnd"/>
      <w:r w:rsidRPr="00D14181">
        <w:rPr>
          <w:rFonts w:ascii="Verdana" w:hAnsi="Verdana"/>
          <w:sz w:val="20"/>
          <w:szCs w:val="20"/>
        </w:rPr>
        <w:t xml:space="preserve"> 6</w:t>
      </w:r>
      <w:r w:rsidR="00153C92">
        <w:rPr>
          <w:rFonts w:ascii="Verdana" w:hAnsi="Verdana"/>
          <w:sz w:val="20"/>
          <w:szCs w:val="20"/>
        </w:rPr>
        <w:t xml:space="preserve"> </w:t>
      </w:r>
      <w:proofErr w:type="spellStart"/>
      <w:r w:rsidR="00153C92">
        <w:rPr>
          <w:rFonts w:ascii="Verdana" w:hAnsi="Verdana"/>
          <w:sz w:val="20"/>
          <w:szCs w:val="20"/>
        </w:rPr>
        <w:t>upol</w:t>
      </w:r>
      <w:proofErr w:type="spellEnd"/>
      <w:r w:rsidR="00153C92">
        <w:rPr>
          <w:rFonts w:ascii="Verdana" w:hAnsi="Verdana"/>
          <w:sz w:val="20"/>
          <w:szCs w:val="20"/>
        </w:rPr>
        <w:t>.</w:t>
      </w:r>
      <w:r w:rsidRPr="00D14181">
        <w:rPr>
          <w:rFonts w:ascii="Verdana" w:hAnsi="Verdana"/>
          <w:sz w:val="20"/>
          <w:szCs w:val="20"/>
        </w:rPr>
        <w:t xml:space="preserve"> Organ podatkowy ustalił </w:t>
      </w:r>
      <w:r w:rsidR="00153C9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>w szczególności</w:t>
      </w:r>
      <w:r w:rsidR="00153C92">
        <w:rPr>
          <w:rFonts w:ascii="Verdana" w:hAnsi="Verdana"/>
          <w:sz w:val="20"/>
          <w:szCs w:val="20"/>
        </w:rPr>
        <w:t>,</w:t>
      </w:r>
      <w:r w:rsidRPr="00D14181">
        <w:rPr>
          <w:rFonts w:ascii="Verdana" w:hAnsi="Verdana"/>
          <w:sz w:val="20"/>
          <w:szCs w:val="20"/>
        </w:rPr>
        <w:t xml:space="preserve"> że budynki przy ul. </w:t>
      </w:r>
      <w:r w:rsidRPr="00995DC3">
        <w:rPr>
          <w:rFonts w:ascii="Verdana" w:hAnsi="Verdana"/>
          <w:sz w:val="20"/>
          <w:szCs w:val="20"/>
          <w:highlight w:val="black"/>
        </w:rPr>
        <w:t>Traugutta 114 -120</w:t>
      </w:r>
      <w:r w:rsidRPr="00D14181">
        <w:rPr>
          <w:rFonts w:ascii="Verdana" w:hAnsi="Verdana"/>
          <w:sz w:val="20"/>
          <w:szCs w:val="20"/>
        </w:rPr>
        <w:t xml:space="preserve"> nie są utrzymywane </w:t>
      </w:r>
      <w:r w:rsidR="00153C9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>i konserwowane zgodnie z przepisami ustawy z dnia 23 lipca 2003r., o ochronie zabytków i opiece nad zabytkami</w:t>
      </w:r>
      <w:r w:rsidR="00153C92">
        <w:rPr>
          <w:rFonts w:ascii="Verdana" w:hAnsi="Verdana"/>
          <w:sz w:val="20"/>
          <w:szCs w:val="20"/>
        </w:rPr>
        <w:t>,</w:t>
      </w:r>
      <w:r w:rsidRPr="00D14181">
        <w:rPr>
          <w:rFonts w:ascii="Verdana" w:hAnsi="Verdana"/>
          <w:sz w:val="20"/>
          <w:szCs w:val="20"/>
        </w:rPr>
        <w:t xml:space="preserve"> co stanowi obligatoryjny warunek zwolnienia </w:t>
      </w:r>
      <w:r w:rsidR="00153C9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 xml:space="preserve">z art. 7 ust. 1 </w:t>
      </w:r>
      <w:proofErr w:type="spellStart"/>
      <w:r w:rsidRPr="00D14181">
        <w:rPr>
          <w:rFonts w:ascii="Verdana" w:hAnsi="Verdana"/>
          <w:sz w:val="20"/>
          <w:szCs w:val="20"/>
        </w:rPr>
        <w:t>pkt</w:t>
      </w:r>
      <w:proofErr w:type="spellEnd"/>
      <w:r w:rsidRPr="00D14181">
        <w:rPr>
          <w:rFonts w:ascii="Verdana" w:hAnsi="Verdana"/>
          <w:sz w:val="20"/>
          <w:szCs w:val="20"/>
        </w:rPr>
        <w:t xml:space="preserve"> 6 </w:t>
      </w:r>
      <w:proofErr w:type="spellStart"/>
      <w:r w:rsidR="00153C92">
        <w:rPr>
          <w:rFonts w:ascii="Verdana" w:hAnsi="Verdana"/>
          <w:sz w:val="20"/>
          <w:szCs w:val="20"/>
        </w:rPr>
        <w:t>upol</w:t>
      </w:r>
      <w:proofErr w:type="spellEnd"/>
      <w:r w:rsidRPr="00D14181">
        <w:rPr>
          <w:rFonts w:ascii="Verdana" w:hAnsi="Verdana"/>
          <w:sz w:val="20"/>
          <w:szCs w:val="20"/>
        </w:rPr>
        <w:t xml:space="preserve">. Fakt ten potwierdziły dowody zgromadzone przez organ podatkowy oraz czynności wyjaśniające przeprowadzone przez Miejskiego Konserwatora Zabytków, które skutkowały wydaniem postanowienia o odmowie </w:t>
      </w:r>
      <w:r w:rsidRPr="00D14181">
        <w:rPr>
          <w:rFonts w:ascii="Verdana" w:hAnsi="Verdana"/>
          <w:sz w:val="20"/>
          <w:szCs w:val="20"/>
        </w:rPr>
        <w:lastRenderedPageBreak/>
        <w:t xml:space="preserve">wydania zaświadczenia o utrzymywaniu, konserwacji lub zagospodarowaniu gruntów i budynków wpisanych indywidualnie do rejestru zabytków zgodnie </w:t>
      </w:r>
      <w:r w:rsidR="00153C9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>z przepisami ustawy o ochronie zabytków i opiece nad zabytkami.</w:t>
      </w:r>
    </w:p>
    <w:p w:rsidR="00D14181" w:rsidRDefault="00D14181" w:rsidP="00D14181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sz w:val="20"/>
          <w:szCs w:val="20"/>
        </w:rPr>
        <w:t xml:space="preserve">W myśl przywołanego art. 74 § 4 Ordynacji podatkowej organ podatkowy zobowiązany był do wydania decyzji odmawiającej stwierdzenia nadpłaty, w której jednocześnie określił prawidłową wysokość zobowiązania za budynki będące przedmiotem wniosku, które podatnik wykazał jako przedmioty zwolnione od podatku w załączniku ZDN-2 do deklaracji na podatek od nieruchomości. </w:t>
      </w:r>
      <w:r w:rsidR="00C946EC">
        <w:rPr>
          <w:rFonts w:ascii="Verdana" w:hAnsi="Verdana"/>
          <w:sz w:val="20"/>
          <w:szCs w:val="20"/>
        </w:rPr>
        <w:t>Decyzje te stały się ostateczne w administracyjnym toku instancji.</w:t>
      </w:r>
    </w:p>
    <w:p w:rsidR="00D14181" w:rsidRPr="00D14181" w:rsidRDefault="00D14181" w:rsidP="007B0F2E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 xml:space="preserve">Ocena wniosku o wydanie pisemnej interpretacji przepisów prawa podatkowego dotyczącego stanu faktycznego w kontekście zaistnienia przesłanek z </w:t>
      </w:r>
      <w:r w:rsidRPr="00D14181">
        <w:rPr>
          <w:rFonts w:ascii="Verdana" w:hAnsi="Verdana"/>
          <w:color w:val="1B1B1B"/>
          <w:sz w:val="20"/>
          <w:szCs w:val="20"/>
        </w:rPr>
        <w:t>art. 14b § 5</w:t>
      </w:r>
      <w:r w:rsidRPr="00D14181">
        <w:rPr>
          <w:rFonts w:ascii="Verdana" w:hAnsi="Verdana"/>
          <w:color w:val="000000"/>
          <w:sz w:val="20"/>
          <w:szCs w:val="20"/>
        </w:rPr>
        <w:t xml:space="preserve"> Ordynacji podatkowej, wymaga natomiast zbadania, czy na dzień złożenia wniosku o wydanie interpretacji stan faktyczny przedstawiony w treści wniosku:</w:t>
      </w:r>
    </w:p>
    <w:p w:rsidR="00D14181" w:rsidRPr="00D14181" w:rsidRDefault="00D14181" w:rsidP="00D14181">
      <w:pPr>
        <w:pStyle w:val="Akapitzlist"/>
        <w:numPr>
          <w:ilvl w:val="0"/>
          <w:numId w:val="24"/>
        </w:numPr>
        <w:spacing w:before="73" w:after="22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>jest przedmiotem toczących się - z udziałem wnioskodawcy jako strony - postępowań podatkowych, kontroli podatkowych, postępowań kontrolnych organów kontroli skarbowej albo</w:t>
      </w:r>
    </w:p>
    <w:p w:rsidR="00D14181" w:rsidRPr="00D14181" w:rsidRDefault="00D14181" w:rsidP="00D14181">
      <w:pPr>
        <w:pStyle w:val="Akapitzlist"/>
        <w:numPr>
          <w:ilvl w:val="0"/>
          <w:numId w:val="24"/>
        </w:numPr>
        <w:spacing w:before="73" w:after="220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>jest przedmiotem sprawy podatkowej rozstrzygniętej co do jej istoty na rzecz wnioskodawcy w decyzji lub postanowieniu organu podatkowego lub organu kontroli skarbowej.</w:t>
      </w:r>
    </w:p>
    <w:p w:rsidR="00D14181" w:rsidRPr="00D14181" w:rsidRDefault="00153C92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D14181" w:rsidRPr="00D14181">
        <w:rPr>
          <w:rFonts w:ascii="Verdana" w:hAnsi="Verdana"/>
          <w:color w:val="000000"/>
          <w:sz w:val="20"/>
          <w:szCs w:val="20"/>
        </w:rPr>
        <w:t xml:space="preserve"> tym celu </w:t>
      </w:r>
      <w:r>
        <w:rPr>
          <w:rFonts w:ascii="Verdana" w:hAnsi="Verdana"/>
          <w:color w:val="000000"/>
          <w:sz w:val="20"/>
          <w:szCs w:val="20"/>
        </w:rPr>
        <w:t xml:space="preserve">należy </w:t>
      </w:r>
      <w:r w:rsidR="00D14181" w:rsidRPr="00D14181">
        <w:rPr>
          <w:rFonts w:ascii="Verdana" w:hAnsi="Verdana"/>
          <w:color w:val="000000"/>
          <w:sz w:val="20"/>
          <w:szCs w:val="20"/>
        </w:rPr>
        <w:t>uwzględnić takie elementy stanu faktycznego, jak podmioty, zdarzenia, czynności, których dotyczy oraz moment jego zaistnienia.</w:t>
      </w:r>
    </w:p>
    <w:p w:rsidR="00D14181" w:rsidRPr="00D14181" w:rsidRDefault="00D14181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 xml:space="preserve">Innymi słowy o tożsamości stanu faktycznego będącego przedmiotem wniosku </w:t>
      </w:r>
      <w:r w:rsidR="00F66242">
        <w:rPr>
          <w:rFonts w:ascii="Verdana" w:hAnsi="Verdana"/>
          <w:color w:val="000000"/>
          <w:sz w:val="20"/>
          <w:szCs w:val="20"/>
        </w:rPr>
        <w:br/>
      </w:r>
      <w:r w:rsidRPr="00D14181">
        <w:rPr>
          <w:rFonts w:ascii="Verdana" w:hAnsi="Verdana"/>
          <w:color w:val="000000"/>
          <w:sz w:val="20"/>
          <w:szCs w:val="20"/>
        </w:rPr>
        <w:t xml:space="preserve">o wydanie interpretacji i stanu faktycznego będącego przedmiotem postępowań bądź rozstrzygnięć, o których mowa w </w:t>
      </w:r>
      <w:r w:rsidRPr="00D14181">
        <w:rPr>
          <w:rFonts w:ascii="Verdana" w:hAnsi="Verdana"/>
          <w:color w:val="1B1B1B"/>
          <w:sz w:val="20"/>
          <w:szCs w:val="20"/>
        </w:rPr>
        <w:t>art. 14b § 5</w:t>
      </w:r>
      <w:r w:rsidRPr="00D14181">
        <w:rPr>
          <w:rFonts w:ascii="Verdana" w:hAnsi="Verdana"/>
          <w:color w:val="000000"/>
          <w:sz w:val="20"/>
          <w:szCs w:val="20"/>
        </w:rPr>
        <w:t xml:space="preserve"> Ordynacji podatkowej można mówić, gdy stanowią one te same zdarzenia lub czynności, dotyczące tych samych podmiotów, zaistniałe w tym samym momencie lub okresie.</w:t>
      </w:r>
    </w:p>
    <w:p w:rsidR="00D14181" w:rsidRPr="00D14181" w:rsidRDefault="00D14181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>Jednocześnie, zarówno postępowanie podatkowe, kontrola podatkowa, postępowanie kontrolne organu kontroli skarbowej, jak i wydana decyzja lub postanowienie organu podatkowego lub organu kontroli skarbowej mają swój ściśle określony zakres przedmiotowy. W szczególności, dotyczą one konkretnych rozliczeń podatkowych za ściśle wskazany okres i tylko w odniesieniu do tych rozliczeń stanowią przeszkodę dla uzyskania interpretacji indywidualnej.</w:t>
      </w:r>
    </w:p>
    <w:p w:rsidR="00D14181" w:rsidRPr="00D14181" w:rsidRDefault="00D14181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 xml:space="preserve">Unormowanie </w:t>
      </w:r>
      <w:r w:rsidRPr="00D14181">
        <w:rPr>
          <w:rFonts w:ascii="Verdana" w:hAnsi="Verdana"/>
          <w:color w:val="1B1B1B"/>
          <w:sz w:val="20"/>
          <w:szCs w:val="20"/>
        </w:rPr>
        <w:t>art. 14b § 5</w:t>
      </w:r>
      <w:r w:rsidRPr="00D14181">
        <w:rPr>
          <w:rFonts w:ascii="Verdana" w:hAnsi="Verdana"/>
          <w:color w:val="000000"/>
          <w:sz w:val="20"/>
          <w:szCs w:val="20"/>
        </w:rPr>
        <w:t xml:space="preserve"> Ordynacji podatkowej reguluje bowiem w istocie kwestię kolizji postępowania interpretacyjnego z innymi, wskazanymi w tym przepisie postępowaniami oraz kolizję rozstrzygnięcia interpretacyjnego </w:t>
      </w:r>
      <w:r w:rsidR="00F66242">
        <w:rPr>
          <w:rFonts w:ascii="Verdana" w:hAnsi="Verdana"/>
          <w:color w:val="000000"/>
          <w:sz w:val="20"/>
          <w:szCs w:val="20"/>
        </w:rPr>
        <w:br/>
      </w:r>
      <w:r w:rsidRPr="00D14181">
        <w:rPr>
          <w:rFonts w:ascii="Verdana" w:hAnsi="Verdana"/>
          <w:color w:val="000000"/>
          <w:sz w:val="20"/>
          <w:szCs w:val="20"/>
        </w:rPr>
        <w:t xml:space="preserve">z rozstrzygnięciem wymiarowym. W zakresie pierwszej kwestii ustawodawca zdecydował się na wprowadzenie zasady zakazu konkurencyjności postępowania interpretacyjnego, przyznając przy tym pierwszeństwo postępowaniu </w:t>
      </w:r>
      <w:r w:rsidRPr="00D14181">
        <w:rPr>
          <w:rFonts w:ascii="Verdana" w:hAnsi="Verdana"/>
          <w:color w:val="000000"/>
          <w:sz w:val="20"/>
          <w:szCs w:val="20"/>
        </w:rPr>
        <w:lastRenderedPageBreak/>
        <w:t xml:space="preserve">podatkowemu, kontroli podatkowej oraz postępowaniu kontrolnemu organu kontroli skarbowej. W zakresie rozstrzygnięć wymiarowych postanowiono natomiast ograniczyć prawo do uzyskania interpretacji w odniesieniu do tych zdarzeń, których skutki </w:t>
      </w:r>
      <w:proofErr w:type="spellStart"/>
      <w:r w:rsidRPr="00D14181">
        <w:rPr>
          <w:rFonts w:ascii="Verdana" w:hAnsi="Verdana"/>
          <w:color w:val="000000"/>
          <w:sz w:val="20"/>
          <w:szCs w:val="20"/>
        </w:rPr>
        <w:t>prawnopodatkowe</w:t>
      </w:r>
      <w:proofErr w:type="spellEnd"/>
      <w:r w:rsidRPr="00D14181">
        <w:rPr>
          <w:rFonts w:ascii="Verdana" w:hAnsi="Verdana"/>
          <w:color w:val="000000"/>
          <w:sz w:val="20"/>
          <w:szCs w:val="20"/>
        </w:rPr>
        <w:t xml:space="preserve"> zostały już władczo ukształtowane. Takie rozwiązanie ma na celu uniknięcie ewentualnego istnienia w obrocie prawnym aktów administracyjnych odmiennie kształtujących prawa i obowiązki danego podmiotu w zakresie konkretnego zdarzenia.</w:t>
      </w:r>
    </w:p>
    <w:p w:rsidR="00D14181" w:rsidRPr="00D14181" w:rsidRDefault="00D14181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color w:val="000000"/>
          <w:sz w:val="20"/>
          <w:szCs w:val="20"/>
        </w:rPr>
        <w:t xml:space="preserve">W przypadku natomiast, gdy z treści złożonego wniosku wynika, że wystąpiła którakolwiek z okoliczności wymienionych w </w:t>
      </w:r>
      <w:r w:rsidRPr="00D14181">
        <w:rPr>
          <w:rFonts w:ascii="Verdana" w:hAnsi="Verdana"/>
          <w:color w:val="1B1B1B"/>
          <w:sz w:val="20"/>
          <w:szCs w:val="20"/>
        </w:rPr>
        <w:t>art. 14b § 5</w:t>
      </w:r>
      <w:r w:rsidRPr="00D14181">
        <w:rPr>
          <w:rFonts w:ascii="Verdana" w:hAnsi="Verdana"/>
          <w:color w:val="000000"/>
          <w:sz w:val="20"/>
          <w:szCs w:val="20"/>
        </w:rPr>
        <w:t xml:space="preserve"> Ordynacji podatkowej - </w:t>
      </w:r>
      <w:r w:rsidRPr="00D14181">
        <w:rPr>
          <w:rFonts w:ascii="Verdana" w:hAnsi="Verdana"/>
          <w:sz w:val="20"/>
          <w:szCs w:val="20"/>
        </w:rPr>
        <w:t xml:space="preserve">nie wydaje się interpretacji indywidualnej w zakresie tych elementów stanu faktycznego lub zdarzenia przyszłego, które w dniu złożenia wniosku </w:t>
      </w:r>
      <w:r w:rsidR="00F66242">
        <w:rPr>
          <w:rFonts w:ascii="Verdana" w:hAnsi="Verdana"/>
          <w:sz w:val="20"/>
          <w:szCs w:val="20"/>
        </w:rPr>
        <w:br/>
      </w:r>
      <w:r w:rsidRPr="00D14181">
        <w:rPr>
          <w:rFonts w:ascii="Verdana" w:hAnsi="Verdana"/>
          <w:sz w:val="20"/>
          <w:szCs w:val="20"/>
        </w:rPr>
        <w:t xml:space="preserve">o interpretację są przedmiotem toczącego się postępowania podatkowego, kontroli podatkowej, kontroli celno-skarbowej, albo gdy w tym zakresie sprawa została rozstrzygnięta co do jej istoty w decyzji lub postanowieniu organu podatkowego albo uzgodniona w porozumieniu podatkowym, o którym mowa w art. 20zb, albo porozumieniu inwestycyjnym, o którym mowa w art. 20zs § 1, w zakresie art. 20zt </w:t>
      </w:r>
      <w:proofErr w:type="spellStart"/>
      <w:r w:rsidRPr="00D14181">
        <w:rPr>
          <w:rFonts w:ascii="Verdana" w:hAnsi="Verdana"/>
          <w:sz w:val="20"/>
          <w:szCs w:val="20"/>
        </w:rPr>
        <w:t>pkt</w:t>
      </w:r>
      <w:proofErr w:type="spellEnd"/>
      <w:r w:rsidRPr="00D14181">
        <w:rPr>
          <w:rFonts w:ascii="Verdana" w:hAnsi="Verdana"/>
          <w:sz w:val="20"/>
          <w:szCs w:val="20"/>
        </w:rPr>
        <w:t xml:space="preserve"> 5</w:t>
      </w:r>
      <w:r w:rsidRPr="00D14181">
        <w:rPr>
          <w:rFonts w:ascii="Verdana" w:hAnsi="Verdana"/>
          <w:color w:val="000000"/>
          <w:sz w:val="20"/>
          <w:szCs w:val="20"/>
        </w:rPr>
        <w:t xml:space="preserve"> - stanowi to podstawę dla odmowy wszczęcia postępowania w sprawie wydania pisemnej interpretacji przepisów prawa podatkowego. </w:t>
      </w:r>
    </w:p>
    <w:p w:rsidR="00D14181" w:rsidRPr="00D14181" w:rsidRDefault="00D14181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</w:p>
    <w:p w:rsidR="00D14181" w:rsidRPr="00D14181" w:rsidRDefault="00D14181" w:rsidP="00D14181">
      <w:pPr>
        <w:spacing w:before="25" w:line="360" w:lineRule="auto"/>
        <w:jc w:val="both"/>
        <w:rPr>
          <w:rFonts w:ascii="Verdana" w:hAnsi="Verdana"/>
          <w:sz w:val="20"/>
          <w:szCs w:val="20"/>
        </w:rPr>
      </w:pPr>
      <w:r w:rsidRPr="00D14181">
        <w:rPr>
          <w:rFonts w:ascii="Verdana" w:hAnsi="Verdana"/>
          <w:sz w:val="20"/>
          <w:szCs w:val="20"/>
        </w:rPr>
        <w:t xml:space="preserve">Elementy stanu faktycznego, który został opisany we wniosku o wydanie interpretacji indywidualnej były częściowo przedmiotem toczącego się postępowania zakończonego </w:t>
      </w:r>
      <w:r w:rsidR="00F813B5">
        <w:rPr>
          <w:rFonts w:ascii="Verdana" w:hAnsi="Verdana"/>
          <w:sz w:val="20"/>
          <w:szCs w:val="20"/>
        </w:rPr>
        <w:t>wydaniem ostatecznych decyzji (</w:t>
      </w:r>
      <w:r w:rsidRPr="00D14181">
        <w:rPr>
          <w:rFonts w:ascii="Verdana" w:hAnsi="Verdana"/>
          <w:sz w:val="20"/>
          <w:szCs w:val="20"/>
        </w:rPr>
        <w:t>za lata 2018 -</w:t>
      </w:r>
      <w:r w:rsidR="00F813B5">
        <w:rPr>
          <w:rFonts w:ascii="Verdana" w:hAnsi="Verdana"/>
          <w:sz w:val="20"/>
          <w:szCs w:val="20"/>
        </w:rPr>
        <w:t xml:space="preserve"> </w:t>
      </w:r>
      <w:r w:rsidRPr="00D14181">
        <w:rPr>
          <w:rFonts w:ascii="Verdana" w:hAnsi="Verdana"/>
          <w:sz w:val="20"/>
          <w:szCs w:val="20"/>
        </w:rPr>
        <w:t>2020) tutejszego organu podatkowego. W wydanych decyzjach organ podatkowy określił prawidłową wysokość zobowiązania za bud</w:t>
      </w:r>
      <w:r w:rsidR="00F813B5">
        <w:rPr>
          <w:rFonts w:ascii="Verdana" w:hAnsi="Verdana"/>
          <w:sz w:val="20"/>
          <w:szCs w:val="20"/>
        </w:rPr>
        <w:t xml:space="preserve">ynki będące przedmiotem wniosku </w:t>
      </w:r>
      <w:r w:rsidR="00F813B5">
        <w:rPr>
          <w:rFonts w:ascii="Verdana" w:hAnsi="Verdana"/>
          <w:sz w:val="20"/>
          <w:szCs w:val="20"/>
        </w:rPr>
        <w:br/>
        <w:t>i</w:t>
      </w:r>
      <w:r w:rsidRPr="00D14181">
        <w:rPr>
          <w:rFonts w:ascii="Verdana" w:hAnsi="Verdana"/>
          <w:sz w:val="20"/>
          <w:szCs w:val="20"/>
        </w:rPr>
        <w:t xml:space="preserve"> które</w:t>
      </w:r>
      <w:r w:rsidR="00E406FA">
        <w:rPr>
          <w:rFonts w:ascii="Verdana" w:hAnsi="Verdana"/>
          <w:sz w:val="20"/>
          <w:szCs w:val="20"/>
        </w:rPr>
        <w:t xml:space="preserve"> organ</w:t>
      </w:r>
      <w:r w:rsidRPr="00D14181">
        <w:rPr>
          <w:rFonts w:ascii="Verdana" w:hAnsi="Verdana"/>
          <w:sz w:val="20"/>
          <w:szCs w:val="20"/>
        </w:rPr>
        <w:t xml:space="preserve"> opodatkował wg stawki przewidzianej dla budynków i budowli związanych z prowadzeniem działalności gospodarczej ponieważ nie podlegały one w latach 2018 - 2020 zwolnieniu na podstawie art. 7 ust. 1 </w:t>
      </w:r>
      <w:proofErr w:type="spellStart"/>
      <w:r w:rsidRPr="00D14181">
        <w:rPr>
          <w:rFonts w:ascii="Verdana" w:hAnsi="Verdana"/>
          <w:sz w:val="20"/>
          <w:szCs w:val="20"/>
        </w:rPr>
        <w:t>pkt</w:t>
      </w:r>
      <w:proofErr w:type="spellEnd"/>
      <w:r w:rsidRPr="00D14181">
        <w:rPr>
          <w:rFonts w:ascii="Verdana" w:hAnsi="Verdana"/>
          <w:sz w:val="20"/>
          <w:szCs w:val="20"/>
        </w:rPr>
        <w:t xml:space="preserve"> 6 </w:t>
      </w:r>
      <w:proofErr w:type="spellStart"/>
      <w:r w:rsidR="00153C92">
        <w:rPr>
          <w:rFonts w:ascii="Verdana" w:hAnsi="Verdana"/>
          <w:sz w:val="20"/>
          <w:szCs w:val="20"/>
        </w:rPr>
        <w:t>upol</w:t>
      </w:r>
      <w:proofErr w:type="spellEnd"/>
      <w:r w:rsidRPr="00D14181">
        <w:rPr>
          <w:rFonts w:ascii="Verdana" w:hAnsi="Verdana"/>
          <w:sz w:val="20"/>
          <w:szCs w:val="20"/>
        </w:rPr>
        <w:t xml:space="preserve">. </w:t>
      </w:r>
      <w:r w:rsidR="00C946EC">
        <w:rPr>
          <w:rFonts w:ascii="Verdana" w:hAnsi="Verdana"/>
          <w:sz w:val="20"/>
          <w:szCs w:val="20"/>
        </w:rPr>
        <w:t xml:space="preserve">Od wydanych decyzji podatnik nie odwołał się w administracyjnym toku instancji. </w:t>
      </w:r>
      <w:r w:rsidRPr="00D14181">
        <w:rPr>
          <w:rFonts w:ascii="Verdana" w:hAnsi="Verdana"/>
          <w:sz w:val="20"/>
          <w:szCs w:val="20"/>
        </w:rPr>
        <w:t xml:space="preserve"> </w:t>
      </w:r>
    </w:p>
    <w:p w:rsidR="009E65B2" w:rsidRDefault="00A725E8" w:rsidP="00F47F8E">
      <w:pPr>
        <w:pStyle w:val="Tekstpodstawowy"/>
        <w:suppressAutoHyphens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Powyższe rozstrzygnięcie uniemożliwia </w:t>
      </w:r>
      <w:r w:rsidR="00AE4C9E">
        <w:rPr>
          <w:rFonts w:ascii="Verdana" w:hAnsi="Verdana"/>
          <w:sz w:val="20"/>
        </w:rPr>
        <w:t xml:space="preserve">wydanie interpretacji indywidualnej </w:t>
      </w:r>
      <w:r w:rsidR="00C5539E">
        <w:rPr>
          <w:rFonts w:ascii="Verdana" w:hAnsi="Verdana"/>
          <w:sz w:val="20"/>
        </w:rPr>
        <w:br/>
      </w:r>
      <w:r w:rsidR="00AE4C9E">
        <w:rPr>
          <w:rFonts w:ascii="Verdana" w:hAnsi="Verdana"/>
          <w:sz w:val="20"/>
        </w:rPr>
        <w:t xml:space="preserve">w przedmiocie </w:t>
      </w:r>
      <w:r w:rsidR="00C5539E">
        <w:rPr>
          <w:rFonts w:ascii="Verdana" w:hAnsi="Verdana"/>
          <w:sz w:val="20"/>
        </w:rPr>
        <w:t xml:space="preserve">oceny właściwej stawki podatku </w:t>
      </w:r>
      <w:r w:rsidR="00153C92">
        <w:rPr>
          <w:rFonts w:ascii="Verdana" w:hAnsi="Verdana"/>
          <w:sz w:val="20"/>
        </w:rPr>
        <w:t xml:space="preserve">jaką winny być </w:t>
      </w:r>
      <w:r w:rsidR="00AE4C9E">
        <w:rPr>
          <w:rFonts w:ascii="Verdana" w:hAnsi="Verdana"/>
          <w:sz w:val="20"/>
        </w:rPr>
        <w:t>opodatkowani</w:t>
      </w:r>
      <w:r w:rsidR="00153C92">
        <w:rPr>
          <w:rFonts w:ascii="Verdana" w:hAnsi="Verdana"/>
          <w:sz w:val="20"/>
        </w:rPr>
        <w:t>e budynki wskazane we wniosku.</w:t>
      </w:r>
    </w:p>
    <w:p w:rsidR="00AE4C9E" w:rsidRDefault="00AE4C9E" w:rsidP="00F47F8E">
      <w:pPr>
        <w:pStyle w:val="Tekstpodstawowy"/>
        <w:suppressAutoHyphens/>
        <w:spacing w:line="360" w:lineRule="auto"/>
        <w:jc w:val="both"/>
        <w:rPr>
          <w:rFonts w:ascii="Verdana" w:hAnsi="Verdana"/>
          <w:sz w:val="20"/>
        </w:rPr>
      </w:pPr>
    </w:p>
    <w:p w:rsidR="00C946EC" w:rsidRPr="00C946EC" w:rsidRDefault="00C946EC" w:rsidP="00F47F8E">
      <w:pPr>
        <w:pStyle w:val="Tekstpodstawowy"/>
        <w:suppressAutoHyphens/>
        <w:spacing w:line="360" w:lineRule="auto"/>
        <w:jc w:val="both"/>
        <w:rPr>
          <w:rFonts w:ascii="Verdana" w:hAnsi="Verdana"/>
          <w:b/>
          <w:sz w:val="20"/>
        </w:rPr>
      </w:pPr>
      <w:r w:rsidRPr="00C946EC">
        <w:rPr>
          <w:rFonts w:ascii="Verdana" w:hAnsi="Verdana"/>
          <w:b/>
          <w:sz w:val="20"/>
        </w:rPr>
        <w:t>Ad II</w:t>
      </w:r>
    </w:p>
    <w:p w:rsidR="00FE6E16" w:rsidRDefault="00C946EC" w:rsidP="00F47F8E">
      <w:pPr>
        <w:pStyle w:val="Tekstpodstawowy"/>
        <w:suppressAutoHyphens/>
        <w:spacing w:line="360" w:lineRule="auto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W przedmiocie pytania wnioskodawcy nr 1 i 3 oraz tj. </w:t>
      </w:r>
      <w:r w:rsidR="00E406FA">
        <w:rPr>
          <w:rFonts w:ascii="Verdana" w:hAnsi="Verdana"/>
          <w:bCs/>
          <w:sz w:val="20"/>
        </w:rPr>
        <w:t>części</w:t>
      </w:r>
      <w:r>
        <w:rPr>
          <w:rFonts w:ascii="Verdana" w:hAnsi="Verdana"/>
          <w:bCs/>
          <w:sz w:val="20"/>
        </w:rPr>
        <w:t xml:space="preserve"> wniosku,</w:t>
      </w:r>
      <w:r w:rsidR="00E406FA">
        <w:rPr>
          <w:rFonts w:ascii="Verdana" w:hAnsi="Verdana"/>
          <w:bCs/>
          <w:sz w:val="20"/>
        </w:rPr>
        <w:t xml:space="preserve"> w której nie występują okoliczności wyłączające możliwość wydania interpretacji</w:t>
      </w:r>
      <w:r>
        <w:rPr>
          <w:rFonts w:ascii="Verdana" w:hAnsi="Verdana"/>
          <w:bCs/>
          <w:sz w:val="20"/>
        </w:rPr>
        <w:t>,</w:t>
      </w:r>
      <w:r w:rsidR="00E406FA">
        <w:rPr>
          <w:rFonts w:ascii="Verdana" w:hAnsi="Verdana"/>
          <w:bCs/>
          <w:sz w:val="20"/>
        </w:rPr>
        <w:t xml:space="preserve"> tutejszy organ p</w:t>
      </w:r>
      <w:r w:rsidR="003B20DC" w:rsidRPr="00F47F8E">
        <w:rPr>
          <w:rFonts w:ascii="Verdana" w:hAnsi="Verdana"/>
          <w:bCs/>
          <w:sz w:val="20"/>
        </w:rPr>
        <w:t xml:space="preserve">o przeanalizowaniu faktów podanych we wniosku, obowiązujących przepisów prawa i orzecznictwa </w:t>
      </w:r>
      <w:r w:rsidR="00C72A06" w:rsidRPr="00F47F8E">
        <w:rPr>
          <w:rFonts w:ascii="Verdana" w:hAnsi="Verdana"/>
          <w:bCs/>
          <w:sz w:val="20"/>
        </w:rPr>
        <w:t>sądowo</w:t>
      </w:r>
      <w:r w:rsidR="002A483E" w:rsidRPr="00F47F8E">
        <w:rPr>
          <w:rFonts w:ascii="Verdana" w:hAnsi="Verdana"/>
          <w:bCs/>
          <w:sz w:val="20"/>
        </w:rPr>
        <w:t>-administracyjnego</w:t>
      </w:r>
      <w:r w:rsidR="00C72A06" w:rsidRPr="00F47F8E">
        <w:rPr>
          <w:rFonts w:ascii="Verdana" w:hAnsi="Verdana"/>
          <w:bCs/>
          <w:sz w:val="20"/>
        </w:rPr>
        <w:t xml:space="preserve">, </w:t>
      </w:r>
      <w:r w:rsidR="00AE4C9E">
        <w:rPr>
          <w:rFonts w:ascii="Verdana" w:hAnsi="Verdana"/>
          <w:bCs/>
          <w:sz w:val="20"/>
        </w:rPr>
        <w:t xml:space="preserve">stwierdził </w:t>
      </w:r>
      <w:r w:rsidR="008D2E5A" w:rsidRPr="00F47F8E">
        <w:rPr>
          <w:rFonts w:ascii="Verdana" w:hAnsi="Verdana"/>
          <w:bCs/>
          <w:sz w:val="20"/>
        </w:rPr>
        <w:t>że</w:t>
      </w:r>
      <w:r w:rsidR="002A45B0">
        <w:rPr>
          <w:rFonts w:ascii="Verdana" w:hAnsi="Verdana"/>
          <w:bCs/>
          <w:sz w:val="20"/>
        </w:rPr>
        <w:t xml:space="preserve"> stanowisko</w:t>
      </w:r>
      <w:r w:rsidR="00E406FA">
        <w:rPr>
          <w:rFonts w:ascii="Verdana" w:hAnsi="Verdana"/>
          <w:bCs/>
          <w:sz w:val="20"/>
        </w:rPr>
        <w:t xml:space="preserve"> Spółki, w myśl którego</w:t>
      </w:r>
      <w:r w:rsidR="00AE4C9E">
        <w:rPr>
          <w:rFonts w:ascii="Verdana" w:hAnsi="Verdana"/>
          <w:bCs/>
          <w:sz w:val="20"/>
        </w:rPr>
        <w:t>:</w:t>
      </w:r>
    </w:p>
    <w:p w:rsidR="00E406FA" w:rsidRPr="00F47F8E" w:rsidRDefault="00E406FA" w:rsidP="00E406FA">
      <w:pPr>
        <w:pStyle w:val="11Trescpisma"/>
        <w:numPr>
          <w:ilvl w:val="0"/>
          <w:numId w:val="25"/>
        </w:numPr>
        <w:spacing w:before="120" w:line="360" w:lineRule="auto"/>
        <w:rPr>
          <w:color w:val="000000"/>
          <w:szCs w:val="20"/>
        </w:rPr>
      </w:pPr>
      <w:r w:rsidRPr="00F47F8E">
        <w:rPr>
          <w:color w:val="000000"/>
          <w:szCs w:val="20"/>
        </w:rPr>
        <w:t xml:space="preserve">grunty, które należały do Spółki w okresie od maja 2018 r. do sierpnia 2020 r., i które nie były i nie mogły być przez Spółkę wykorzystywane do </w:t>
      </w:r>
      <w:r w:rsidRPr="00F47F8E">
        <w:rPr>
          <w:color w:val="000000"/>
          <w:szCs w:val="20"/>
        </w:rPr>
        <w:lastRenderedPageBreak/>
        <w:t>prowadzenia działalności gospodarczej</w:t>
      </w:r>
      <w:r>
        <w:rPr>
          <w:color w:val="000000"/>
          <w:szCs w:val="20"/>
        </w:rPr>
        <w:t xml:space="preserve">, nie podlegają opodatkowaniu stawką jak dla gruntów związanych z prowadzeniem działalności gospodarczej </w:t>
      </w:r>
      <w:r w:rsidR="002A45B0">
        <w:rPr>
          <w:color w:val="000000"/>
          <w:szCs w:val="20"/>
        </w:rPr>
        <w:t>–</w:t>
      </w:r>
      <w:r>
        <w:rPr>
          <w:color w:val="000000"/>
          <w:szCs w:val="20"/>
        </w:rPr>
        <w:t xml:space="preserve"> </w:t>
      </w:r>
      <w:r w:rsidR="002A45B0">
        <w:rPr>
          <w:color w:val="000000"/>
          <w:szCs w:val="20"/>
        </w:rPr>
        <w:t>jest nieprawidłowe</w:t>
      </w:r>
    </w:p>
    <w:p w:rsidR="002A45B0" w:rsidRPr="00F47F8E" w:rsidRDefault="002A45B0" w:rsidP="002A45B0">
      <w:pPr>
        <w:pStyle w:val="11Trescpisma"/>
        <w:numPr>
          <w:ilvl w:val="0"/>
          <w:numId w:val="25"/>
        </w:numPr>
        <w:spacing w:before="120" w:line="360" w:lineRule="auto"/>
        <w:rPr>
          <w:color w:val="000000"/>
          <w:szCs w:val="20"/>
        </w:rPr>
      </w:pPr>
      <w:r>
        <w:rPr>
          <w:color w:val="000000"/>
          <w:szCs w:val="20"/>
        </w:rPr>
        <w:t>budowle</w:t>
      </w:r>
      <w:r w:rsidRPr="00F47F8E">
        <w:rPr>
          <w:color w:val="000000"/>
          <w:szCs w:val="20"/>
        </w:rPr>
        <w:t>, które należały do Spółki w okresie od maja 2018 r. do sierpnia 2020 r., i które nie były i nie mogły być przez Spółkę wykorzystywane do prowadzenia działalności gospodarczej</w:t>
      </w:r>
      <w:r w:rsidR="00AE4C9E">
        <w:rPr>
          <w:color w:val="000000"/>
          <w:szCs w:val="20"/>
        </w:rPr>
        <w:t xml:space="preserve">, nie </w:t>
      </w:r>
      <w:r>
        <w:rPr>
          <w:color w:val="000000"/>
          <w:szCs w:val="20"/>
        </w:rPr>
        <w:t>podlegają opodatkowaniu – jest nieprawidłowe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Po zapoznaniu się z argumentacją przedstawioną przez Stronę, organ podatkowy dokonał następującej oceny prawnej. 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Zgodnie z art. 2 ust. 1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opodatkowaniu podatkiem od nieruchomości podlegają następujące nieruchomości lub obiekty budowlane: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1.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>grunty;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2.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>budynki lub ich części;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3.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>budowle lub ich części związane z prowadzeniem działalności gospodarczej.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Podstawę opodatkowania dla budynków lub ich części stanowi ich powierzchnia użytkowa (art. 4 ust. 1 pkt. 2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), czyli powierzchnia mierzona po wewnętrznej długości ścian na wszystkich kondygnacjach, z wyjątkiem powierzchni klatek schodowych oraz szybów dźwigowych; za kondygnację uważa się również garaże podziemne, piwnice, sutereny i poddasza użytkowe (art. 1a ust. 1 pkt. 5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). 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</w:p>
    <w:p w:rsidR="00305C04" w:rsidRDefault="00305C04" w:rsidP="00305C04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 art. 5 ust. 1 pkt. 2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ustawodawca przewidział różną wysokość stawek podatku między innymi dla: </w:t>
      </w:r>
    </w:p>
    <w:p w:rsidR="00B466F8" w:rsidRDefault="00B466F8" w:rsidP="00305C04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-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budynków lub ich części związanych z prowadzeniem działalności gospodarczej oraz </w:t>
      </w:r>
    </w:p>
    <w:p w:rsidR="00305C04" w:rsidRDefault="00B466F8" w:rsidP="00305C04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-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>budynków mieszkalnych lub ich części zajętych na prowadzenie działalności gospodarczej.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 myśl art. 1a ust. 1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pkt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3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wszystkie grunty, budynki i budowle będące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w posiadaniu przedsiębiorcy lub innego podmiotu prowadzącego działalność gospodarczą podlegają opodatkowaniu stawkami najwyższymi. Wyjątki od tej zasady ustawodawca przewidział jedynie w odniesieniu do: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ind w:left="720" w:hanging="360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1)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>budynków mieszkalnych oraz gruntów związanych z tymi budynkami (pod warunkiem, że nie są zajęte na prowadzenie działalności gospodarczej);</w:t>
      </w:r>
    </w:p>
    <w:p w:rsidR="00305C04" w:rsidRDefault="00305C04" w:rsidP="007B0F2E">
      <w:pPr>
        <w:suppressAutoHyphens/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2)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>gruntów pod wodami powierzchniowymi jezior i zbiorników sztucznych;</w:t>
      </w:r>
    </w:p>
    <w:p w:rsidR="00305C04" w:rsidRDefault="00305C04" w:rsidP="007B0F2E">
      <w:pPr>
        <w:suppressAutoHyphens/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3)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 xml:space="preserve">budynków i budowli jeśli decyzją nadzoru budowlanego nakazano rozbiórkę obiektu nieużytkowanego lub niewykończonego w przypadku gdy nie nadaje sie on do remontu, odbudowy lub wykończenia (art. 67 ust. Prawa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lastRenderedPageBreak/>
        <w:t xml:space="preserve">budowlanego) lub decyzją nadzoru górniczego trwale wyłączono je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z użytkowania;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które podlegają opodatkowaniu niższymi stawkami podatku. 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Opodatkowanie nieruchomości przedsiębiorcy po 3 </w:t>
      </w:r>
      <w:r w:rsidR="00153C92">
        <w:rPr>
          <w:rFonts w:ascii="Verdana" w:eastAsia="Calibri" w:hAnsi="Verdana" w:cs="Verdana"/>
          <w:color w:val="000000"/>
          <w:sz w:val="20"/>
          <w:szCs w:val="20"/>
          <w:lang w:eastAsia="en-US"/>
        </w:rPr>
        <w:t>marca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2021 r. uwzględnia tezy zawarte w wyroku wydanym przez Trybunał Konstytucyjny sygn. akt SK 39/19.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W tym dniu opublikowany został wyrok, w którym Trybunał ocenił, że "Art. 1a ust. 1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pkt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3 ustawy z dnia 12 stycznia 1991 r. o podatkach i opłatach lokalnych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(Dz. U. z 2019 r. poz. 1170) rozumiany w ten sposób, że o związaniu gruntu, budynku lub budowli z prowadzeniem działalności gospodarczej decyduje wyłącznie posiadanie gruntu, budynku lub budowli przez przedsiębiorcę lub inny podmiot prowadzący działalność gospodarczą, jest niezgodny z art. 64 ust.1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w związku z art. 31 ust. 3 i art. 84 Konstytucji Rzeczypospolitej Polskiej.".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W uzasadnieniu wyroku Trybunał stwierdził, że "(...) przedsiębiorcy nie mogą być obciążani wyższą stawką podatku jedynie z powodu posiadania nieruchomości, które nie służą im do prowadzenia działalności gospodarczej.".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Oznacza, to konieczność każdorazowej oceny okoliczności i przesłanek, które świadczą, że nieruchomość w posiadaniu przedsiębiorcy nie służy do prowadzenia działalności gospodarczej. Wskazówki interpretacyjne w tej materii odnaleźć można w bogatym orzecznictwie sądów administracyjnych, które wielokrotnie wypowiadały się w przedmiocie definicji legalnej przedmiotów opodatkowania związanych z prowadzeniem działalności gospodarczej.</w:t>
      </w:r>
    </w:p>
    <w:p w:rsidR="00305C04" w:rsidRDefault="00305C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Naczelny Sąd Administracyjny w wyroku z dnia 4 marca 2021 r., sygn. akt III FSK 896/21, stwierdził m.in. że związek z działalnością gospodarczą "oprócz samego posiadania nieruchomości przez przedsiębiorcę lub inny podmiot prowadzący działalność gospodarczą, powinien być oparty na faktycznym lub nawet potencjalnym wykorzystywaniu tej nieruchomości w działalności gospodarczej tego podmiotu. Grunty, budynki i budowle, które choćby pośrednio lub w ograniczonym zakresie służą prowadzeniu działalności gospodarczej, powinny być uznane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za związane z tą działalnością. W ustaleniu istnienia związku nieruchomości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z prowadzoną działalnością gospodarczą przydatne mogą być na przykład takie okoliczności jak: wprowadzenie nieruchomości do ewidencji środków trwałych, ujęcie wydatków na nabycie lub wytworzenie oraz utrzymanie w kosztach działalności gospodarczej. O istnieniu takiego związku może też świadczyć charakter rzeczy (np. budowli), wskazujący na jej gospodarcze przeznaczenie.".</w:t>
      </w:r>
    </w:p>
    <w:p w:rsidR="00305C04" w:rsidRDefault="00305C04" w:rsidP="007B0F2E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Kompleksowo do tego zagadnienia Naczelny Sąd Administracyjny odniósł się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w  wyroku z dnia 15 grudnia 2021 r., (III FSK 4061/21), w którym stwierdził,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że „za związane z działalnością gospodarczą w rozumieniu art. 1a ust. 1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pkt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lastRenderedPageBreak/>
        <w:t xml:space="preserve">3 ustawy z dnia 12 stycznia 2021 r. o podatkach i opłatach lokalnych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(Dz. U. z 2019 r. poz. 1170 z </w:t>
      </w:r>
      <w:proofErr w:type="spellStart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późn</w:t>
      </w:r>
      <w:proofErr w:type="spellEnd"/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. zm.), można uznać nieruchomości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stanowiące własność podatnika (znajdujące się w posiadaniu samoistnym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albo użytkowaniu wieczystym), które są w posiadaniu przedsiębiorcy (innego podmiotu prowadzącego działalność gospodarczą) oraz jednocześnie: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1)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ab/>
        <w:t xml:space="preserve">wchodzą w skład prowadzonego przez niego przedsiębiorstwa w rozumieniu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art.</w:t>
      </w:r>
      <w:r w:rsidR="002532A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551 K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odeksu cywilnego, w szczególności gdy podatnik ujął te składniki majątkowe w prowadzonej ewidencji środków trwałych wartości niematerialnych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i prawnych, bez względu na to, czy nieruchomość jest wykorzystywana na prowadzenie działalności gospodarczej </w:t>
      </w:r>
    </w:p>
    <w:p w:rsidR="00305C04" w:rsidRDefault="00305C04" w:rsidP="007B0F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lub </w:t>
      </w:r>
    </w:p>
    <w:p w:rsidR="00305C04" w:rsidRDefault="00B94273" w:rsidP="007B0F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2)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przedmiot działalności przedsiębiorcy obejmuje jedynie prowadzenie działalności gospodarczej, bez względu na to, czy nieruchomość jest wykorzystywana na prowadzenie działalności gospodarczej, </w:t>
      </w:r>
    </w:p>
    <w:p w:rsidR="00305C04" w:rsidRDefault="00305C04" w:rsidP="007B0F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lub </w:t>
      </w:r>
    </w:p>
    <w:p w:rsidR="002A45B0" w:rsidRDefault="00B94273" w:rsidP="007B0F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3) 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nieruchomości są funkcjonalnie powiązane z przedsiębiorstwem prowadzonym przez podmiot, w którego posiadaniu się znajdują, nawet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jeżeli nie zostały uwzględnione w ewidencji środków trwałych wartości niematerialnych i prawnych, tzn.: - są faktycznie wykorzystywane do prowadzenia działalności gospodarczej w znaczeniu zdefiniowanym w art. 1a ust. 1 </w:t>
      </w:r>
      <w:proofErr w:type="spellStart"/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>pkt</w:t>
      </w:r>
      <w:proofErr w:type="spellEnd"/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4 </w:t>
      </w:r>
      <w:proofErr w:type="spellStart"/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albo - mogą być potencjalnie wykorzystywane do prowadzenia działalności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gospodarczej w ww. rozumieniu, przez co należy rozumieć sytuację,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w której przedsiębiorca podejmuje i realizuje zachowania kwalifikowane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w obrębie przedmiotu opodatkowania jako czynności mające na celu przygotowanie, zachowanie lub zabezpieczenie nieruchomości do przyszłej (planowanej) działalności gospodarczej, bądź do kontynuacji przerwanej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działalności gospodarczej, związane z ponoszeniem wydatków rozliczanych </w:t>
      </w:r>
      <w:r w:rsidR="00305C04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w kosztach uzyskania przychodów prowadzonej działalności gospodarczej”.</w:t>
      </w:r>
    </w:p>
    <w:p w:rsidR="002532A7" w:rsidRDefault="002A45B0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Przenoszą</w:t>
      </w:r>
      <w:r w:rsidR="002532A7">
        <w:rPr>
          <w:rFonts w:ascii="Verdana" w:eastAsia="Calibri" w:hAnsi="Verdana" w:cs="Verdana"/>
          <w:color w:val="000000"/>
          <w:sz w:val="20"/>
          <w:szCs w:val="20"/>
          <w:lang w:eastAsia="en-US"/>
        </w:rPr>
        <w:t>c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powyższe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rozważania na przedstawiony we wniosku opis stanu faktycznego stwierdzić należy, że opisane okoliczności nie są czynnikami, które mogą wpływać </w:t>
      </w:r>
      <w:r w:rsidR="00766FC1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na opodatkowanie nabytych przez Spółkę nieruchomości stawkami niższymi niż określone dla gruntów, budynków i budowli związanych </w:t>
      </w:r>
      <w:r w:rsidR="00766FC1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 xml:space="preserve">z prowadzeniem działalności gospodarczej. </w:t>
      </w:r>
    </w:p>
    <w:p w:rsidR="00804E33" w:rsidRDefault="00766FC1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Przesłanka taką z pewnością nie może być zły stan techniczny nie</w:t>
      </w:r>
      <w:r w:rsidR="002532A7">
        <w:rPr>
          <w:rFonts w:ascii="Verdana" w:eastAsia="Calibri" w:hAnsi="Verdana" w:cs="Verdana"/>
          <w:color w:val="000000"/>
          <w:sz w:val="20"/>
          <w:szCs w:val="20"/>
          <w:lang w:eastAsia="en-US"/>
        </w:rPr>
        <w:t>ruchomości opisany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we wniosku.</w:t>
      </w:r>
      <w:r w:rsidR="002532A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</w:t>
      </w:r>
      <w:r w:rsidR="00BF6890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 ocenie wnioskodawcy nabyte przez spółkę obiekty szpitalne nie mogły być przystosowane np. do prowadzenia działalności gastronomicznej z uwagi na liczne uszkodzenia ścian, stropów, posadzek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="00BF6890">
        <w:rPr>
          <w:rFonts w:ascii="Verdana" w:eastAsia="Calibri" w:hAnsi="Verdana" w:cs="Verdana"/>
          <w:color w:val="000000"/>
          <w:sz w:val="20"/>
          <w:szCs w:val="20"/>
          <w:lang w:eastAsia="en-US"/>
        </w:rPr>
        <w:t>i instalacji, a także ogólny zły stan techniczny obiektu wymagający badań, odkażania oraz gruntownych prac remontowych. Potwierdzenie</w:t>
      </w:r>
      <w:r w:rsidR="00E96831">
        <w:rPr>
          <w:rFonts w:ascii="Verdana" w:eastAsia="Calibri" w:hAnsi="Verdana" w:cs="Verdana"/>
          <w:color w:val="000000"/>
          <w:sz w:val="20"/>
          <w:szCs w:val="20"/>
          <w:lang w:eastAsia="en-US"/>
        </w:rPr>
        <w:t>m</w:t>
      </w:r>
      <w:r w:rsidR="00BF6890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powyższych </w:t>
      </w:r>
      <w:r w:rsidR="00BF6890">
        <w:rPr>
          <w:rFonts w:ascii="Verdana" w:eastAsia="Calibri" w:hAnsi="Verdana" w:cs="Verdana"/>
          <w:color w:val="000000"/>
          <w:sz w:val="20"/>
          <w:szCs w:val="20"/>
          <w:lang w:eastAsia="en-US"/>
        </w:rPr>
        <w:lastRenderedPageBreak/>
        <w:t xml:space="preserve">okoliczności stanowią protokoły z okresowych kontroli stanu technicznego dołączone w wniosku. Opisane przez pełnomocnika spółki okoliczności 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nie stanowią jednak o zerwaniu </w:t>
      </w:r>
      <w:r w:rsidR="005F5A11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związku 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nabytych nieruchomości z działalnością gospodarczą. Nieruchomości te </w:t>
      </w:r>
      <w:r w:rsidR="005F5A11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wnioskodawca 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>nabył w ramach i w związku z prowadzoną działa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>l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>nością gospodarczą. Ze złożonego w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>nio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>s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>k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u nie wynika 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>p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rzy tym aby spółka prowadziła działalność inną niż gospodarczą oraz aby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jej 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>zami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>a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>r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>e</w:t>
      </w:r>
      <w:r w:rsidR="00E40EAA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m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t>było</w:t>
      </w:r>
      <w:r w:rsidR="00EB10D5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niegospodarcze wykorzystanie</w:t>
      </w:r>
      <w:r w:rsidR="005F5A11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nabytych nieruchomości. </w:t>
      </w:r>
    </w:p>
    <w:p w:rsidR="00F35649" w:rsidRDefault="005F5A11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Jeżeli zatem </w:t>
      </w:r>
      <w:r w:rsidR="00E96831">
        <w:rPr>
          <w:rFonts w:ascii="Verdana" w:eastAsia="Calibri" w:hAnsi="Verdana" w:cs="Verdana"/>
          <w:color w:val="000000"/>
          <w:sz w:val="20"/>
          <w:szCs w:val="20"/>
          <w:lang w:eastAsia="en-US"/>
        </w:rPr>
        <w:t>Spółka podjęła decyzję o zakupie nieruchomości</w:t>
      </w:r>
      <w:r w:rsid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="00E96831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 nabycie nie nastąpiło w </w:t>
      </w:r>
      <w:r w:rsidR="00E96831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>ramach innej niż gospodarcza działalność</w:t>
      </w:r>
      <w:r w:rsidR="00C25C7B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="00E96831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to w sprawie nie występują obiektywne okoliczności, które pozwalają stwierdzić, że przedmiotowe grunty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="00E96831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i budowle nie mogły być choćby potencjalnie wykorzystane w działalności gospodarczej. </w:t>
      </w:r>
      <w:r w:rsidR="00C25C7B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Ze złożonego wniosku wynika z kolei, że Spółka </w:t>
      </w:r>
      <w:r w:rsidR="008A6A3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sama dostrzega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="008A6A3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i potwierdza </w:t>
      </w:r>
      <w:r w:rsidR="00C25C7B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inwestycyjny cel w jakim nabyła przedmiotowe nieruchomości, co </w:t>
      </w:r>
      <w:r w:rsidR="00804E33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="00C25C7B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 ocenie tutejszego organu wpisuje się w przedmiot działalności spółki, </w:t>
      </w:r>
      <w:r w:rsidR="008A6A3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określony </w:t>
      </w:r>
      <w:r w:rsidR="00C25C7B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wg Polskiej Klasyfikacji Działalności Gospodarczej </w:t>
      </w:r>
      <w:r w:rsidR="008A6A33">
        <w:rPr>
          <w:rFonts w:ascii="Verdana" w:eastAsia="Calibri" w:hAnsi="Verdana" w:cs="Verdana"/>
          <w:color w:val="000000"/>
          <w:sz w:val="20"/>
          <w:szCs w:val="20"/>
          <w:lang w:eastAsia="en-US"/>
        </w:rPr>
        <w:t>jako</w:t>
      </w:r>
      <w:r w:rsidR="00C25C7B" w:rsidRPr="00C25C7B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</w:t>
      </w:r>
      <w:r w:rsidR="00C25C7B" w:rsidRPr="00C25C7B">
        <w:rPr>
          <w:rFonts w:ascii="Verdana" w:hAnsi="Verdana"/>
          <w:iCs/>
          <w:sz w:val="20"/>
          <w:szCs w:val="20"/>
        </w:rPr>
        <w:t>kupno i sprzedaż nieruchomości na własny rachunek</w:t>
      </w:r>
      <w:r w:rsidR="008A6A33">
        <w:rPr>
          <w:rFonts w:ascii="Verdana" w:hAnsi="Verdana"/>
          <w:iCs/>
          <w:sz w:val="20"/>
          <w:szCs w:val="20"/>
        </w:rPr>
        <w:t xml:space="preserve">. Powyższe </w:t>
      </w:r>
      <w:r w:rsidR="00C25C7B" w:rsidRPr="00C25C7B">
        <w:rPr>
          <w:rFonts w:ascii="Verdana" w:hAnsi="Verdana"/>
          <w:iCs/>
          <w:sz w:val="20"/>
          <w:szCs w:val="20"/>
        </w:rPr>
        <w:t xml:space="preserve">potwierdza związek z tą działalnością nawet jeśli w opisanych budynkach oraz na </w:t>
      </w:r>
      <w:r w:rsidR="008A6A33">
        <w:rPr>
          <w:rFonts w:ascii="Verdana" w:hAnsi="Verdana"/>
          <w:iCs/>
          <w:sz w:val="20"/>
          <w:szCs w:val="20"/>
        </w:rPr>
        <w:t xml:space="preserve">posiadanych </w:t>
      </w:r>
      <w:r w:rsidR="00C25C7B" w:rsidRPr="00C25C7B">
        <w:rPr>
          <w:rFonts w:ascii="Verdana" w:hAnsi="Verdana"/>
          <w:iCs/>
          <w:sz w:val="20"/>
          <w:szCs w:val="20"/>
        </w:rPr>
        <w:t>grun</w:t>
      </w:r>
      <w:r w:rsidR="008A6A33">
        <w:rPr>
          <w:rFonts w:ascii="Verdana" w:hAnsi="Verdana"/>
          <w:iCs/>
          <w:sz w:val="20"/>
          <w:szCs w:val="20"/>
        </w:rPr>
        <w:t xml:space="preserve">tach spółki </w:t>
      </w:r>
      <w:r w:rsidR="00C25C7B" w:rsidRPr="00C25C7B">
        <w:rPr>
          <w:rFonts w:ascii="Verdana" w:hAnsi="Verdana"/>
          <w:iCs/>
          <w:sz w:val="20"/>
          <w:szCs w:val="20"/>
        </w:rPr>
        <w:t xml:space="preserve">nie odbywały się </w:t>
      </w:r>
      <w:r w:rsidR="00804E33">
        <w:rPr>
          <w:rFonts w:ascii="Verdana" w:hAnsi="Verdana"/>
          <w:sz w:val="20"/>
          <w:szCs w:val="20"/>
        </w:rPr>
        <w:t>żadne faktyczne ani</w:t>
      </w:r>
      <w:r w:rsidR="00C25C7B" w:rsidRPr="00C25C7B">
        <w:rPr>
          <w:rFonts w:ascii="Verdana" w:hAnsi="Verdana"/>
          <w:sz w:val="20"/>
          <w:szCs w:val="20"/>
        </w:rPr>
        <w:t xml:space="preserve"> bezpośrednie działania </w:t>
      </w:r>
      <w:r w:rsidR="00C25C7B" w:rsidRPr="00C25C7B">
        <w:rPr>
          <w:rFonts w:ascii="Verdana" w:hAnsi="Verdana"/>
          <w:iCs/>
          <w:sz w:val="20"/>
          <w:szCs w:val="20"/>
        </w:rPr>
        <w:t xml:space="preserve">świadczące </w:t>
      </w:r>
      <w:r w:rsidR="00804E33">
        <w:rPr>
          <w:rFonts w:ascii="Verdana" w:hAnsi="Verdana"/>
          <w:iCs/>
          <w:sz w:val="20"/>
          <w:szCs w:val="20"/>
        </w:rPr>
        <w:br/>
      </w:r>
      <w:r w:rsidR="00C25C7B" w:rsidRPr="00C25C7B">
        <w:rPr>
          <w:rFonts w:ascii="Verdana" w:hAnsi="Verdana"/>
          <w:iCs/>
          <w:sz w:val="20"/>
          <w:szCs w:val="20"/>
        </w:rPr>
        <w:t xml:space="preserve">o prowadzeniu działalności gospodarczej. </w:t>
      </w:r>
    </w:p>
    <w:p w:rsidR="001C6104" w:rsidRDefault="00F35649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Zauważyć </w:t>
      </w:r>
      <w:r w:rsidR="008A6A33">
        <w:rPr>
          <w:rFonts w:ascii="Verdana" w:hAnsi="Verdana"/>
          <w:iCs/>
          <w:sz w:val="20"/>
          <w:szCs w:val="20"/>
        </w:rPr>
        <w:t xml:space="preserve">w tym miejscu należy, że </w:t>
      </w:r>
      <w:r>
        <w:rPr>
          <w:rFonts w:ascii="Verdana" w:hAnsi="Verdana"/>
          <w:iCs/>
          <w:sz w:val="20"/>
          <w:szCs w:val="20"/>
        </w:rPr>
        <w:t>spółka niezasadnie tożsamo pojmuje  znaczenie definicji gruntów budynków i budowli "związanych" z prowadzeniem działalności gospodarczej z gruntami, budynkami oraz budowlami</w:t>
      </w:r>
      <w:r w:rsidR="00804E33">
        <w:rPr>
          <w:rFonts w:ascii="Verdana" w:hAnsi="Verdana"/>
          <w:iCs/>
          <w:sz w:val="20"/>
          <w:szCs w:val="20"/>
        </w:rPr>
        <w:t>,</w:t>
      </w:r>
      <w:r>
        <w:rPr>
          <w:rFonts w:ascii="Verdana" w:hAnsi="Verdana"/>
          <w:iCs/>
          <w:sz w:val="20"/>
          <w:szCs w:val="20"/>
        </w:rPr>
        <w:t xml:space="preserve"> które są  </w:t>
      </w:r>
      <w:r w:rsidR="00804E33">
        <w:rPr>
          <w:rFonts w:ascii="Verdana" w:hAnsi="Verdana"/>
          <w:iCs/>
          <w:sz w:val="20"/>
          <w:szCs w:val="20"/>
        </w:rPr>
        <w:t>"</w:t>
      </w:r>
      <w:r>
        <w:rPr>
          <w:rFonts w:ascii="Verdana" w:hAnsi="Verdana"/>
          <w:iCs/>
          <w:sz w:val="20"/>
          <w:szCs w:val="20"/>
        </w:rPr>
        <w:t>zajęte</w:t>
      </w:r>
      <w:r w:rsidR="00804E33">
        <w:rPr>
          <w:rFonts w:ascii="Verdana" w:hAnsi="Verdana"/>
          <w:iCs/>
          <w:sz w:val="20"/>
          <w:szCs w:val="20"/>
        </w:rPr>
        <w:t>"</w:t>
      </w:r>
      <w:r>
        <w:rPr>
          <w:rFonts w:ascii="Verdana" w:hAnsi="Verdana"/>
          <w:iCs/>
          <w:sz w:val="20"/>
          <w:szCs w:val="20"/>
        </w:rPr>
        <w:t xml:space="preserve"> na prowadzenie działalności gospodarczej. Pojęciom tym na gruncie </w:t>
      </w:r>
      <w:proofErr w:type="spellStart"/>
      <w:r>
        <w:rPr>
          <w:rFonts w:ascii="Verdana" w:hAnsi="Verdana"/>
          <w:iCs/>
          <w:sz w:val="20"/>
          <w:szCs w:val="20"/>
        </w:rPr>
        <w:t>upol</w:t>
      </w:r>
      <w:proofErr w:type="spellEnd"/>
      <w:r>
        <w:rPr>
          <w:rFonts w:ascii="Verdana" w:hAnsi="Verdana"/>
          <w:iCs/>
          <w:sz w:val="20"/>
          <w:szCs w:val="20"/>
        </w:rPr>
        <w:t xml:space="preserve"> przypisywać należy</w:t>
      </w:r>
      <w:r w:rsidRPr="00F35649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odrębne znaczenia mimo </w:t>
      </w:r>
      <w:r w:rsidR="00804E33">
        <w:rPr>
          <w:rFonts w:ascii="Verdana" w:hAnsi="Verdana"/>
          <w:iCs/>
          <w:sz w:val="20"/>
          <w:szCs w:val="20"/>
        </w:rPr>
        <w:t xml:space="preserve">wyroku interpretacyjnego </w:t>
      </w:r>
      <w:r>
        <w:rPr>
          <w:rFonts w:ascii="Verdana" w:hAnsi="Verdana"/>
          <w:iCs/>
          <w:sz w:val="20"/>
          <w:szCs w:val="20"/>
        </w:rPr>
        <w:t>Trybunału Konstytucyjnego, któr</w:t>
      </w:r>
      <w:r w:rsidR="00804E33">
        <w:rPr>
          <w:rFonts w:ascii="Verdana" w:hAnsi="Verdana"/>
          <w:iCs/>
          <w:sz w:val="20"/>
          <w:szCs w:val="20"/>
        </w:rPr>
        <w:t>y</w:t>
      </w:r>
      <w:r>
        <w:rPr>
          <w:rFonts w:ascii="Verdana" w:hAnsi="Verdana"/>
          <w:iCs/>
          <w:sz w:val="20"/>
          <w:szCs w:val="20"/>
        </w:rPr>
        <w:t xml:space="preserve"> </w:t>
      </w:r>
      <w:r w:rsidR="00804E33">
        <w:rPr>
          <w:rFonts w:ascii="Verdana" w:hAnsi="Verdana"/>
          <w:iCs/>
          <w:sz w:val="20"/>
          <w:szCs w:val="20"/>
        </w:rPr>
        <w:t xml:space="preserve">odnosi się do </w:t>
      </w:r>
      <w:r>
        <w:rPr>
          <w:rFonts w:ascii="Verdana" w:hAnsi="Verdana"/>
          <w:iCs/>
          <w:sz w:val="20"/>
          <w:szCs w:val="20"/>
        </w:rPr>
        <w:t xml:space="preserve">definicji legalnej gruntów budynków </w:t>
      </w:r>
      <w:r w:rsidR="00D00CB5">
        <w:rPr>
          <w:rFonts w:ascii="Verdana" w:hAnsi="Verdana"/>
          <w:iCs/>
          <w:sz w:val="20"/>
          <w:szCs w:val="20"/>
        </w:rPr>
        <w:br/>
      </w:r>
      <w:r>
        <w:rPr>
          <w:rFonts w:ascii="Verdana" w:hAnsi="Verdana"/>
          <w:iCs/>
          <w:sz w:val="20"/>
          <w:szCs w:val="20"/>
        </w:rPr>
        <w:t xml:space="preserve">i budowli "związanych" z prowadzeniem działalności gospodarczej. Tylko z pozoru </w:t>
      </w:r>
      <w:r w:rsidR="001C6104">
        <w:rPr>
          <w:rFonts w:ascii="Verdana" w:hAnsi="Verdana"/>
          <w:iCs/>
          <w:sz w:val="20"/>
          <w:szCs w:val="20"/>
        </w:rPr>
        <w:t xml:space="preserve">w myśl omawianego wyroku Trybunału, </w:t>
      </w:r>
      <w:r>
        <w:rPr>
          <w:rFonts w:ascii="Verdana" w:hAnsi="Verdana"/>
          <w:iCs/>
          <w:sz w:val="20"/>
          <w:szCs w:val="20"/>
        </w:rPr>
        <w:t xml:space="preserve">przedmioty opodatkowania związane </w:t>
      </w:r>
      <w:r w:rsidR="001C6104">
        <w:rPr>
          <w:rFonts w:ascii="Verdana" w:hAnsi="Verdana"/>
          <w:iCs/>
          <w:sz w:val="20"/>
          <w:szCs w:val="20"/>
        </w:rPr>
        <w:br/>
      </w:r>
      <w:r>
        <w:rPr>
          <w:rFonts w:ascii="Verdana" w:hAnsi="Verdana"/>
          <w:iCs/>
          <w:sz w:val="20"/>
          <w:szCs w:val="20"/>
        </w:rPr>
        <w:t xml:space="preserve">z prowadzeniem działalności gospodarczej należy utożsamiać z przedmiotami, które są zajęte na prowadzenie działalności gospodarczej, a więc, które aktualnie </w:t>
      </w:r>
      <w:r w:rsidR="00984A7D">
        <w:rPr>
          <w:rFonts w:ascii="Verdana" w:hAnsi="Verdana"/>
          <w:iCs/>
          <w:sz w:val="20"/>
          <w:szCs w:val="20"/>
        </w:rPr>
        <w:t xml:space="preserve">są wykorzystywane w tej działalności tj. przynoszą realne dochody lub noszą oznaki ich gospodarczego przeznaczenia lub użytkowania. </w:t>
      </w:r>
    </w:p>
    <w:p w:rsidR="00D00CB5" w:rsidRDefault="001C6104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We wniosku spółka wskazała, że grunty, budynki i budowle nabyła w celach inwestycyjnych jednak nie wykorzystywała ich w żaden sposób w swojej działalności. Jako operator restauracyjny spółka nie mogła też zaadaptować tych nieruchomości (ze względu m.in. na ich charakter oraz zużycie) na swoją działalność. Posiadane obiekty były poddane </w:t>
      </w:r>
      <w:r w:rsidR="0070693A">
        <w:rPr>
          <w:rFonts w:ascii="Verdana" w:hAnsi="Verdana"/>
          <w:iCs/>
          <w:sz w:val="20"/>
          <w:szCs w:val="20"/>
        </w:rPr>
        <w:t xml:space="preserve">jedynie </w:t>
      </w:r>
      <w:r>
        <w:rPr>
          <w:rFonts w:ascii="Verdana" w:hAnsi="Verdana"/>
          <w:iCs/>
          <w:sz w:val="20"/>
          <w:szCs w:val="20"/>
        </w:rPr>
        <w:t xml:space="preserve">działaniom </w:t>
      </w:r>
      <w:r w:rsidR="0070693A">
        <w:rPr>
          <w:rFonts w:ascii="Verdana" w:hAnsi="Verdana"/>
          <w:iCs/>
          <w:sz w:val="20"/>
          <w:szCs w:val="20"/>
        </w:rPr>
        <w:t xml:space="preserve">zachowującym ich trwałość jak sprzątanie i ochranianie. </w:t>
      </w:r>
      <w:r>
        <w:rPr>
          <w:rFonts w:ascii="Verdana" w:hAnsi="Verdana"/>
          <w:iCs/>
          <w:sz w:val="20"/>
          <w:szCs w:val="20"/>
        </w:rPr>
        <w:t xml:space="preserve">W opisanym stanie faktycznym w pełni uzasadnione jest </w:t>
      </w:r>
      <w:r w:rsidR="0070693A">
        <w:rPr>
          <w:rFonts w:ascii="Verdana" w:hAnsi="Verdana"/>
          <w:iCs/>
          <w:sz w:val="20"/>
          <w:szCs w:val="20"/>
        </w:rPr>
        <w:t xml:space="preserve">zatem twierdzenie, że samo zakwalifikowanie zakupu </w:t>
      </w:r>
      <w:r w:rsidR="0070693A">
        <w:rPr>
          <w:rFonts w:ascii="Verdana" w:hAnsi="Verdana"/>
          <w:iCs/>
          <w:sz w:val="20"/>
          <w:szCs w:val="20"/>
        </w:rPr>
        <w:lastRenderedPageBreak/>
        <w:t xml:space="preserve">nieruchomości jako działanie inwestycyjne, ponoszenie nakładów na utrzymanie posiadanych obiektów w celu niedoprowadzenia do utraty wartości składników majątkowych nabytych w ramach prowadzonej działalności gospodarczej, </w:t>
      </w:r>
      <w:r w:rsidR="0070693A" w:rsidRPr="0070693A">
        <w:rPr>
          <w:rFonts w:ascii="Verdana" w:hAnsi="Verdana"/>
          <w:iCs/>
          <w:sz w:val="20"/>
          <w:szCs w:val="20"/>
        </w:rPr>
        <w:t>świadczy o ich związku z tą działalnością. Ponadto podkreślenia wymaga, że spółka finalnie przedmiotową nieruchomość s</w:t>
      </w:r>
      <w:r w:rsidR="00360908">
        <w:rPr>
          <w:rFonts w:ascii="Verdana" w:hAnsi="Verdana"/>
          <w:iCs/>
          <w:sz w:val="20"/>
          <w:szCs w:val="20"/>
        </w:rPr>
        <w:t>przedała, co również wpisuje się</w:t>
      </w:r>
      <w:r w:rsidR="0070693A" w:rsidRPr="0070693A">
        <w:rPr>
          <w:rFonts w:ascii="Verdana" w:hAnsi="Verdana"/>
          <w:iCs/>
          <w:sz w:val="20"/>
          <w:szCs w:val="20"/>
        </w:rPr>
        <w:t xml:space="preserve"> we wskazany we wniosku przedmiot prowadzonej działalności gospodarczej tj. kupno i sprzedaż nieruchomości na własny rachunek. Z kolej w myśl przepisów ustawy z dnia </w:t>
      </w:r>
      <w:r w:rsidR="0070693A">
        <w:rPr>
          <w:rFonts w:ascii="Verdana" w:hAnsi="Verdana"/>
          <w:iCs/>
          <w:sz w:val="20"/>
          <w:szCs w:val="20"/>
        </w:rPr>
        <w:t xml:space="preserve">29 września 1994 r. </w:t>
      </w:r>
      <w:r w:rsidR="0070693A" w:rsidRPr="0070693A">
        <w:rPr>
          <w:rFonts w:ascii="Verdana" w:hAnsi="Verdana"/>
          <w:iCs/>
          <w:sz w:val="20"/>
          <w:szCs w:val="20"/>
        </w:rPr>
        <w:t xml:space="preserve">o rachunkowości przez </w:t>
      </w:r>
      <w:r w:rsidR="0070693A" w:rsidRPr="0070693A">
        <w:rPr>
          <w:rFonts w:ascii="Verdana" w:hAnsi="Verdana"/>
          <w:sz w:val="20"/>
          <w:szCs w:val="20"/>
        </w:rPr>
        <w:t xml:space="preserve">inwestycje - rozumie się aktywa posiadane przez jednostkę w celu osiągnięcia z nich korzyści ekonomicznych wynikających z przyrostu wartości tych aktywów, uzyskania przychodów w formie odsetek, dywidend (udziałów w zyskach) lub innych pożytków, w tym również </w:t>
      </w:r>
      <w:r w:rsidR="00D00CB5">
        <w:rPr>
          <w:rFonts w:ascii="Verdana" w:hAnsi="Verdana"/>
          <w:sz w:val="20"/>
          <w:szCs w:val="20"/>
        </w:rPr>
        <w:br/>
      </w:r>
      <w:r w:rsidR="0070693A" w:rsidRPr="0070693A">
        <w:rPr>
          <w:rFonts w:ascii="Verdana" w:hAnsi="Verdana"/>
          <w:sz w:val="20"/>
          <w:szCs w:val="20"/>
        </w:rPr>
        <w:t>z transakcji handlowej, a w szczególności aktywa finansowe oraz te nieruchomości i wartości niematerialne i prawne, które nie są użytkowane przez jednostkę, lecz są posiadane przez nią w celu osiągnięcia tych korzyści</w:t>
      </w:r>
      <w:r w:rsidR="0070693A">
        <w:rPr>
          <w:rFonts w:ascii="Verdana" w:hAnsi="Verdana"/>
          <w:sz w:val="20"/>
          <w:szCs w:val="20"/>
        </w:rPr>
        <w:t xml:space="preserve"> (art. 7 </w:t>
      </w:r>
      <w:r w:rsidR="00BC64A5">
        <w:rPr>
          <w:rFonts w:ascii="Verdana" w:hAnsi="Verdana"/>
          <w:sz w:val="20"/>
          <w:szCs w:val="20"/>
        </w:rPr>
        <w:t xml:space="preserve">ust. 1 </w:t>
      </w:r>
      <w:proofErr w:type="spellStart"/>
      <w:r w:rsidR="0070693A">
        <w:rPr>
          <w:rFonts w:ascii="Verdana" w:hAnsi="Verdana"/>
          <w:sz w:val="20"/>
          <w:szCs w:val="20"/>
        </w:rPr>
        <w:t>pkt</w:t>
      </w:r>
      <w:proofErr w:type="spellEnd"/>
      <w:r w:rsidR="0070693A">
        <w:rPr>
          <w:rFonts w:ascii="Verdana" w:hAnsi="Verdana"/>
          <w:sz w:val="20"/>
          <w:szCs w:val="20"/>
        </w:rPr>
        <w:t xml:space="preserve"> 17 ww. ustawy). </w:t>
      </w:r>
      <w:r w:rsidR="00D00CB5">
        <w:rPr>
          <w:rFonts w:ascii="Verdana" w:hAnsi="Verdana"/>
          <w:sz w:val="20"/>
          <w:szCs w:val="20"/>
        </w:rPr>
        <w:t xml:space="preserve">Z opisanego stanu faktycznego nie wynika, czy spółka odnotowała korzyści ekonomiczne w wyniku sprzedaży posiadanego kompleksu budynków, to niezależnie od tych okoliczności, nie jest uprawnione twierdzenie, że zakup, ponoszenie nakładów na posiadaną nieruchomości a następnie jej sprzedaż, nie odbywało się w ramach i w związku z prowadzoną działalnością gospodarczą. </w:t>
      </w:r>
    </w:p>
    <w:p w:rsidR="00984A7D" w:rsidRDefault="005B18CF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W ocenie organu </w:t>
      </w:r>
      <w:r w:rsidR="00984A7D">
        <w:rPr>
          <w:rFonts w:ascii="Verdana" w:hAnsi="Verdana"/>
          <w:iCs/>
          <w:sz w:val="20"/>
          <w:szCs w:val="20"/>
        </w:rPr>
        <w:t xml:space="preserve">pełnomocnik wnioskodawcy </w:t>
      </w:r>
      <w:r w:rsidR="00F23CA2">
        <w:rPr>
          <w:rFonts w:ascii="Verdana" w:hAnsi="Verdana"/>
          <w:iCs/>
          <w:sz w:val="20"/>
          <w:szCs w:val="20"/>
        </w:rPr>
        <w:t xml:space="preserve">niezasadnie </w:t>
      </w:r>
      <w:r w:rsidR="00984A7D">
        <w:rPr>
          <w:rFonts w:ascii="Verdana" w:hAnsi="Verdana"/>
          <w:iCs/>
          <w:sz w:val="20"/>
          <w:szCs w:val="20"/>
        </w:rPr>
        <w:t xml:space="preserve">przywołuje orzeczenia Naczelnego Sądu Administracyjnego dotyczące m.in. opodatkowania </w:t>
      </w:r>
      <w:r>
        <w:rPr>
          <w:rFonts w:ascii="Verdana" w:hAnsi="Verdana"/>
          <w:iCs/>
          <w:sz w:val="20"/>
          <w:szCs w:val="20"/>
        </w:rPr>
        <w:t xml:space="preserve">majątku </w:t>
      </w:r>
      <w:r w:rsidR="00984A7D">
        <w:rPr>
          <w:rFonts w:ascii="Verdana" w:hAnsi="Verdana"/>
          <w:iCs/>
          <w:sz w:val="20"/>
          <w:szCs w:val="20"/>
        </w:rPr>
        <w:t xml:space="preserve">Agencji Mienia Wojskowego oraz przedsiębiorców – osób fizycznych, którzy </w:t>
      </w:r>
      <w:r w:rsidR="00360908">
        <w:rPr>
          <w:rFonts w:ascii="Verdana" w:hAnsi="Verdana"/>
          <w:iCs/>
          <w:sz w:val="20"/>
          <w:szCs w:val="20"/>
        </w:rPr>
        <w:br/>
      </w:r>
      <w:r w:rsidR="00984A7D">
        <w:rPr>
          <w:rFonts w:ascii="Verdana" w:hAnsi="Verdana"/>
          <w:iCs/>
          <w:sz w:val="20"/>
          <w:szCs w:val="20"/>
        </w:rPr>
        <w:t xml:space="preserve">w obrocie gospodarczym występują w dwojakim charakterze. Szczegółowa analiza tych </w:t>
      </w:r>
      <w:r>
        <w:rPr>
          <w:rFonts w:ascii="Verdana" w:hAnsi="Verdana"/>
          <w:iCs/>
          <w:sz w:val="20"/>
          <w:szCs w:val="20"/>
        </w:rPr>
        <w:t xml:space="preserve">orzeczeń </w:t>
      </w:r>
      <w:r w:rsidR="00984A7D">
        <w:rPr>
          <w:rFonts w:ascii="Verdana" w:hAnsi="Verdana"/>
          <w:iCs/>
          <w:sz w:val="20"/>
          <w:szCs w:val="20"/>
        </w:rPr>
        <w:t>prowadzi</w:t>
      </w:r>
      <w:r w:rsidR="005302AC">
        <w:rPr>
          <w:rFonts w:ascii="Verdana" w:hAnsi="Verdana"/>
          <w:iCs/>
          <w:sz w:val="20"/>
          <w:szCs w:val="20"/>
        </w:rPr>
        <w:t xml:space="preserve"> do wniosku, że </w:t>
      </w:r>
      <w:r w:rsidR="00984A7D">
        <w:rPr>
          <w:rFonts w:ascii="Verdana" w:hAnsi="Verdana"/>
          <w:iCs/>
          <w:sz w:val="20"/>
          <w:szCs w:val="20"/>
        </w:rPr>
        <w:t>przedsiębiorca, który nie</w:t>
      </w:r>
      <w:r w:rsidR="005302AC">
        <w:rPr>
          <w:rFonts w:ascii="Verdana" w:hAnsi="Verdana"/>
          <w:iCs/>
          <w:sz w:val="20"/>
          <w:szCs w:val="20"/>
        </w:rPr>
        <w:t xml:space="preserve"> wykorzystuje części swojego majątku do prowadzenia działalności gospodarczej, nie może być obciążany podatkiem wg stawek najwyższych. Nie można jednak pominąć okoliczności, że sytuacja podmiotu występującego o interpretację będącego spółką prawa handlowego</w:t>
      </w:r>
      <w:r w:rsidR="005E5D73">
        <w:rPr>
          <w:rFonts w:ascii="Verdana" w:hAnsi="Verdana"/>
          <w:iCs/>
          <w:sz w:val="20"/>
          <w:szCs w:val="20"/>
        </w:rPr>
        <w:t>,</w:t>
      </w:r>
      <w:r w:rsidR="005302AC">
        <w:rPr>
          <w:rFonts w:ascii="Verdana" w:hAnsi="Verdana"/>
          <w:iCs/>
          <w:sz w:val="20"/>
          <w:szCs w:val="20"/>
        </w:rPr>
        <w:t xml:space="preserve"> zajmującą się kupnem i sprzedażą nieruchomości oraz działalnością </w:t>
      </w:r>
      <w:proofErr w:type="spellStart"/>
      <w:r w:rsidR="005302AC">
        <w:rPr>
          <w:rFonts w:ascii="Verdana" w:hAnsi="Verdana"/>
          <w:iCs/>
          <w:sz w:val="20"/>
          <w:szCs w:val="20"/>
        </w:rPr>
        <w:t>okołogastronomiczną</w:t>
      </w:r>
      <w:proofErr w:type="spellEnd"/>
      <w:r w:rsidR="005302AC">
        <w:rPr>
          <w:rFonts w:ascii="Verdana" w:hAnsi="Verdana"/>
          <w:iCs/>
          <w:sz w:val="20"/>
          <w:szCs w:val="20"/>
        </w:rPr>
        <w:t xml:space="preserve"> odbiega od sytuacji w jakiej </w:t>
      </w:r>
      <w:r w:rsidR="005E5D73">
        <w:rPr>
          <w:rFonts w:ascii="Verdana" w:hAnsi="Verdana"/>
          <w:iCs/>
          <w:sz w:val="20"/>
          <w:szCs w:val="20"/>
        </w:rPr>
        <w:t xml:space="preserve">w obrocie gospodarczym występuje przedsiębiorca, który prowadzi jednocześnie </w:t>
      </w:r>
      <w:r>
        <w:rPr>
          <w:rFonts w:ascii="Verdana" w:hAnsi="Verdana"/>
          <w:iCs/>
          <w:sz w:val="20"/>
          <w:szCs w:val="20"/>
        </w:rPr>
        <w:t xml:space="preserve">odrębną </w:t>
      </w:r>
      <w:r w:rsidR="005E5D73">
        <w:rPr>
          <w:rFonts w:ascii="Verdana" w:hAnsi="Verdana"/>
          <w:iCs/>
          <w:sz w:val="20"/>
          <w:szCs w:val="20"/>
        </w:rPr>
        <w:t>działalność na m</w:t>
      </w:r>
      <w:r w:rsidR="00F23CA2">
        <w:rPr>
          <w:rFonts w:ascii="Verdana" w:hAnsi="Verdana"/>
          <w:iCs/>
          <w:sz w:val="20"/>
          <w:szCs w:val="20"/>
        </w:rPr>
        <w:t>ocy przepisów szczególnych, co</w:t>
      </w:r>
      <w:r w:rsidR="005E5D73">
        <w:rPr>
          <w:rFonts w:ascii="Verdana" w:hAnsi="Verdana"/>
          <w:iCs/>
          <w:sz w:val="20"/>
          <w:szCs w:val="20"/>
        </w:rPr>
        <w:t xml:space="preserve"> nie </w:t>
      </w:r>
      <w:r w:rsidR="00F23CA2">
        <w:rPr>
          <w:rFonts w:ascii="Verdana" w:hAnsi="Verdana"/>
          <w:iCs/>
          <w:sz w:val="20"/>
          <w:szCs w:val="20"/>
        </w:rPr>
        <w:t xml:space="preserve">jest definiowane jako </w:t>
      </w:r>
      <w:r w:rsidR="005E5D73">
        <w:rPr>
          <w:rFonts w:ascii="Verdana" w:hAnsi="Verdana"/>
          <w:iCs/>
          <w:sz w:val="20"/>
          <w:szCs w:val="20"/>
        </w:rPr>
        <w:t xml:space="preserve"> prowadzenie działalności gospodarczej lub w zależności od charakteru stosunku prawnego </w:t>
      </w:r>
      <w:r>
        <w:rPr>
          <w:rFonts w:ascii="Verdana" w:hAnsi="Verdana"/>
          <w:iCs/>
          <w:sz w:val="20"/>
          <w:szCs w:val="20"/>
        </w:rPr>
        <w:t xml:space="preserve">uczestniczy w obrocie </w:t>
      </w:r>
      <w:r w:rsidR="005E5D73">
        <w:rPr>
          <w:rFonts w:ascii="Verdana" w:hAnsi="Verdana"/>
          <w:iCs/>
          <w:sz w:val="20"/>
          <w:szCs w:val="20"/>
        </w:rPr>
        <w:t xml:space="preserve">jako przedsiębiorca </w:t>
      </w:r>
      <w:r>
        <w:rPr>
          <w:rFonts w:ascii="Verdana" w:hAnsi="Verdana"/>
          <w:iCs/>
          <w:sz w:val="20"/>
          <w:szCs w:val="20"/>
        </w:rPr>
        <w:t>albo</w:t>
      </w:r>
      <w:r w:rsidR="005E5D73">
        <w:rPr>
          <w:rFonts w:ascii="Verdana" w:hAnsi="Verdana"/>
          <w:iCs/>
          <w:sz w:val="20"/>
          <w:szCs w:val="20"/>
        </w:rPr>
        <w:t xml:space="preserve"> jako konsument (</w:t>
      </w:r>
      <w:r>
        <w:rPr>
          <w:rFonts w:ascii="Verdana" w:hAnsi="Verdana"/>
          <w:iCs/>
          <w:sz w:val="20"/>
          <w:szCs w:val="20"/>
        </w:rPr>
        <w:t xml:space="preserve">osoba fizyczna, </w:t>
      </w:r>
      <w:r w:rsidR="005E5D73">
        <w:rPr>
          <w:rFonts w:ascii="Verdana" w:hAnsi="Verdana"/>
          <w:iCs/>
          <w:sz w:val="20"/>
          <w:szCs w:val="20"/>
        </w:rPr>
        <w:t xml:space="preserve">nie-przedsiębiorca). Na te szczególne uwarunkowania </w:t>
      </w:r>
      <w:r w:rsidR="00FB3353">
        <w:rPr>
          <w:rFonts w:ascii="Verdana" w:hAnsi="Verdana"/>
          <w:iCs/>
          <w:sz w:val="20"/>
          <w:szCs w:val="20"/>
        </w:rPr>
        <w:t xml:space="preserve">w odniesieniu do podmiotów, które uczestniczą w obrocie gospodarczy </w:t>
      </w:r>
      <w:r w:rsidR="005E5D73">
        <w:rPr>
          <w:rFonts w:ascii="Verdana" w:hAnsi="Verdana"/>
          <w:iCs/>
          <w:sz w:val="20"/>
          <w:szCs w:val="20"/>
        </w:rPr>
        <w:t xml:space="preserve">słusznie zwrócił uwagę Naczelny Sąd Administracyjny w przywołanym wyroku sygn. akt </w:t>
      </w:r>
      <w:r w:rsidR="005E5D73">
        <w:rPr>
          <w:rFonts w:ascii="Verdana" w:eastAsia="Calibri" w:hAnsi="Verdana" w:cs="Verdana"/>
          <w:color w:val="000000"/>
          <w:sz w:val="20"/>
          <w:szCs w:val="20"/>
          <w:lang w:eastAsia="en-US"/>
        </w:rPr>
        <w:t>III FSK 4061/21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.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W o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rzeczeniu tym Sąd </w:t>
      </w:r>
      <w:r w:rsidR="005E5D7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trafnie 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>zakreślił przesłanki, które uniwersalnie św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iadczą </w:t>
      </w:r>
      <w:r w:rsidR="00F23CA2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o związku nieruchomości 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 działalnością gospodarczą niezależnie od tego czy ich właściciel (posiadacz) jest przedsiębiorcą. Z kolei w odniesieniu do typowych 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lastRenderedPageBreak/>
        <w:t>przedsiębiorców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 więc m.in. spółek prawa handlowego zawiązanych w celach gospodarczych, w ocenie NSA niezbędna jest analiza czy taki podmiot prowadzi działalność inną niż gospodarcza, i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czy 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do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jej 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prowadzenia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wykorzystuje on </w:t>
      </w:r>
      <w:r w:rsidR="00FB3353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dany składnik majątku (przedmiot opodatkowania podatkiem od nieruchomości). Jeżeli </w:t>
      </w:r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taka sytuacja nie ma miejsca, uprawnione będzie twierdzenie, że za związane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 działalnością gospodarczą w rozumieniu art. 1a ust. 1 </w:t>
      </w:r>
      <w:proofErr w:type="spellStart"/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>pkt</w:t>
      </w:r>
      <w:proofErr w:type="spellEnd"/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3 </w:t>
      </w:r>
      <w:proofErr w:type="spellStart"/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>upol</w:t>
      </w:r>
      <w:proofErr w:type="spellEnd"/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, można uznać nieruchomości stanowiące własność podatnika (znajdujące się w posiadaniu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samoistnym </w:t>
      </w:r>
      <w:r w:rsidR="00827847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albo użytkowaniu wieczystym), które są w posiadaniu przedsiębiorcy bez względu na to, czy nieruchomość jest wykorzystywana na prowadzenie działalności gospodarczej. </w:t>
      </w:r>
    </w:p>
    <w:p w:rsidR="00827847" w:rsidRPr="002331CE" w:rsidRDefault="00827847" w:rsidP="00827847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Zdaniem spółki wyrok Trybunału nie konkretyzuje jakie przyczyny świadczą </w:t>
      </w:r>
      <w:r w:rsidR="00F23CA2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o braku możliwości wykorzystania nieruchomości w działalności gospodarczej. </w:t>
      </w:r>
      <w:r w:rsidR="00F23CA2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W ocenie spółki jedną z takich przyczyn jest stan techniczny nieruchomości</w:t>
      </w:r>
      <w:r w:rsidR="00F23CA2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 na potwierdzenie swojego stanowiska wnioskodawca przywołał orzeczenia sądowo-</w:t>
      </w:r>
      <w:r w:rsidR="00F23CA2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  <w:t>-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administracyjne wydane na gruncie przepisów ustawy o podatkach i opłatach lokalnych w brzmieniu obowiązującym do końca 2015 r., gdy w </w:t>
      </w:r>
      <w:r w:rsidR="005B18CF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ustawodawca przewidział sytuację, w której grunty budynki i budowle mogły być opodatkowane niższymi stawkami (lub nie podlegać opodatkowaniu w ogóle w przypadku budowli) jeżeli nie były i nie mogły być wykorzystywane do </w:t>
      </w:r>
      <w:r w:rsidR="00F23CA2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prowadzenia działalności gospodarczej. </w:t>
      </w:r>
    </w:p>
    <w:p w:rsidR="00431DA7" w:rsidRDefault="00827847" w:rsidP="00431DA7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Z powyższą argumentacją nie sposób się zgodzić z uwagi na przywołany wyżej wyrok Naczelnego Sądu Administracyjnego (</w:t>
      </w:r>
      <w:r w:rsidRPr="002331CE">
        <w:rPr>
          <w:rFonts w:ascii="Verdana" w:hAnsi="Verdana"/>
          <w:iCs/>
          <w:sz w:val="20"/>
          <w:szCs w:val="20"/>
        </w:rPr>
        <w:t xml:space="preserve">sygn. akt 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III FSK 4061/21)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 także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na 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orzeczenia NSA oraz wyroki wojewódzkich sądów administracyjnych, które zapadły już po tym wyroku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i które jednolicie oceniają związek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przedmiotów opodatkowania w posiadaniu typowego przedsiębiorcy niezale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żnie od rodzaju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prowadzonej 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dzi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a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łalności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gospodarczej, 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charakteru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oraz cech szczególnych 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nieruchomo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ś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ci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ich </w:t>
      </w:r>
      <w:r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stanu technicznego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bądź innych przesłanek subiektywnie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warunkujących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w ocenie podatnika, możliwość ich gospodarczego wykorzystania. Nie jest zatem dopuszczalne, w ocenie tutejszego organu podatkowego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,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aby przy 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określaniu właściwej stawki podatku dla nieruchomości niewykorzystywanych </w:t>
      </w:r>
      <w:r w:rsidR="00872EFF">
        <w:rPr>
          <w:rFonts w:ascii="Verdana" w:eastAsia="Calibri" w:hAnsi="Verdana" w:cs="Verdana"/>
          <w:color w:val="000000"/>
          <w:sz w:val="20"/>
          <w:szCs w:val="20"/>
          <w:lang w:eastAsia="en-US"/>
        </w:rPr>
        <w:br/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w działalności gospodarczej posługiwać się kryteriami mieszczącymi się znaczeniowo w pojęciu </w:t>
      </w:r>
      <w:r w:rsidR="002331CE" w:rsidRPr="002331CE">
        <w:rPr>
          <w:rFonts w:ascii="Verdana" w:hAnsi="Verdana"/>
          <w:sz w:val="20"/>
          <w:szCs w:val="20"/>
        </w:rPr>
        <w:t>„</w:t>
      </w:r>
      <w:r w:rsidR="002331CE">
        <w:rPr>
          <w:rFonts w:ascii="Verdana" w:hAnsi="Verdana"/>
          <w:sz w:val="20"/>
          <w:szCs w:val="20"/>
        </w:rPr>
        <w:t>względów technicznych</w:t>
      </w:r>
      <w:r w:rsidR="002331CE" w:rsidRPr="005D6C34">
        <w:rPr>
          <w:rFonts w:ascii="Verdana" w:hAnsi="Verdana"/>
          <w:sz w:val="20"/>
          <w:szCs w:val="20"/>
        </w:rPr>
        <w:t>”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,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które ustawodawca zd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ec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ydował 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się usunąć z porządku prawnego z końcem 201</w:t>
      </w:r>
      <w:r w:rsidR="00431DA7">
        <w:rPr>
          <w:rFonts w:ascii="Verdana" w:eastAsia="Calibri" w:hAnsi="Verdana" w:cs="Verdana"/>
          <w:color w:val="000000"/>
          <w:sz w:val="20"/>
          <w:szCs w:val="20"/>
          <w:lang w:eastAsia="en-US"/>
        </w:rPr>
        <w:t>5</w:t>
      </w:r>
      <w:r w:rsid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r. </w:t>
      </w:r>
      <w:r w:rsidR="00431DA7">
        <w:rPr>
          <w:rFonts w:ascii="Verdana" w:eastAsia="Calibri" w:hAnsi="Verdana" w:cs="Verdana"/>
          <w:color w:val="000000"/>
          <w:sz w:val="20"/>
          <w:szCs w:val="20"/>
          <w:lang w:eastAsia="en-US"/>
        </w:rPr>
        <w:t>Od 1 st</w:t>
      </w:r>
      <w:r w:rsidR="00431DA7" w:rsidRPr="007D724E">
        <w:rPr>
          <w:rFonts w:ascii="Verdana" w:hAnsi="Verdana"/>
          <w:sz w:val="20"/>
          <w:szCs w:val="20"/>
        </w:rPr>
        <w:t xml:space="preserve">ycznia 2016 r. ustawodawca sprecyzował, że do gruntów, budynków i budowli związanych </w:t>
      </w:r>
      <w:r w:rsidR="00872EFF">
        <w:rPr>
          <w:rFonts w:ascii="Verdana" w:hAnsi="Verdana"/>
          <w:sz w:val="20"/>
          <w:szCs w:val="20"/>
        </w:rPr>
        <w:br/>
      </w:r>
      <w:r w:rsidR="00431DA7" w:rsidRPr="007D724E">
        <w:rPr>
          <w:rFonts w:ascii="Verdana" w:hAnsi="Verdana"/>
          <w:sz w:val="20"/>
          <w:szCs w:val="20"/>
        </w:rPr>
        <w:t xml:space="preserve">z prowadzeniem działalności gospodarczej nie zalicza się budynków, budowli lub ich części, w odniesieniu do których została wydana decyzja ostateczna organu nadzoru budowlanego, o której mowa w art. 67 ust. 1 ustawy z dnia 7 lipca 1994r. – Prawo budowlane (Dz. U. z 2018 r. poz. 1202 z </w:t>
      </w:r>
      <w:proofErr w:type="spellStart"/>
      <w:r w:rsidR="00431DA7" w:rsidRPr="007D724E">
        <w:rPr>
          <w:rFonts w:ascii="Verdana" w:hAnsi="Verdana"/>
          <w:sz w:val="20"/>
          <w:szCs w:val="20"/>
        </w:rPr>
        <w:t>późn</w:t>
      </w:r>
      <w:proofErr w:type="spellEnd"/>
      <w:r w:rsidR="00431DA7" w:rsidRPr="007D724E">
        <w:rPr>
          <w:rFonts w:ascii="Verdana" w:hAnsi="Verdana"/>
          <w:sz w:val="20"/>
          <w:szCs w:val="20"/>
        </w:rPr>
        <w:t xml:space="preserve">. zm.) lub decyzja ostateczna organu nadzoru górniczego, na podstawie której trwale wyłączono </w:t>
      </w:r>
      <w:r w:rsidR="00431DA7" w:rsidRPr="007D724E">
        <w:rPr>
          <w:rFonts w:ascii="Verdana" w:hAnsi="Verdana"/>
          <w:sz w:val="20"/>
          <w:szCs w:val="20"/>
        </w:rPr>
        <w:lastRenderedPageBreak/>
        <w:t xml:space="preserve">budynek, budowlę lub ich części z użytkowania </w:t>
      </w:r>
      <w:r w:rsidR="00F23CA2">
        <w:rPr>
          <w:rFonts w:ascii="Verdana" w:hAnsi="Verdana"/>
          <w:sz w:val="20"/>
          <w:szCs w:val="20"/>
        </w:rPr>
        <w:t xml:space="preserve">(art. 1a ust. 2a </w:t>
      </w:r>
      <w:proofErr w:type="spellStart"/>
      <w:r w:rsidR="00F23CA2">
        <w:rPr>
          <w:rFonts w:ascii="Verdana" w:hAnsi="Verdana"/>
          <w:sz w:val="20"/>
          <w:szCs w:val="20"/>
        </w:rPr>
        <w:t>pkt</w:t>
      </w:r>
      <w:proofErr w:type="spellEnd"/>
      <w:r w:rsidR="00F23CA2">
        <w:rPr>
          <w:rFonts w:ascii="Verdana" w:hAnsi="Verdana"/>
          <w:sz w:val="20"/>
          <w:szCs w:val="20"/>
        </w:rPr>
        <w:t xml:space="preserve"> 3 </w:t>
      </w:r>
      <w:proofErr w:type="spellStart"/>
      <w:r w:rsidR="00F23CA2">
        <w:rPr>
          <w:rFonts w:ascii="Verdana" w:hAnsi="Verdana"/>
          <w:sz w:val="20"/>
          <w:szCs w:val="20"/>
        </w:rPr>
        <w:t>upol</w:t>
      </w:r>
      <w:proofErr w:type="spellEnd"/>
      <w:r w:rsidR="00F23CA2">
        <w:rPr>
          <w:rFonts w:ascii="Verdana" w:hAnsi="Verdana"/>
          <w:sz w:val="20"/>
          <w:szCs w:val="20"/>
        </w:rPr>
        <w:t>)</w:t>
      </w:r>
      <w:r w:rsidR="00431DA7" w:rsidRPr="007D724E">
        <w:rPr>
          <w:rFonts w:ascii="Verdana" w:hAnsi="Verdana"/>
          <w:sz w:val="20"/>
          <w:szCs w:val="20"/>
        </w:rPr>
        <w:t xml:space="preserve">. </w:t>
      </w:r>
      <w:r w:rsidR="00431DA7">
        <w:rPr>
          <w:rFonts w:ascii="Verdana" w:hAnsi="Verdana"/>
          <w:sz w:val="20"/>
          <w:szCs w:val="20"/>
        </w:rPr>
        <w:t xml:space="preserve">Intencją ustawodawcy było zatem zastąpienie nieostrego pojęcia </w:t>
      </w:r>
      <w:r w:rsidR="00431DA7" w:rsidRPr="002331CE">
        <w:rPr>
          <w:rFonts w:ascii="Verdana" w:hAnsi="Verdana"/>
          <w:sz w:val="20"/>
          <w:szCs w:val="20"/>
        </w:rPr>
        <w:t>„</w:t>
      </w:r>
      <w:r w:rsidR="00431DA7">
        <w:rPr>
          <w:rFonts w:ascii="Verdana" w:hAnsi="Verdana"/>
          <w:sz w:val="20"/>
          <w:szCs w:val="20"/>
        </w:rPr>
        <w:t>względów technicznych</w:t>
      </w:r>
      <w:r w:rsidR="00431DA7" w:rsidRPr="005D6C34">
        <w:rPr>
          <w:rFonts w:ascii="Verdana" w:hAnsi="Verdana"/>
          <w:sz w:val="20"/>
          <w:szCs w:val="20"/>
        </w:rPr>
        <w:t>”</w:t>
      </w:r>
      <w:r w:rsidR="00431DA7">
        <w:rPr>
          <w:rFonts w:ascii="Verdana" w:hAnsi="Verdana"/>
          <w:sz w:val="20"/>
          <w:szCs w:val="20"/>
        </w:rPr>
        <w:t xml:space="preserve">, obiektywnymi sytuacjami, w których wydane zostały określone akty administracyjne. </w:t>
      </w:r>
    </w:p>
    <w:p w:rsidR="00431DA7" w:rsidRPr="000176EE" w:rsidRDefault="00431DA7" w:rsidP="00431DA7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0176EE">
        <w:rPr>
          <w:rFonts w:ascii="Verdana" w:hAnsi="Verdana"/>
          <w:sz w:val="20"/>
          <w:szCs w:val="20"/>
        </w:rPr>
        <w:t xml:space="preserve">Ustawa o podatkach i opłatach lokalnych w powyższym brzmieniu obowiązywała </w:t>
      </w:r>
      <w:r w:rsidR="001819F6" w:rsidRPr="000176EE">
        <w:rPr>
          <w:rFonts w:ascii="Verdana" w:hAnsi="Verdana"/>
          <w:sz w:val="20"/>
          <w:szCs w:val="20"/>
        </w:rPr>
        <w:t xml:space="preserve">bez zmian w czasie, w którym </w:t>
      </w:r>
      <w:r w:rsidRPr="000176EE">
        <w:rPr>
          <w:rFonts w:ascii="Verdana" w:hAnsi="Verdana"/>
          <w:sz w:val="20"/>
          <w:szCs w:val="20"/>
        </w:rPr>
        <w:t>posiadał</w:t>
      </w:r>
      <w:r w:rsidR="001819F6" w:rsidRPr="000176EE">
        <w:rPr>
          <w:rFonts w:ascii="Verdana" w:hAnsi="Verdana"/>
          <w:sz w:val="20"/>
          <w:szCs w:val="20"/>
        </w:rPr>
        <w:t xml:space="preserve"> przedmiotowe </w:t>
      </w:r>
      <w:r w:rsidRPr="000176EE">
        <w:rPr>
          <w:rFonts w:ascii="Verdana" w:hAnsi="Verdana"/>
          <w:sz w:val="20"/>
          <w:szCs w:val="20"/>
        </w:rPr>
        <w:t>nieruchomości</w:t>
      </w:r>
      <w:r w:rsidR="000176EE" w:rsidRPr="000176EE">
        <w:rPr>
          <w:rFonts w:ascii="Verdana" w:hAnsi="Verdana"/>
          <w:sz w:val="20"/>
          <w:szCs w:val="20"/>
        </w:rPr>
        <w:t>.</w:t>
      </w:r>
      <w:r w:rsidRPr="000176EE">
        <w:rPr>
          <w:rFonts w:ascii="Verdana" w:hAnsi="Verdana"/>
          <w:sz w:val="20"/>
          <w:szCs w:val="20"/>
        </w:rPr>
        <w:t xml:space="preserve"> </w:t>
      </w:r>
      <w:r w:rsidR="001819F6" w:rsidRPr="000176EE">
        <w:rPr>
          <w:rFonts w:ascii="Verdana" w:hAnsi="Verdana"/>
          <w:sz w:val="20"/>
          <w:szCs w:val="20"/>
        </w:rPr>
        <w:t>Zatem z</w:t>
      </w:r>
      <w:r w:rsidRPr="000176EE">
        <w:rPr>
          <w:rFonts w:ascii="Verdana" w:hAnsi="Verdana"/>
          <w:sz w:val="20"/>
          <w:szCs w:val="20"/>
        </w:rPr>
        <w:t>ły stan technic</w:t>
      </w:r>
      <w:r w:rsidR="001819F6" w:rsidRPr="000176EE">
        <w:rPr>
          <w:rFonts w:ascii="Verdana" w:hAnsi="Verdana"/>
          <w:sz w:val="20"/>
          <w:szCs w:val="20"/>
        </w:rPr>
        <w:t>zny, konieczność przeprowadzenia</w:t>
      </w:r>
      <w:r w:rsidRPr="000176EE">
        <w:rPr>
          <w:rFonts w:ascii="Verdana" w:hAnsi="Verdana"/>
          <w:sz w:val="20"/>
          <w:szCs w:val="20"/>
        </w:rPr>
        <w:t xml:space="preserve"> remontu oraz innych prac adaptacyjnych nie są okolicznościami, które świadczą o zerwaniu związku nieruchomości z działalnością gospodarczą. </w:t>
      </w:r>
      <w:r w:rsidR="001819F6" w:rsidRPr="000176EE">
        <w:rPr>
          <w:rFonts w:ascii="Verdana" w:hAnsi="Verdana"/>
          <w:sz w:val="20"/>
          <w:szCs w:val="20"/>
        </w:rPr>
        <w:t xml:space="preserve">Ze złożonego wniosku nie wynika natomiast aby </w:t>
      </w:r>
      <w:r w:rsidRPr="000176EE">
        <w:rPr>
          <w:rFonts w:ascii="Verdana" w:hAnsi="Verdana"/>
          <w:sz w:val="20"/>
          <w:szCs w:val="20"/>
        </w:rPr>
        <w:t>Wnioskodawc</w:t>
      </w:r>
      <w:r w:rsidR="001819F6" w:rsidRPr="000176EE">
        <w:rPr>
          <w:rFonts w:ascii="Verdana" w:hAnsi="Verdana"/>
          <w:sz w:val="20"/>
          <w:szCs w:val="20"/>
        </w:rPr>
        <w:t>a prowadził inną działalność niż dział</w:t>
      </w:r>
      <w:r w:rsidR="00F9778A" w:rsidRPr="000176EE">
        <w:rPr>
          <w:rFonts w:ascii="Verdana" w:hAnsi="Verdana"/>
          <w:sz w:val="20"/>
          <w:szCs w:val="20"/>
        </w:rPr>
        <w:t>al</w:t>
      </w:r>
      <w:r w:rsidR="001819F6" w:rsidRPr="000176EE">
        <w:rPr>
          <w:rFonts w:ascii="Verdana" w:hAnsi="Verdana"/>
          <w:sz w:val="20"/>
          <w:szCs w:val="20"/>
        </w:rPr>
        <w:t xml:space="preserve">ność </w:t>
      </w:r>
      <w:r w:rsidR="000176EE" w:rsidRPr="000176EE">
        <w:rPr>
          <w:rFonts w:ascii="Verdana" w:hAnsi="Verdana"/>
          <w:sz w:val="20"/>
          <w:szCs w:val="20"/>
        </w:rPr>
        <w:t xml:space="preserve">gospodarcza. Jednocześnie z wniosku wynika, że przez 3 m-ce 2020 r. nieruchomość była własnością spółki inwestycyjnej </w:t>
      </w:r>
      <w:proofErr w:type="spellStart"/>
      <w:r w:rsidR="000176EE" w:rsidRPr="00B11CCE">
        <w:rPr>
          <w:rFonts w:ascii="Verdana" w:hAnsi="Verdana"/>
          <w:sz w:val="20"/>
          <w:szCs w:val="20"/>
          <w:highlight w:val="black"/>
        </w:rPr>
        <w:t>AmRest</w:t>
      </w:r>
      <w:proofErr w:type="spellEnd"/>
      <w:r w:rsidR="000176EE" w:rsidRPr="00B11CCE">
        <w:rPr>
          <w:rFonts w:ascii="Verdana" w:hAnsi="Verdana"/>
          <w:sz w:val="20"/>
          <w:szCs w:val="20"/>
          <w:highlight w:val="black"/>
        </w:rPr>
        <w:t xml:space="preserve"> Traugutta sp. z o.o.,</w:t>
      </w:r>
      <w:r w:rsidR="000176EE" w:rsidRPr="000176EE">
        <w:rPr>
          <w:rFonts w:ascii="Verdana" w:hAnsi="Verdana"/>
          <w:sz w:val="20"/>
          <w:szCs w:val="20"/>
        </w:rPr>
        <w:t xml:space="preserve"> która następnie została przejęta przez wnioskodawcę. </w:t>
      </w:r>
    </w:p>
    <w:p w:rsidR="00597F6E" w:rsidRPr="002331CE" w:rsidRDefault="00F23CA2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Style w:val="info-list-value-uzasadnienie"/>
          <w:rFonts w:ascii="Verdana" w:hAnsi="Verdana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Zasadność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powyższej argumentacji 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potwierdzają najnowsze orzeczenia sądowo</w:t>
      </w:r>
      <w:r w:rsidR="007B0F2E">
        <w:rPr>
          <w:rFonts w:ascii="Verdana" w:eastAsia="Calibri" w:hAnsi="Verdana" w:cs="Verdana"/>
          <w:color w:val="000000"/>
          <w:sz w:val="20"/>
          <w:szCs w:val="20"/>
          <w:lang w:eastAsia="en-US"/>
        </w:rPr>
        <w:t>-</w:t>
      </w:r>
      <w:r>
        <w:rPr>
          <w:rFonts w:ascii="Verdana" w:eastAsia="Calibri" w:hAnsi="Verdana" w:cs="Verdana"/>
          <w:color w:val="000000"/>
          <w:sz w:val="20"/>
          <w:szCs w:val="20"/>
          <w:lang w:eastAsia="en-US"/>
        </w:rPr>
        <w:t>a</w:t>
      </w:r>
      <w:r w:rsidR="007B0F2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dministracyjne, 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>m.in</w:t>
      </w:r>
      <w:r w:rsidR="00872EFF">
        <w:rPr>
          <w:rFonts w:ascii="Verdana" w:eastAsia="Calibri" w:hAnsi="Verdana" w:cs="Verdana"/>
          <w:color w:val="000000"/>
          <w:sz w:val="20"/>
          <w:szCs w:val="20"/>
          <w:lang w:eastAsia="en-US"/>
        </w:rPr>
        <w:t>.</w:t>
      </w:r>
      <w:r w:rsidR="00597F6E" w:rsidRPr="002331CE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w wyrok WSA w </w:t>
      </w:r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Szczecinie z 21 grudnia 2021 r. </w:t>
      </w:r>
      <w:proofErr w:type="spellStart"/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>sygn</w:t>
      </w:r>
      <w:proofErr w:type="spellEnd"/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akt. I SA/</w:t>
      </w:r>
      <w:proofErr w:type="spellStart"/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>Sz</w:t>
      </w:r>
      <w:proofErr w:type="spellEnd"/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528/22</w:t>
      </w:r>
      <w:r w:rsidR="000176EE">
        <w:rPr>
          <w:rFonts w:ascii="Verdana" w:eastAsia="Calibri" w:hAnsi="Verdana" w:cs="Verdana"/>
          <w:color w:val="000000"/>
          <w:sz w:val="20"/>
          <w:szCs w:val="20"/>
          <w:lang w:eastAsia="en-US"/>
        </w:rPr>
        <w:t>, w uzasadnieniu</w:t>
      </w:r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 którego </w:t>
      </w:r>
      <w:r w:rsidR="000176EE">
        <w:rPr>
          <w:rFonts w:ascii="Verdana" w:eastAsia="Calibri" w:hAnsi="Verdana" w:cs="Verdana"/>
          <w:color w:val="000000"/>
          <w:sz w:val="20"/>
          <w:szCs w:val="20"/>
          <w:lang w:eastAsia="en-US"/>
        </w:rPr>
        <w:t>Sąd podkreślił</w:t>
      </w:r>
      <w:r w:rsidR="00597F6E" w:rsidRPr="00DB09F2">
        <w:rPr>
          <w:rFonts w:ascii="Verdana" w:eastAsia="Calibri" w:hAnsi="Verdana" w:cs="Verdana"/>
          <w:color w:val="000000"/>
          <w:sz w:val="20"/>
          <w:szCs w:val="20"/>
          <w:lang w:eastAsia="en-US"/>
        </w:rPr>
        <w:t xml:space="preserve">, że </w:t>
      </w:r>
      <w:r w:rsidR="00597F6E" w:rsidRPr="00DB09F2">
        <w:rPr>
          <w:rFonts w:ascii="Verdana" w:hAnsi="Verdana"/>
          <w:sz w:val="20"/>
          <w:szCs w:val="20"/>
        </w:rPr>
        <w:t>„</w:t>
      </w:r>
      <w:r w:rsidR="001F4F7C" w:rsidRPr="00DB09F2">
        <w:rPr>
          <w:rStyle w:val="info-list-value-uzasadnienie"/>
          <w:rFonts w:ascii="Verdana" w:hAnsi="Verdana"/>
          <w:sz w:val="20"/>
          <w:szCs w:val="20"/>
        </w:rPr>
        <w:t xml:space="preserve">aktualne niewykorzystywanie przedmiotu opodatkowania w </w:t>
      </w:r>
      <w:r w:rsidR="001F4F7C" w:rsidRPr="00DB09F2">
        <w:rPr>
          <w:rStyle w:val="highlight"/>
          <w:rFonts w:ascii="Verdana" w:hAnsi="Verdana"/>
          <w:sz w:val="20"/>
          <w:szCs w:val="20"/>
        </w:rPr>
        <w:t>prowadzonej</w:t>
      </w:r>
      <w:r w:rsidR="001F4F7C" w:rsidRPr="00DB09F2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597F6E" w:rsidRPr="00DB09F2">
        <w:rPr>
          <w:rStyle w:val="info-list-value-uzasadnienie"/>
          <w:rFonts w:ascii="Verdana" w:hAnsi="Verdana"/>
          <w:sz w:val="20"/>
          <w:szCs w:val="20"/>
        </w:rPr>
        <w:t xml:space="preserve">(...) </w:t>
      </w:r>
      <w:r w:rsidR="001F4F7C" w:rsidRPr="00DB09F2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DB09F2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DB09F2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DB09F2">
        <w:rPr>
          <w:rStyle w:val="info-list-value-uzasadnienie"/>
          <w:rFonts w:ascii="Verdana" w:hAnsi="Verdana"/>
          <w:sz w:val="20"/>
          <w:szCs w:val="20"/>
        </w:rPr>
        <w:t>, nie determinuje opodatkowania przedmiotowych gruntów stawkami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pozostałymi, bowiem kluczowe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ustalenie, czy te grunty chociażby potencjalnie mogą </w:t>
      </w:r>
      <w:r w:rsidR="001F4F7C" w:rsidRPr="002331CE">
        <w:rPr>
          <w:rStyle w:val="highlight"/>
          <w:rFonts w:ascii="Verdana" w:hAnsi="Verdana"/>
          <w:sz w:val="20"/>
          <w:szCs w:val="20"/>
        </w:rPr>
        <w:t>być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wykorzystywane w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Skarżącej. Przypomnieć bowiem raz jeszcze należy, że w </w:t>
      </w:r>
      <w:r w:rsidR="001F4F7C" w:rsidRPr="002331CE">
        <w:rPr>
          <w:rStyle w:val="highlight"/>
          <w:rFonts w:ascii="Verdana" w:hAnsi="Verdana"/>
          <w:sz w:val="20"/>
          <w:szCs w:val="20"/>
        </w:rPr>
        <w:t>podatku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od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nieruchomości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zasadą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opodatkowanie najwyższymi stawkami majątku nieruchomego przedsiębiorcy, jeżeli występuje chociażby potencjalna możliwość wykorzystywania tych składników majątku do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prowadzenia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. Nie </w:t>
      </w:r>
      <w:r w:rsidR="001F4F7C" w:rsidRPr="002331CE">
        <w:rPr>
          <w:rStyle w:val="highlight"/>
          <w:rFonts w:ascii="Verdana" w:hAnsi="Verdana"/>
          <w:sz w:val="20"/>
          <w:szCs w:val="20"/>
        </w:rPr>
        <w:t>ma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przy tym znaczenia, czy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on w danym momencie wykorzystywany do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prowadzonej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. Należy bowiem zauważyć, że decyzja o likwidacji linii kolejowej nie powoduje, że grunt po tej linii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 jakiś sposób wyłączony </w:t>
      </w:r>
      <w:r w:rsidR="001F4F7C" w:rsidRPr="002331CE">
        <w:rPr>
          <w:rStyle w:val="highlight"/>
          <w:rFonts w:ascii="Verdana" w:hAnsi="Verdana"/>
          <w:sz w:val="20"/>
          <w:szCs w:val="20"/>
        </w:rPr>
        <w:t>z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możliwości jego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gospodarczego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wykorzystania (decyzja ta w żaden sposób nie ogranicza wszak możliwości dysponowania tym gruntem). Grunty i budowle, mimo ich okresowego niewykorzystywania, nie tracą bowiem charakteru </w:t>
      </w:r>
      <w:r w:rsidR="001F4F7C" w:rsidRPr="002331CE">
        <w:rPr>
          <w:rStyle w:val="highlight"/>
          <w:rFonts w:ascii="Verdana" w:hAnsi="Verdana"/>
          <w:sz w:val="20"/>
          <w:szCs w:val="20"/>
        </w:rPr>
        <w:t>związania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z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prowadzona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przez Spółkę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. W przedmiotowej sprawie nie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istotne zatem, czy grunty po zlikwidowanej linii kolejowej </w:t>
      </w:r>
      <w:r w:rsidR="001F4F7C" w:rsidRPr="002331CE">
        <w:rPr>
          <w:rStyle w:val="highlight"/>
          <w:rFonts w:ascii="Verdana" w:hAnsi="Verdana"/>
          <w:sz w:val="20"/>
          <w:szCs w:val="20"/>
        </w:rPr>
        <w:t>są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zajęte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na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prowadzenie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, w szczególności na wykonywanie transportu kolejowego, a więc czy faktycznie </w:t>
      </w:r>
      <w:r w:rsidR="001F4F7C" w:rsidRPr="002331CE">
        <w:rPr>
          <w:rStyle w:val="highlight"/>
          <w:rFonts w:ascii="Verdana" w:hAnsi="Verdana"/>
          <w:sz w:val="20"/>
          <w:szCs w:val="20"/>
        </w:rPr>
        <w:t>nieruchomości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są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wykorzystywane w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DB09F2">
        <w:rPr>
          <w:rStyle w:val="info-list-value-uzasadnienie"/>
          <w:rFonts w:ascii="Verdana" w:hAnsi="Verdana"/>
          <w:sz w:val="20"/>
          <w:szCs w:val="20"/>
        </w:rPr>
        <w:t>.</w:t>
      </w:r>
      <w:r w:rsidR="00DB09F2" w:rsidRPr="005D6C34">
        <w:rPr>
          <w:rFonts w:ascii="Verdana" w:hAnsi="Verdana"/>
          <w:sz w:val="20"/>
          <w:szCs w:val="20"/>
        </w:rPr>
        <w:t>”</w:t>
      </w:r>
      <w:r w:rsidR="00DB09F2">
        <w:rPr>
          <w:rFonts w:ascii="Verdana" w:hAnsi="Verdana"/>
          <w:sz w:val="20"/>
          <w:szCs w:val="20"/>
        </w:rPr>
        <w:t>.</w:t>
      </w:r>
    </w:p>
    <w:p w:rsidR="001F4F7C" w:rsidRPr="002331CE" w:rsidRDefault="00597F6E" w:rsidP="00305C04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 w:rsidRPr="002331CE">
        <w:rPr>
          <w:rStyle w:val="info-list-value-uzasadnienie"/>
          <w:rFonts w:ascii="Verdana" w:hAnsi="Verdana"/>
          <w:sz w:val="20"/>
          <w:szCs w:val="20"/>
        </w:rPr>
        <w:t xml:space="preserve">W wyroku tym Sąd trafnie odniósł się także do wyroku </w:t>
      </w:r>
      <w:r w:rsidR="002331CE" w:rsidRPr="002331CE">
        <w:rPr>
          <w:rFonts w:ascii="Verdana" w:hAnsi="Verdana"/>
          <w:color w:val="000000"/>
          <w:sz w:val="20"/>
          <w:szCs w:val="20"/>
        </w:rPr>
        <w:t xml:space="preserve">Trybunału Konstytucyjnego z dnia 24 lutego 2021 r. SK/39/19. </w:t>
      </w:r>
      <w:r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2331CE" w:rsidRPr="002331CE">
        <w:rPr>
          <w:rFonts w:ascii="Verdana" w:hAnsi="Verdana"/>
          <w:sz w:val="20"/>
          <w:szCs w:val="20"/>
        </w:rPr>
        <w:t>„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Orzeczenie Trybunału nie może </w:t>
      </w:r>
      <w:r w:rsidR="001F4F7C" w:rsidRPr="002331CE">
        <w:rPr>
          <w:rStyle w:val="highlight"/>
          <w:rFonts w:ascii="Verdana" w:hAnsi="Verdana"/>
          <w:sz w:val="20"/>
          <w:szCs w:val="20"/>
        </w:rPr>
        <w:t>być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interpretowane w sposób, który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 konsekwencji do ujednolicenia </w:t>
      </w:r>
      <w:r w:rsidR="001F4F7C" w:rsidRPr="002331CE">
        <w:rPr>
          <w:rStyle w:val="highlight"/>
          <w:rFonts w:ascii="Verdana" w:hAnsi="Verdana"/>
          <w:sz w:val="20"/>
          <w:szCs w:val="20"/>
        </w:rPr>
        <w:t>pojęć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lastRenderedPageBreak/>
        <w:t>zajęcia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na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prowadzenie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oraz </w:t>
      </w:r>
      <w:r w:rsidR="001F4F7C" w:rsidRPr="002331CE">
        <w:rPr>
          <w:rStyle w:val="highlight"/>
          <w:rFonts w:ascii="Verdana" w:hAnsi="Verdana"/>
          <w:sz w:val="20"/>
          <w:szCs w:val="20"/>
        </w:rPr>
        <w:t>związania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z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. W dalszym ciągu, niezależenie </w:t>
      </w:r>
      <w:r w:rsidR="001F4F7C" w:rsidRPr="002331CE">
        <w:rPr>
          <w:rStyle w:val="highlight"/>
          <w:rFonts w:ascii="Verdana" w:hAnsi="Verdana"/>
          <w:sz w:val="20"/>
          <w:szCs w:val="20"/>
        </w:rPr>
        <w:t>od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tez w tym wyroku zawartych, na gruncie </w:t>
      </w:r>
      <w:proofErr w:type="spellStart"/>
      <w:r w:rsidR="001F4F7C" w:rsidRPr="002331CE">
        <w:rPr>
          <w:rStyle w:val="info-list-value-uzasadnienie"/>
          <w:rFonts w:ascii="Verdana" w:hAnsi="Verdana"/>
          <w:sz w:val="20"/>
          <w:szCs w:val="20"/>
        </w:rPr>
        <w:t>u.p.o.l</w:t>
      </w:r>
      <w:proofErr w:type="spellEnd"/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. funkcjonują oba te </w:t>
      </w:r>
      <w:r w:rsidR="001F4F7C" w:rsidRPr="002331CE">
        <w:rPr>
          <w:rStyle w:val="highlight"/>
          <w:rFonts w:ascii="Verdana" w:hAnsi="Verdana"/>
          <w:sz w:val="20"/>
          <w:szCs w:val="20"/>
        </w:rPr>
        <w:t>pojęcia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i należy je wykładać w sposób odmienny. W przeciwnym razie, gdyby intencją Trybunału </w:t>
      </w:r>
      <w:r w:rsidR="001F4F7C" w:rsidRPr="002331CE">
        <w:rPr>
          <w:rStyle w:val="highlight"/>
          <w:rFonts w:ascii="Verdana" w:hAnsi="Verdana"/>
          <w:sz w:val="20"/>
          <w:szCs w:val="20"/>
        </w:rPr>
        <w:t>było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uznanie, że wyłącznie grunty </w:t>
      </w:r>
      <w:r w:rsidR="001F4F7C" w:rsidRPr="002331CE">
        <w:rPr>
          <w:rStyle w:val="highlight"/>
          <w:rFonts w:ascii="Verdana" w:hAnsi="Verdana"/>
          <w:sz w:val="20"/>
          <w:szCs w:val="20"/>
        </w:rPr>
        <w:t>zajęte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na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prowadzenie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winny podlegać opodatkowaniu </w:t>
      </w:r>
      <w:r w:rsidR="001F4F7C" w:rsidRPr="002331CE">
        <w:rPr>
          <w:rStyle w:val="highlight"/>
          <w:rFonts w:ascii="Verdana" w:hAnsi="Verdana"/>
          <w:sz w:val="20"/>
          <w:szCs w:val="20"/>
        </w:rPr>
        <w:t>podatkiem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od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nieruchomości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z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zastosowaniem stawki najwyższej, to pogląd taki wyraziłby wprost w ww. orzeczeniu. Tego jednak nie uczynił, co uzasadnia - jak to wypowiedział również NSA w wyroku </w:t>
      </w:r>
      <w:r w:rsidR="001F4F7C" w:rsidRPr="002331CE">
        <w:rPr>
          <w:rStyle w:val="highlight"/>
          <w:rFonts w:ascii="Verdana" w:hAnsi="Verdana"/>
          <w:sz w:val="20"/>
          <w:szCs w:val="20"/>
        </w:rPr>
        <w:t>z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dnia 8 lipca 2021 r. sygn. akt III FSK 3638/21 - konieczność dokonywania dodatkowych ustaleń w sytuacji, kiedy dana </w:t>
      </w:r>
      <w:r w:rsidR="001F4F7C" w:rsidRPr="002331CE">
        <w:rPr>
          <w:rStyle w:val="highlight"/>
          <w:rFonts w:ascii="Verdana" w:hAnsi="Verdana"/>
          <w:sz w:val="20"/>
          <w:szCs w:val="20"/>
        </w:rPr>
        <w:t>nieruchomość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nie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zajęta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na </w:t>
      </w:r>
      <w:r w:rsidR="001F4F7C" w:rsidRPr="002331CE">
        <w:rPr>
          <w:rStyle w:val="highlight"/>
          <w:rFonts w:ascii="Verdana" w:hAnsi="Verdana"/>
          <w:sz w:val="20"/>
          <w:szCs w:val="20"/>
        </w:rPr>
        <w:t>prowadzenie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. Nie wystarczy bowiem uznanie danej </w:t>
      </w:r>
      <w:r w:rsidR="001F4F7C" w:rsidRPr="002331CE">
        <w:rPr>
          <w:rStyle w:val="highlight"/>
          <w:rFonts w:ascii="Verdana" w:hAnsi="Verdana"/>
          <w:sz w:val="20"/>
          <w:szCs w:val="20"/>
        </w:rPr>
        <w:t>nieruchomości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jako </w:t>
      </w:r>
      <w:r w:rsidR="001F4F7C" w:rsidRPr="002331CE">
        <w:rPr>
          <w:rStyle w:val="highlight"/>
          <w:rFonts w:ascii="Verdana" w:hAnsi="Verdana"/>
          <w:sz w:val="20"/>
          <w:szCs w:val="20"/>
        </w:rPr>
        <w:t>związanej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z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działalnością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</w:t>
      </w:r>
      <w:r w:rsidR="001F4F7C" w:rsidRPr="002331CE">
        <w:rPr>
          <w:rStyle w:val="highlight"/>
          <w:rFonts w:ascii="Verdana" w:hAnsi="Verdana"/>
          <w:sz w:val="20"/>
          <w:szCs w:val="20"/>
        </w:rPr>
        <w:t>gospodarczą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wyłącznie na tej podstawie, że </w:t>
      </w:r>
      <w:r w:rsidR="001F4F7C" w:rsidRPr="002331CE">
        <w:rPr>
          <w:rStyle w:val="highlight"/>
          <w:rFonts w:ascii="Verdana" w:hAnsi="Verdana"/>
          <w:sz w:val="20"/>
          <w:szCs w:val="20"/>
        </w:rPr>
        <w:t>jest</w:t>
      </w:r>
      <w:r w:rsidR="001F4F7C" w:rsidRPr="002331CE">
        <w:rPr>
          <w:rStyle w:val="info-list-value-uzasadnienie"/>
          <w:rFonts w:ascii="Verdana" w:hAnsi="Verdana"/>
          <w:sz w:val="20"/>
          <w:szCs w:val="20"/>
        </w:rPr>
        <w:t xml:space="preserve"> ona w posiadaniu przedsiębiorcy.</w:t>
      </w:r>
      <w:r w:rsidR="00DB09F2" w:rsidRPr="005D6C34">
        <w:rPr>
          <w:rFonts w:ascii="Verdana" w:hAnsi="Verdana"/>
          <w:sz w:val="20"/>
          <w:szCs w:val="20"/>
        </w:rPr>
        <w:t>”</w:t>
      </w:r>
      <w:r w:rsidR="00DB09F2">
        <w:rPr>
          <w:rFonts w:ascii="Verdana" w:hAnsi="Verdana"/>
          <w:sz w:val="20"/>
          <w:szCs w:val="20"/>
        </w:rPr>
        <w:t>.</w:t>
      </w:r>
    </w:p>
    <w:p w:rsidR="00DB09F2" w:rsidRDefault="00DB09F2" w:rsidP="007B0F2E">
      <w:pPr>
        <w:pStyle w:val="Tekstpodstawowy"/>
        <w:suppressAutoHyphens/>
        <w:spacing w:before="12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Szczegółowo tę kwestię ocenił również NSA w wyroku sygn. akt III FSK 4061/21, który </w:t>
      </w:r>
      <w:r w:rsidRPr="00F47F8E">
        <w:rPr>
          <w:rFonts w:ascii="Verdana" w:hAnsi="Verdana"/>
          <w:sz w:val="20"/>
        </w:rPr>
        <w:t>odnosząc się do wyroku TK 39/19</w:t>
      </w:r>
      <w:r w:rsidR="00431DA7">
        <w:rPr>
          <w:rFonts w:ascii="Verdana" w:hAnsi="Verdana"/>
          <w:sz w:val="20"/>
        </w:rPr>
        <w:t xml:space="preserve"> podkreślił</w:t>
      </w:r>
      <w:r w:rsidRPr="00F47F8E">
        <w:rPr>
          <w:rFonts w:ascii="Verdana" w:hAnsi="Verdana"/>
          <w:sz w:val="20"/>
        </w:rPr>
        <w:t>,</w:t>
      </w:r>
      <w:r w:rsidR="00431DA7">
        <w:rPr>
          <w:rFonts w:ascii="Verdana" w:hAnsi="Verdana"/>
          <w:sz w:val="20"/>
        </w:rPr>
        <w:t xml:space="preserve"> że </w:t>
      </w:r>
      <w:r w:rsidR="00431DA7" w:rsidRPr="00F47F8E">
        <w:rPr>
          <w:rFonts w:ascii="Verdana" w:hAnsi="Verdana"/>
          <w:sz w:val="20"/>
        </w:rPr>
        <w:t>zwroty użyte przez Trybunał „»niewykorzystywanych« oraz »niemogących być potencjalnie wykorzystywanymi« zostały połączone funktorem koniunkcji »i«, co sugeruje konieczność łącznego uwzględniania tych wypowiedzi przy dokonywaniu analizy okoliczności faktycznyc</w:t>
      </w:r>
      <w:r w:rsidR="00431DA7">
        <w:rPr>
          <w:rFonts w:ascii="Verdana" w:hAnsi="Verdana"/>
          <w:sz w:val="20"/>
        </w:rPr>
        <w:t>h</w:t>
      </w:r>
      <w:r w:rsidRPr="00F47F8E">
        <w:rPr>
          <w:rFonts w:ascii="Verdana" w:hAnsi="Verdana"/>
          <w:sz w:val="20"/>
        </w:rPr>
        <w:br/>
        <w:t xml:space="preserve">decydujących o rodzaju stosowanej stawki opodatkowania.”. Ponadto Naczelny Sąd Administracyjny nie zgodził się aby w wyniku wyroku wydanego przez Trybunał możliwe było rozszerzenie przypadków, w których stawki najwyższe nie znajdą zastosowania (art. 1a ust 2a </w:t>
      </w:r>
      <w:proofErr w:type="spellStart"/>
      <w:r w:rsidR="00431DA7">
        <w:rPr>
          <w:rFonts w:ascii="Verdana" w:hAnsi="Verdana"/>
          <w:sz w:val="20"/>
        </w:rPr>
        <w:t>upol</w:t>
      </w:r>
      <w:proofErr w:type="spellEnd"/>
      <w:r w:rsidRPr="00F47F8E">
        <w:rPr>
          <w:rFonts w:ascii="Verdana" w:hAnsi="Verdana"/>
          <w:sz w:val="20"/>
        </w:rPr>
        <w:t xml:space="preserve">) lub aby wyrok Trybunału Konstytucyjnego zastępował katalog wyłączeń określonych w wyżej wymienionym artykule. „Tego typu ingerencja w tekst ustawy, bez derogowania przepisu, wydaje się nieuzasadniona. Zdaniem Naczelnego Sądu Administracyjnego, zwrot »niemogących być potencjalnie wykorzystywanymi do prowadzenia działalności gospodarczej» nie powinien być odnoszony do uregulowanych wprost w ustawie podatkowej wyjątków od możliwości rozpoznania nieruchomości jako związanej </w:t>
      </w:r>
      <w:r w:rsidRPr="00F47F8E">
        <w:rPr>
          <w:rFonts w:ascii="Verdana" w:hAnsi="Verdana"/>
          <w:sz w:val="20"/>
        </w:rPr>
        <w:br/>
        <w:t xml:space="preserve">z prowadzeniem działalności gospodarczej (obecnie unormowanych w art. 1a ust. 2a </w:t>
      </w:r>
      <w:proofErr w:type="spellStart"/>
      <w:r w:rsidRPr="00F47F8E">
        <w:rPr>
          <w:rFonts w:ascii="Verdana" w:hAnsi="Verdana"/>
          <w:sz w:val="20"/>
        </w:rPr>
        <w:t>u.p.o.l</w:t>
      </w:r>
      <w:proofErr w:type="spellEnd"/>
      <w:r w:rsidRPr="00F47F8E">
        <w:rPr>
          <w:rFonts w:ascii="Verdana" w:hAnsi="Verdana"/>
          <w:sz w:val="20"/>
        </w:rPr>
        <w:t xml:space="preserve">., a przed 1 stycznia 2016 r. w art. 1a ust. 1 </w:t>
      </w:r>
      <w:proofErr w:type="spellStart"/>
      <w:r w:rsidRPr="00F47F8E">
        <w:rPr>
          <w:rFonts w:ascii="Verdana" w:hAnsi="Verdana"/>
          <w:sz w:val="20"/>
        </w:rPr>
        <w:t>pkt</w:t>
      </w:r>
      <w:proofErr w:type="spellEnd"/>
      <w:r w:rsidRPr="00F47F8E">
        <w:rPr>
          <w:rFonts w:ascii="Verdana" w:hAnsi="Verdana"/>
          <w:sz w:val="20"/>
        </w:rPr>
        <w:t xml:space="preserve"> 3). Interpretacja dokonana przez Sąd konstytucyjny, który zdecydował o utrzymaniu przepisu </w:t>
      </w:r>
      <w:r w:rsidRPr="00F47F8E">
        <w:rPr>
          <w:rFonts w:ascii="Verdana" w:hAnsi="Verdana"/>
          <w:sz w:val="20"/>
        </w:rPr>
        <w:br/>
        <w:t xml:space="preserve">w obrocie prawnym, nie może całkowicie wypaczać sensu i istoty analizowanej regulacji, zupełnie abstrahować od jej treści i nadawać całkowicie odmiennego znaczenia niż wynikające z tekstu ustawy. Stąd też zdaniem Naczelnego Sądu Administracyjnego określenie »niewykorzystywanych i niemogących być potencjalnie wykorzystywanymi do prowadzenia działalności gospodarczej» należy odnieść tylko do sytuacji nadzwyczajnych, gdy nieruchomość z przyczyn obiektywnych i niezależnych od podatnika nie może być wykorzystywana do prowadzenia działalności gospodarczej i to z zastrzeżeniem dodatkowych warunków, o czym mowa </w:t>
      </w:r>
      <w:r>
        <w:rPr>
          <w:rFonts w:ascii="Verdana" w:hAnsi="Verdana"/>
          <w:sz w:val="20"/>
        </w:rPr>
        <w:t>w dalszej części uzasadnienia.”</w:t>
      </w:r>
      <w:r w:rsidR="00431DA7">
        <w:rPr>
          <w:rFonts w:ascii="Verdana" w:hAnsi="Verdana"/>
          <w:sz w:val="20"/>
        </w:rPr>
        <w:t>.</w:t>
      </w:r>
    </w:p>
    <w:p w:rsidR="00DB09F2" w:rsidRDefault="00DB09F2" w:rsidP="007B0F2E">
      <w:pPr>
        <w:pStyle w:val="Tekstpodstawowy"/>
        <w:suppressAutoHyphens/>
        <w:spacing w:before="24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Kierując się wykładnią Naczelnego Sądu Administracyjnego tutejszy organ stwierdził na podstawie </w:t>
      </w:r>
      <w:r w:rsidR="000176EE">
        <w:rPr>
          <w:rFonts w:ascii="Verdana" w:hAnsi="Verdana"/>
          <w:sz w:val="20"/>
        </w:rPr>
        <w:t>opisanego stanu faktycznego</w:t>
      </w:r>
      <w:r>
        <w:rPr>
          <w:rFonts w:ascii="Verdana" w:hAnsi="Verdana"/>
          <w:sz w:val="20"/>
        </w:rPr>
        <w:t>, że przedmiotowa nieruchomość wykazuje pośredni</w:t>
      </w:r>
      <w:r w:rsidR="007B0F2E">
        <w:rPr>
          <w:rFonts w:ascii="Verdana" w:hAnsi="Verdana"/>
          <w:sz w:val="20"/>
        </w:rPr>
        <w:t xml:space="preserve"> i potencjalny </w:t>
      </w:r>
      <w:r>
        <w:rPr>
          <w:rFonts w:ascii="Verdana" w:hAnsi="Verdana"/>
          <w:sz w:val="20"/>
        </w:rPr>
        <w:t xml:space="preserve">związek z działalnością gospodarczą. Pomimo, że w istocie nieruchomość nie wykazywała oznak zajęcia na prowadzenie </w:t>
      </w:r>
      <w:r w:rsidR="000176EE">
        <w:rPr>
          <w:rFonts w:ascii="Verdana" w:hAnsi="Verdana"/>
          <w:sz w:val="20"/>
        </w:rPr>
        <w:t xml:space="preserve">działalności to została nabyta </w:t>
      </w:r>
      <w:r>
        <w:rPr>
          <w:rFonts w:ascii="Verdana" w:hAnsi="Verdana"/>
          <w:sz w:val="20"/>
        </w:rPr>
        <w:t>w ramach działalności gospodarczej do prowadzenia, której zawiązana została Spółka. Okoliczność tę potwierdza sam wnioskod</w:t>
      </w:r>
      <w:r w:rsidR="000176EE">
        <w:rPr>
          <w:rFonts w:ascii="Verdana" w:hAnsi="Verdana"/>
          <w:sz w:val="20"/>
        </w:rPr>
        <w:t xml:space="preserve">awca wskazując na cel inwestycyjny, w którym nieruchomość została nabyta przez spółkę powiązaną, która następnie została przez niego przejęta. </w:t>
      </w:r>
    </w:p>
    <w:p w:rsidR="000176EE" w:rsidRDefault="000176EE" w:rsidP="007B0F2E">
      <w:pPr>
        <w:pStyle w:val="HTML-wstpniesformatowany"/>
        <w:spacing w:before="24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Końcowo zauważyć należy, że związek z prowadzoną działalnością gospodarczą potwierdza sam wnioskodawca wskazując, że w okresie od kwietnia do maja 2020 r. omawiane budynki objęte były zwolnieniem z opodatkowania na podstawie uchwały nr XXI/560/20 Rady Miejskiej Wrocławia z dnia 9 kwietnia w sprawie </w:t>
      </w:r>
      <w:r w:rsidRPr="002E2370">
        <w:rPr>
          <w:rFonts w:ascii="Verdana" w:hAnsi="Verdana"/>
        </w:rPr>
        <w:t>zwolnień od podatku od nieruchomości grup przedsiębiorców, których płynność finansowa uległa pogorszeniu w związku z ponoszeniem negatywnych konsekwencji ekonomicznych z powodu Covid-19.</w:t>
      </w:r>
      <w:r w:rsidR="00CF1F0D" w:rsidRPr="002E2370">
        <w:rPr>
          <w:rFonts w:ascii="Verdana" w:hAnsi="Verdana"/>
        </w:rPr>
        <w:t xml:space="preserve"> Przepisy uchwały dopuszczały zwolnienie od podatku na podstawie delegacji </w:t>
      </w:r>
      <w:r w:rsidR="002E2370" w:rsidRPr="002E2370">
        <w:rPr>
          <w:rFonts w:ascii="Verdana" w:hAnsi="Verdana"/>
        </w:rPr>
        <w:t>ustawowej dla rad gmin uprawniającej je do wprowadzenia w drodze uchwały, za część roku 2020 oraz za wybrane miesiące 2021 r. zwolnienia z podatku od nieruchomości: gruntów, budynków i budowli związanych z prowadzeniem działalności gospodarczej, wskazanych grup przedsiębiorców, których płynność finansowa uległa pogorszeniu w związku z ponoszeniem negatywnych konsekwencji ekonomicznych z powodu COVID-19</w:t>
      </w:r>
      <w:r w:rsidR="002E2370">
        <w:rPr>
          <w:rFonts w:ascii="Verdana" w:hAnsi="Verdana"/>
        </w:rPr>
        <w:t xml:space="preserve">. Na podstawie przywołanych przepisów </w:t>
      </w:r>
      <w:r w:rsidR="00872EFF">
        <w:rPr>
          <w:rFonts w:ascii="Verdana" w:hAnsi="Verdana"/>
        </w:rPr>
        <w:t xml:space="preserve">art. 15p ustawy z dnia </w:t>
      </w:r>
      <w:r w:rsidR="0037239E">
        <w:rPr>
          <w:rFonts w:ascii="Verdana" w:hAnsi="Verdana"/>
        </w:rPr>
        <w:t xml:space="preserve">2 marca 2020 r. </w:t>
      </w:r>
      <w:r w:rsidR="0037239E" w:rsidRPr="0037239E">
        <w:rPr>
          <w:rFonts w:ascii="Verdana" w:hAnsi="Verdana"/>
        </w:rPr>
        <w:t>o szczególnych rozwiązaniach związanych z zapobieganiem, przeciwdziałaniem i zwalczaniem COVID-19, innych chorób zakaźnych oraz wywołanych nimi sytuacji kryzysowych</w:t>
      </w:r>
      <w:r w:rsidR="0037239E">
        <w:rPr>
          <w:rFonts w:ascii="Verdana" w:hAnsi="Verdana"/>
        </w:rPr>
        <w:t>,</w:t>
      </w:r>
      <w:r w:rsidR="0037239E" w:rsidRPr="0037239E">
        <w:rPr>
          <w:rFonts w:ascii="Verdana" w:hAnsi="Verdana"/>
        </w:rPr>
        <w:t xml:space="preserve"> </w:t>
      </w:r>
      <w:r w:rsidR="002E2370">
        <w:rPr>
          <w:rFonts w:ascii="Verdana" w:hAnsi="Verdana"/>
        </w:rPr>
        <w:t xml:space="preserve">nie było możliwe zwolnienie innych gruntów budynków i budowli niż związane z prowadzeniem działalności gospodarczej. </w:t>
      </w:r>
    </w:p>
    <w:p w:rsidR="00B65BAD" w:rsidRDefault="00B65BAD" w:rsidP="00B65BAD">
      <w:pPr>
        <w:pStyle w:val="11Trescpisma"/>
        <w:suppressAutoHyphens/>
        <w:spacing w:line="276" w:lineRule="auto"/>
        <w:jc w:val="cent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9A4C57">
        <w:rPr>
          <w:sz w:val="18"/>
        </w:rPr>
        <w:t>dokument podpisała elektronicznie</w:t>
      </w:r>
    </w:p>
    <w:p w:rsidR="00B65BAD" w:rsidRDefault="00B65BAD" w:rsidP="00B65BAD">
      <w:pPr>
        <w:pStyle w:val="11Trescpisma"/>
        <w:suppressAutoHyphens/>
        <w:spacing w:line="276" w:lineRule="auto"/>
        <w:jc w:val="cent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Z up. PREZYDENTA </w:t>
      </w:r>
    </w:p>
    <w:p w:rsidR="00B65BAD" w:rsidRDefault="00B65BAD" w:rsidP="00B65BAD">
      <w:pPr>
        <w:pStyle w:val="11Trescpisma"/>
        <w:suppressAutoHyphens/>
        <w:spacing w:line="276" w:lineRule="auto"/>
        <w:jc w:val="cent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Izabela Piekielnik </w:t>
      </w:r>
    </w:p>
    <w:p w:rsidR="00B65BAD" w:rsidRPr="009A4C57" w:rsidRDefault="00B65BAD" w:rsidP="00B65BAD">
      <w:pPr>
        <w:pStyle w:val="11Trescpisma"/>
        <w:suppressAutoHyphens/>
        <w:spacing w:before="0" w:line="276" w:lineRule="auto"/>
        <w:jc w:val="cent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Dyrektor Wydziału Podatków i Opłat</w:t>
      </w:r>
    </w:p>
    <w:p w:rsidR="00B65BAD" w:rsidRDefault="00B65BAD" w:rsidP="00F47F8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B65BAD" w:rsidRDefault="00B65BAD" w:rsidP="00F47F8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073CE3" w:rsidRPr="00F47F8E" w:rsidRDefault="00073CE3" w:rsidP="00F47F8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F47F8E">
        <w:rPr>
          <w:rFonts w:ascii="Verdana" w:hAnsi="Verdana"/>
          <w:sz w:val="20"/>
          <w:szCs w:val="20"/>
          <w:u w:val="single"/>
        </w:rPr>
        <w:t>Pouczenie:</w:t>
      </w:r>
    </w:p>
    <w:p w:rsidR="00073CE3" w:rsidRDefault="000E62A8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 xml:space="preserve">Zastosowanie się do interpretacji indywidualnej przed jej zmianą lub przed doręczeniem organowi podatkowemu odpisu prawomocnego orzeczenia sądu administracyjnego uchylającego interpretację indywidualną nie może szkodzić wnioskodawcy, jak również w przypadku nieuwzględnienia jej w rozstrzygnięciu sprawy podatkowej. </w:t>
      </w:r>
    </w:p>
    <w:p w:rsidR="00E0323C" w:rsidRPr="00F47F8E" w:rsidRDefault="00E0323C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D4654" w:rsidRPr="00F47F8E" w:rsidRDefault="001D4654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>Zgodnie z art. 14na § 1 Ordynacji podatkowej przepisów art. 14k-14n nie stosuje się, jeżeli stan faktyczny</w:t>
      </w:r>
      <w:r w:rsidR="00A01BBB" w:rsidRPr="00F47F8E">
        <w:rPr>
          <w:rFonts w:ascii="Verdana" w:hAnsi="Verdana"/>
          <w:sz w:val="20"/>
          <w:szCs w:val="20"/>
        </w:rPr>
        <w:t xml:space="preserve"> lub zdarzenie przyszłe będące przedmiotem interpretacji indywidualnej stanowi element czynności będących przedmiotem decyzji wydanej</w:t>
      </w:r>
      <w:r w:rsidR="007C3034" w:rsidRPr="00F47F8E">
        <w:rPr>
          <w:rFonts w:ascii="Verdana" w:hAnsi="Verdana"/>
          <w:sz w:val="20"/>
          <w:szCs w:val="20"/>
        </w:rPr>
        <w:t>:</w:t>
      </w:r>
    </w:p>
    <w:p w:rsidR="007C3034" w:rsidRPr="00F47F8E" w:rsidRDefault="00CA43B5" w:rsidP="00F47F8E">
      <w:pPr>
        <w:numPr>
          <w:ilvl w:val="0"/>
          <w:numId w:val="14"/>
        </w:num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>z zastosowaniem art. 119a;</w:t>
      </w:r>
    </w:p>
    <w:p w:rsidR="00CA43B5" w:rsidRPr="00F47F8E" w:rsidRDefault="00CA43B5" w:rsidP="00F47F8E">
      <w:pPr>
        <w:numPr>
          <w:ilvl w:val="0"/>
          <w:numId w:val="14"/>
        </w:num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>w związku z wystąpieniem nadużycia prawa, o którym mowa w art. 5 ust. 5 ustawy z dnia 11 marca 2004 r. o podatku od towarów i usług;</w:t>
      </w:r>
    </w:p>
    <w:p w:rsidR="00CA43B5" w:rsidRPr="00F47F8E" w:rsidRDefault="00CA43B5" w:rsidP="00F47F8E">
      <w:pPr>
        <w:numPr>
          <w:ilvl w:val="0"/>
          <w:numId w:val="14"/>
        </w:num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>z zastosowaniem środków ograniczających umowne korzyści.</w:t>
      </w:r>
    </w:p>
    <w:p w:rsidR="00C27C1A" w:rsidRPr="00F47F8E" w:rsidRDefault="00C27C1A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27C1A" w:rsidRPr="00F47F8E" w:rsidRDefault="00C27C1A" w:rsidP="00F47F8E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 xml:space="preserve">Przepisów art. 14k-14n nie stosuje się, jeżeli korzyść podatkowa, stwierdzona </w:t>
      </w:r>
      <w:r w:rsidRPr="00F47F8E">
        <w:rPr>
          <w:rFonts w:ascii="Verdana" w:hAnsi="Verdana"/>
          <w:sz w:val="20"/>
          <w:szCs w:val="20"/>
        </w:rPr>
        <w:br/>
        <w:t>w decyzjach wymienionych w § 1, jest skutkiem zastosowania się do utrwalonej praktyki interpretacyjnej, interpretacji ogólnej lub objaśnień podatkowych (art. 14na § 2 Ordynacji podatkowej).</w:t>
      </w:r>
    </w:p>
    <w:p w:rsidR="00C062C2" w:rsidRPr="00F47F8E" w:rsidRDefault="00C062C2" w:rsidP="00F47F8E">
      <w:pPr>
        <w:pStyle w:val="Tekstpodstawowywcity"/>
        <w:suppressAutoHyphens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 xml:space="preserve">Na niniejszą interpretację Wnioskodawcy przysługuje prawo wniesienia skargi do Wojewódzkiego Sądu Administracyjnego </w:t>
      </w:r>
      <w:r w:rsidR="00F371C1" w:rsidRPr="00F47F8E">
        <w:rPr>
          <w:rFonts w:ascii="Verdana" w:hAnsi="Verdana"/>
          <w:sz w:val="20"/>
          <w:szCs w:val="20"/>
        </w:rPr>
        <w:t xml:space="preserve">we Wrocławiu, w terminie 30 dni od dnia doręczenie interpretacji – (art. 53 </w:t>
      </w:r>
      <w:r w:rsidR="00594FA5" w:rsidRPr="00F47F8E">
        <w:rPr>
          <w:rFonts w:ascii="Verdana" w:hAnsi="Verdana"/>
          <w:sz w:val="20"/>
          <w:szCs w:val="20"/>
        </w:rPr>
        <w:t xml:space="preserve">§ 1 ustawy z dnia 30 sierpnia 2002r. Prawo </w:t>
      </w:r>
      <w:r w:rsidR="00A2084E" w:rsidRPr="00F47F8E">
        <w:rPr>
          <w:rFonts w:ascii="Verdana" w:hAnsi="Verdana"/>
          <w:sz w:val="20"/>
          <w:szCs w:val="20"/>
        </w:rPr>
        <w:br/>
      </w:r>
      <w:r w:rsidR="00594FA5" w:rsidRPr="00F47F8E">
        <w:rPr>
          <w:rFonts w:ascii="Verdana" w:hAnsi="Verdana"/>
          <w:sz w:val="20"/>
          <w:szCs w:val="20"/>
        </w:rPr>
        <w:t xml:space="preserve">o postępowaniu przed sądami administracyjnymi – Dz. U. z 2018r., poz. 1302 </w:t>
      </w:r>
      <w:r w:rsidR="00594FA5" w:rsidRPr="00F47F8E">
        <w:rPr>
          <w:rFonts w:ascii="Verdana" w:hAnsi="Verdana"/>
          <w:sz w:val="20"/>
          <w:szCs w:val="20"/>
        </w:rPr>
        <w:br/>
        <w:t xml:space="preserve">z </w:t>
      </w:r>
      <w:proofErr w:type="spellStart"/>
      <w:r w:rsidR="00594FA5" w:rsidRPr="00F47F8E">
        <w:rPr>
          <w:rFonts w:ascii="Verdana" w:hAnsi="Verdana"/>
          <w:sz w:val="20"/>
          <w:szCs w:val="20"/>
        </w:rPr>
        <w:t>późn</w:t>
      </w:r>
      <w:proofErr w:type="spellEnd"/>
      <w:r w:rsidR="00594FA5" w:rsidRPr="00F47F8E">
        <w:rPr>
          <w:rFonts w:ascii="Verdana" w:hAnsi="Verdana"/>
          <w:sz w:val="20"/>
          <w:szCs w:val="20"/>
        </w:rPr>
        <w:t xml:space="preserve">. </w:t>
      </w:r>
      <w:proofErr w:type="spellStart"/>
      <w:r w:rsidR="00594FA5" w:rsidRPr="00F47F8E">
        <w:rPr>
          <w:rFonts w:ascii="Verdana" w:hAnsi="Verdana"/>
          <w:sz w:val="20"/>
          <w:szCs w:val="20"/>
        </w:rPr>
        <w:t>zm</w:t>
      </w:r>
      <w:proofErr w:type="spellEnd"/>
      <w:r w:rsidR="00594FA5" w:rsidRPr="00F47F8E">
        <w:rPr>
          <w:rFonts w:ascii="Verdana" w:hAnsi="Verdana"/>
          <w:sz w:val="20"/>
          <w:szCs w:val="20"/>
        </w:rPr>
        <w:t xml:space="preserve">). Skargę wnosi się, za pośrednictwem Prezydenta Wrocławia </w:t>
      </w:r>
      <w:r w:rsidR="00DA7184" w:rsidRPr="00F47F8E">
        <w:rPr>
          <w:rFonts w:ascii="Verdana" w:hAnsi="Verdana"/>
          <w:sz w:val="20"/>
          <w:szCs w:val="20"/>
        </w:rPr>
        <w:t xml:space="preserve">(art. 54 § 1 i § 2 cytowanej wyżej ustawy). </w:t>
      </w:r>
    </w:p>
    <w:p w:rsidR="006C05A9" w:rsidRPr="00F47F8E" w:rsidRDefault="006F7DD8" w:rsidP="00F47F8E">
      <w:pPr>
        <w:pStyle w:val="Tekstpodstawowywcity"/>
        <w:suppressAutoHyphens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F47F8E">
        <w:rPr>
          <w:rFonts w:ascii="Verdana" w:hAnsi="Verdana"/>
          <w:sz w:val="20"/>
          <w:szCs w:val="20"/>
        </w:rPr>
        <w:t xml:space="preserve">Jednocześnie, zgodnie z art. 57a ww. ustawy, skarga na pisemną interpretację przepisów prawa podatkowego wydaną w indywidualnej sprawie, opinię zabezpieczającą i odmowę wydania opinii zabezpieczającej może być oparta wyłącznie na zarzucie naruszenia przepisów postępowania, dopuszczeniu się błędów wykładni lub niewłaściwej oceny co do zastosowania przepisu prawa materialnego. Sąd </w:t>
      </w:r>
      <w:r w:rsidR="00EB5836" w:rsidRPr="00F47F8E">
        <w:rPr>
          <w:rFonts w:ascii="Verdana" w:hAnsi="Verdana"/>
          <w:sz w:val="20"/>
          <w:szCs w:val="20"/>
        </w:rPr>
        <w:t xml:space="preserve">administracyjny jest związany zarzutami skargi oraz powołaną podstawą prawną. </w:t>
      </w:r>
    </w:p>
    <w:p w:rsidR="006C05A9" w:rsidRPr="00F47F8E" w:rsidRDefault="006C05A9" w:rsidP="00F47F8E">
      <w:pPr>
        <w:pStyle w:val="Tekstpodstawowywcity"/>
        <w:suppressAutoHyphens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C05A9" w:rsidRPr="00F47F8E" w:rsidRDefault="006C05A9" w:rsidP="00F47F8E">
      <w:pPr>
        <w:pStyle w:val="Tekstpodstawowywcity"/>
        <w:suppressAutoHyphens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sectPr w:rsidR="006C05A9" w:rsidRPr="00F47F8E" w:rsidSect="004F3F4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56A" w:rsidRDefault="00F4756A" w:rsidP="00CA5E1F">
      <w:r>
        <w:separator/>
      </w:r>
    </w:p>
  </w:endnote>
  <w:endnote w:type="continuationSeparator" w:id="0">
    <w:p w:rsidR="00F4756A" w:rsidRDefault="00F4756A" w:rsidP="00CA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Pr="004D6885" w:rsidRDefault="004F3F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42E6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42E66" w:rsidRPr="004D6885">
      <w:rPr>
        <w:sz w:val="14"/>
        <w:szCs w:val="14"/>
      </w:rPr>
      <w:fldChar w:fldCharType="separate"/>
    </w:r>
    <w:r w:rsidR="00850E5B">
      <w:rPr>
        <w:noProof/>
        <w:sz w:val="14"/>
        <w:szCs w:val="14"/>
      </w:rPr>
      <w:t>17</w:t>
    </w:r>
    <w:r w:rsidR="00642E6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42E6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42E66" w:rsidRPr="004D6885">
      <w:rPr>
        <w:sz w:val="14"/>
        <w:szCs w:val="14"/>
      </w:rPr>
      <w:fldChar w:fldCharType="separate"/>
    </w:r>
    <w:r w:rsidR="00850E5B">
      <w:rPr>
        <w:noProof/>
        <w:sz w:val="14"/>
        <w:szCs w:val="14"/>
      </w:rPr>
      <w:t>17</w:t>
    </w:r>
    <w:r w:rsidR="00642E6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4F3F42" w:rsidP="004F3F42">
    <w:pPr>
      <w:pStyle w:val="Stopka"/>
    </w:pPr>
  </w:p>
  <w:p w:rsidR="004F3F42" w:rsidRDefault="00AD2A4A" w:rsidP="004F3F42">
    <w:pPr>
      <w:pStyle w:val="Stopka"/>
    </w:pPr>
    <w:r>
      <w:rPr>
        <w:noProof/>
      </w:rPr>
      <w:drawing>
        <wp:inline distT="0" distB="0" distL="0" distR="0">
          <wp:extent cx="2059940" cy="750570"/>
          <wp:effectExtent l="1905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56A" w:rsidRDefault="00F4756A" w:rsidP="00CA5E1F">
      <w:r>
        <w:separator/>
      </w:r>
    </w:p>
  </w:footnote>
  <w:footnote w:type="continuationSeparator" w:id="0">
    <w:p w:rsidR="00F4756A" w:rsidRDefault="00F4756A" w:rsidP="00CA5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642E6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42" w:rsidRDefault="00AD2A4A" w:rsidP="004F3F42">
    <w:pPr>
      <w:pStyle w:val="Stopka"/>
    </w:pPr>
    <w:r>
      <w:rPr>
        <w:noProof/>
      </w:rPr>
      <w:drawing>
        <wp:inline distT="0" distB="0" distL="0" distR="0">
          <wp:extent cx="2040255" cy="182880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77C"/>
    <w:multiLevelType w:val="hybridMultilevel"/>
    <w:tmpl w:val="006EC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DA1"/>
    <w:multiLevelType w:val="hybridMultilevel"/>
    <w:tmpl w:val="476E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C33"/>
    <w:multiLevelType w:val="hybridMultilevel"/>
    <w:tmpl w:val="C1268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04440"/>
    <w:multiLevelType w:val="hybridMultilevel"/>
    <w:tmpl w:val="DB5AAD4A"/>
    <w:lvl w:ilvl="0" w:tplc="4CF6E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35A80"/>
    <w:multiLevelType w:val="hybridMultilevel"/>
    <w:tmpl w:val="031E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A0FA0"/>
    <w:multiLevelType w:val="hybridMultilevel"/>
    <w:tmpl w:val="2326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77BDA"/>
    <w:multiLevelType w:val="hybridMultilevel"/>
    <w:tmpl w:val="650E2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AD6547"/>
    <w:multiLevelType w:val="hybridMultilevel"/>
    <w:tmpl w:val="031E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628A2"/>
    <w:multiLevelType w:val="hybridMultilevel"/>
    <w:tmpl w:val="D78C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F7815"/>
    <w:multiLevelType w:val="hybridMultilevel"/>
    <w:tmpl w:val="4EEE741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DEA3341"/>
    <w:multiLevelType w:val="hybridMultilevel"/>
    <w:tmpl w:val="5EBA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88B"/>
    <w:multiLevelType w:val="hybridMultilevel"/>
    <w:tmpl w:val="4CFE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A49B8"/>
    <w:multiLevelType w:val="hybridMultilevel"/>
    <w:tmpl w:val="9D4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A02F5"/>
    <w:multiLevelType w:val="hybridMultilevel"/>
    <w:tmpl w:val="11EE2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D4606"/>
    <w:multiLevelType w:val="hybridMultilevel"/>
    <w:tmpl w:val="E6C0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C04BD"/>
    <w:multiLevelType w:val="hybridMultilevel"/>
    <w:tmpl w:val="9AD6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B4E69"/>
    <w:multiLevelType w:val="hybridMultilevel"/>
    <w:tmpl w:val="33B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24E7F"/>
    <w:multiLevelType w:val="hybridMultilevel"/>
    <w:tmpl w:val="060C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90A49"/>
    <w:multiLevelType w:val="hybridMultilevel"/>
    <w:tmpl w:val="F15A99FE"/>
    <w:lvl w:ilvl="0" w:tplc="40CADD4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A7F0582"/>
    <w:multiLevelType w:val="hybridMultilevel"/>
    <w:tmpl w:val="5E8C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A802E8"/>
    <w:multiLevelType w:val="hybridMultilevel"/>
    <w:tmpl w:val="5086A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D02A72"/>
    <w:multiLevelType w:val="hybridMultilevel"/>
    <w:tmpl w:val="438A9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E2DC9"/>
    <w:multiLevelType w:val="hybridMultilevel"/>
    <w:tmpl w:val="AF060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B3376"/>
    <w:multiLevelType w:val="hybridMultilevel"/>
    <w:tmpl w:val="436AA23E"/>
    <w:lvl w:ilvl="0" w:tplc="FDE01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19"/>
  </w:num>
  <w:num w:numId="6">
    <w:abstractNumId w:val="23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18"/>
  </w:num>
  <w:num w:numId="13">
    <w:abstractNumId w:val="11"/>
  </w:num>
  <w:num w:numId="14">
    <w:abstractNumId w:val="10"/>
  </w:num>
  <w:num w:numId="15">
    <w:abstractNumId w:val="20"/>
  </w:num>
  <w:num w:numId="16">
    <w:abstractNumId w:val="0"/>
  </w:num>
  <w:num w:numId="17">
    <w:abstractNumId w:val="3"/>
  </w:num>
  <w:num w:numId="18">
    <w:abstractNumId w:val="7"/>
  </w:num>
  <w:num w:numId="19">
    <w:abstractNumId w:val="6"/>
  </w:num>
  <w:num w:numId="20">
    <w:abstractNumId w:val="8"/>
  </w:num>
  <w:num w:numId="21">
    <w:abstractNumId w:val="4"/>
  </w:num>
  <w:num w:numId="22">
    <w:abstractNumId w:val="21"/>
  </w:num>
  <w:num w:numId="23">
    <w:abstractNumId w:val="24"/>
  </w:num>
  <w:num w:numId="24">
    <w:abstractNumId w:val="14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A5E1F"/>
    <w:rsid w:val="000040F6"/>
    <w:rsid w:val="0000509D"/>
    <w:rsid w:val="00010094"/>
    <w:rsid w:val="0001128A"/>
    <w:rsid w:val="0001636D"/>
    <w:rsid w:val="000176EE"/>
    <w:rsid w:val="00020FFE"/>
    <w:rsid w:val="0002115F"/>
    <w:rsid w:val="00021D36"/>
    <w:rsid w:val="000259E3"/>
    <w:rsid w:val="0002632F"/>
    <w:rsid w:val="00044A20"/>
    <w:rsid w:val="0005793E"/>
    <w:rsid w:val="000600C0"/>
    <w:rsid w:val="00061AED"/>
    <w:rsid w:val="00062BAD"/>
    <w:rsid w:val="00063841"/>
    <w:rsid w:val="00071896"/>
    <w:rsid w:val="00073CE3"/>
    <w:rsid w:val="0007517C"/>
    <w:rsid w:val="0007692E"/>
    <w:rsid w:val="0008608F"/>
    <w:rsid w:val="0008678B"/>
    <w:rsid w:val="00091C18"/>
    <w:rsid w:val="00092509"/>
    <w:rsid w:val="000972C4"/>
    <w:rsid w:val="000A0CF6"/>
    <w:rsid w:val="000A251C"/>
    <w:rsid w:val="000A2D1D"/>
    <w:rsid w:val="000A3A42"/>
    <w:rsid w:val="000A6C82"/>
    <w:rsid w:val="000B2CF6"/>
    <w:rsid w:val="000B6F5C"/>
    <w:rsid w:val="000C1B56"/>
    <w:rsid w:val="000D33C4"/>
    <w:rsid w:val="000D7EF9"/>
    <w:rsid w:val="000E03D1"/>
    <w:rsid w:val="000E1051"/>
    <w:rsid w:val="000E43C0"/>
    <w:rsid w:val="000E5D70"/>
    <w:rsid w:val="000E62A8"/>
    <w:rsid w:val="000E6EF9"/>
    <w:rsid w:val="000E7C80"/>
    <w:rsid w:val="000F3ED7"/>
    <w:rsid w:val="00100321"/>
    <w:rsid w:val="00104E5F"/>
    <w:rsid w:val="00104EB3"/>
    <w:rsid w:val="001059B0"/>
    <w:rsid w:val="00106120"/>
    <w:rsid w:val="0010627D"/>
    <w:rsid w:val="00106FA0"/>
    <w:rsid w:val="001172E5"/>
    <w:rsid w:val="001238D7"/>
    <w:rsid w:val="001271BA"/>
    <w:rsid w:val="00130E26"/>
    <w:rsid w:val="00132093"/>
    <w:rsid w:val="00132D97"/>
    <w:rsid w:val="0013376E"/>
    <w:rsid w:val="0014371A"/>
    <w:rsid w:val="001500F8"/>
    <w:rsid w:val="001514AB"/>
    <w:rsid w:val="00151927"/>
    <w:rsid w:val="00151E8C"/>
    <w:rsid w:val="001537D4"/>
    <w:rsid w:val="00153C92"/>
    <w:rsid w:val="00157B22"/>
    <w:rsid w:val="00166A7F"/>
    <w:rsid w:val="00171E51"/>
    <w:rsid w:val="0017377C"/>
    <w:rsid w:val="001819F6"/>
    <w:rsid w:val="001841DF"/>
    <w:rsid w:val="00186D2D"/>
    <w:rsid w:val="00192E4E"/>
    <w:rsid w:val="00194B04"/>
    <w:rsid w:val="00197930"/>
    <w:rsid w:val="001A2035"/>
    <w:rsid w:val="001A2F45"/>
    <w:rsid w:val="001A59E3"/>
    <w:rsid w:val="001A791B"/>
    <w:rsid w:val="001B00C8"/>
    <w:rsid w:val="001B11D1"/>
    <w:rsid w:val="001B139E"/>
    <w:rsid w:val="001B2558"/>
    <w:rsid w:val="001B7303"/>
    <w:rsid w:val="001C3C2F"/>
    <w:rsid w:val="001C49AD"/>
    <w:rsid w:val="001C6104"/>
    <w:rsid w:val="001C6BB3"/>
    <w:rsid w:val="001D2120"/>
    <w:rsid w:val="001D2528"/>
    <w:rsid w:val="001D4654"/>
    <w:rsid w:val="001E776F"/>
    <w:rsid w:val="001F3C1C"/>
    <w:rsid w:val="001F4457"/>
    <w:rsid w:val="001F4F7C"/>
    <w:rsid w:val="00200EF0"/>
    <w:rsid w:val="002029B4"/>
    <w:rsid w:val="002064D7"/>
    <w:rsid w:val="00207781"/>
    <w:rsid w:val="00212CC8"/>
    <w:rsid w:val="002133B5"/>
    <w:rsid w:val="00214141"/>
    <w:rsid w:val="0021692D"/>
    <w:rsid w:val="00216DB8"/>
    <w:rsid w:val="0022275A"/>
    <w:rsid w:val="00222C2D"/>
    <w:rsid w:val="00223752"/>
    <w:rsid w:val="00225A89"/>
    <w:rsid w:val="002331CE"/>
    <w:rsid w:val="0023362C"/>
    <w:rsid w:val="002532A7"/>
    <w:rsid w:val="0026334C"/>
    <w:rsid w:val="00263B37"/>
    <w:rsid w:val="00266A84"/>
    <w:rsid w:val="00267494"/>
    <w:rsid w:val="002828B9"/>
    <w:rsid w:val="00282D99"/>
    <w:rsid w:val="0029002E"/>
    <w:rsid w:val="00290C8E"/>
    <w:rsid w:val="002919C6"/>
    <w:rsid w:val="00292AF8"/>
    <w:rsid w:val="00293FA3"/>
    <w:rsid w:val="002967C8"/>
    <w:rsid w:val="002A1A81"/>
    <w:rsid w:val="002A45B0"/>
    <w:rsid w:val="002A483E"/>
    <w:rsid w:val="002B2297"/>
    <w:rsid w:val="002B47A1"/>
    <w:rsid w:val="002B560A"/>
    <w:rsid w:val="002B60C1"/>
    <w:rsid w:val="002C1F2A"/>
    <w:rsid w:val="002C65E3"/>
    <w:rsid w:val="002C7F36"/>
    <w:rsid w:val="002D10CE"/>
    <w:rsid w:val="002D4378"/>
    <w:rsid w:val="002D4643"/>
    <w:rsid w:val="002D73E4"/>
    <w:rsid w:val="002E2370"/>
    <w:rsid w:val="002E3093"/>
    <w:rsid w:val="00305915"/>
    <w:rsid w:val="00305C04"/>
    <w:rsid w:val="003071A7"/>
    <w:rsid w:val="00307936"/>
    <w:rsid w:val="00311428"/>
    <w:rsid w:val="00311920"/>
    <w:rsid w:val="00312351"/>
    <w:rsid w:val="003128AB"/>
    <w:rsid w:val="00320B5C"/>
    <w:rsid w:val="0032364D"/>
    <w:rsid w:val="00330FF1"/>
    <w:rsid w:val="00331DDE"/>
    <w:rsid w:val="00332A38"/>
    <w:rsid w:val="00341F35"/>
    <w:rsid w:val="003476D6"/>
    <w:rsid w:val="00350C0B"/>
    <w:rsid w:val="00351261"/>
    <w:rsid w:val="003516BE"/>
    <w:rsid w:val="003520CD"/>
    <w:rsid w:val="00352FC8"/>
    <w:rsid w:val="003551E0"/>
    <w:rsid w:val="0035794A"/>
    <w:rsid w:val="00360908"/>
    <w:rsid w:val="00361EAA"/>
    <w:rsid w:val="00362250"/>
    <w:rsid w:val="003679E1"/>
    <w:rsid w:val="0037239E"/>
    <w:rsid w:val="0037567A"/>
    <w:rsid w:val="00377A67"/>
    <w:rsid w:val="00381D92"/>
    <w:rsid w:val="00383E2C"/>
    <w:rsid w:val="003844E5"/>
    <w:rsid w:val="00385A8C"/>
    <w:rsid w:val="00392281"/>
    <w:rsid w:val="00395CF5"/>
    <w:rsid w:val="00395DC5"/>
    <w:rsid w:val="00396BD1"/>
    <w:rsid w:val="00397A42"/>
    <w:rsid w:val="00397AFF"/>
    <w:rsid w:val="003A3AEF"/>
    <w:rsid w:val="003A3BB5"/>
    <w:rsid w:val="003A3DCA"/>
    <w:rsid w:val="003B175E"/>
    <w:rsid w:val="003B20DC"/>
    <w:rsid w:val="003B2115"/>
    <w:rsid w:val="003B3B68"/>
    <w:rsid w:val="003B44DD"/>
    <w:rsid w:val="003C2C42"/>
    <w:rsid w:val="003D13F2"/>
    <w:rsid w:val="003F7E88"/>
    <w:rsid w:val="00404509"/>
    <w:rsid w:val="00406669"/>
    <w:rsid w:val="004249A1"/>
    <w:rsid w:val="0042539C"/>
    <w:rsid w:val="00426E84"/>
    <w:rsid w:val="00431DA7"/>
    <w:rsid w:val="0043583E"/>
    <w:rsid w:val="00440B27"/>
    <w:rsid w:val="00447A3F"/>
    <w:rsid w:val="00453017"/>
    <w:rsid w:val="00453877"/>
    <w:rsid w:val="0045577E"/>
    <w:rsid w:val="00456F72"/>
    <w:rsid w:val="0046421E"/>
    <w:rsid w:val="0046451F"/>
    <w:rsid w:val="0047039B"/>
    <w:rsid w:val="004911F8"/>
    <w:rsid w:val="00497463"/>
    <w:rsid w:val="004A0F13"/>
    <w:rsid w:val="004B0006"/>
    <w:rsid w:val="004B23CA"/>
    <w:rsid w:val="004B2C76"/>
    <w:rsid w:val="004B59E9"/>
    <w:rsid w:val="004C01CB"/>
    <w:rsid w:val="004D0715"/>
    <w:rsid w:val="004E135C"/>
    <w:rsid w:val="004E21D8"/>
    <w:rsid w:val="004E3840"/>
    <w:rsid w:val="004E5F62"/>
    <w:rsid w:val="004F1741"/>
    <w:rsid w:val="004F38B9"/>
    <w:rsid w:val="004F3F42"/>
    <w:rsid w:val="004F6044"/>
    <w:rsid w:val="004F7754"/>
    <w:rsid w:val="00506CBB"/>
    <w:rsid w:val="00516051"/>
    <w:rsid w:val="00521073"/>
    <w:rsid w:val="00521DAA"/>
    <w:rsid w:val="005227D1"/>
    <w:rsid w:val="005240C5"/>
    <w:rsid w:val="0052715F"/>
    <w:rsid w:val="005302AC"/>
    <w:rsid w:val="00530307"/>
    <w:rsid w:val="005313D7"/>
    <w:rsid w:val="00534796"/>
    <w:rsid w:val="00544BD0"/>
    <w:rsid w:val="00545867"/>
    <w:rsid w:val="005467A7"/>
    <w:rsid w:val="00547350"/>
    <w:rsid w:val="00555F8D"/>
    <w:rsid w:val="00561061"/>
    <w:rsid w:val="0057226C"/>
    <w:rsid w:val="005732DB"/>
    <w:rsid w:val="005757B1"/>
    <w:rsid w:val="0057609F"/>
    <w:rsid w:val="00577C5D"/>
    <w:rsid w:val="00583C80"/>
    <w:rsid w:val="00583CA4"/>
    <w:rsid w:val="00587F86"/>
    <w:rsid w:val="00591923"/>
    <w:rsid w:val="00594FA5"/>
    <w:rsid w:val="00597CC9"/>
    <w:rsid w:val="00597F6E"/>
    <w:rsid w:val="005B18CF"/>
    <w:rsid w:val="005B7699"/>
    <w:rsid w:val="005C1AA6"/>
    <w:rsid w:val="005C54F2"/>
    <w:rsid w:val="005C553F"/>
    <w:rsid w:val="005C59DC"/>
    <w:rsid w:val="005C6634"/>
    <w:rsid w:val="005D5880"/>
    <w:rsid w:val="005E05F5"/>
    <w:rsid w:val="005E38CD"/>
    <w:rsid w:val="005E3BB5"/>
    <w:rsid w:val="005E51EC"/>
    <w:rsid w:val="005E5D73"/>
    <w:rsid w:val="005E7BA5"/>
    <w:rsid w:val="005F4C1F"/>
    <w:rsid w:val="005F5A11"/>
    <w:rsid w:val="0060438E"/>
    <w:rsid w:val="00607298"/>
    <w:rsid w:val="00607B76"/>
    <w:rsid w:val="006221E5"/>
    <w:rsid w:val="00625F9B"/>
    <w:rsid w:val="00632318"/>
    <w:rsid w:val="00642E66"/>
    <w:rsid w:val="006452BD"/>
    <w:rsid w:val="00650B77"/>
    <w:rsid w:val="0065160D"/>
    <w:rsid w:val="00651EB5"/>
    <w:rsid w:val="00652900"/>
    <w:rsid w:val="00653B3F"/>
    <w:rsid w:val="006564A9"/>
    <w:rsid w:val="00663953"/>
    <w:rsid w:val="00664FA7"/>
    <w:rsid w:val="00665052"/>
    <w:rsid w:val="00675A57"/>
    <w:rsid w:val="00683975"/>
    <w:rsid w:val="00687ACD"/>
    <w:rsid w:val="00691C6C"/>
    <w:rsid w:val="006937D2"/>
    <w:rsid w:val="00696435"/>
    <w:rsid w:val="006A28E3"/>
    <w:rsid w:val="006A2BBC"/>
    <w:rsid w:val="006A390D"/>
    <w:rsid w:val="006A5EF1"/>
    <w:rsid w:val="006B41C0"/>
    <w:rsid w:val="006C05A9"/>
    <w:rsid w:val="006C38CD"/>
    <w:rsid w:val="006D0ADB"/>
    <w:rsid w:val="006D28F5"/>
    <w:rsid w:val="006D7E43"/>
    <w:rsid w:val="006E52AB"/>
    <w:rsid w:val="006E7FDD"/>
    <w:rsid w:val="006F1C9B"/>
    <w:rsid w:val="006F62CA"/>
    <w:rsid w:val="006F7DD8"/>
    <w:rsid w:val="0070693A"/>
    <w:rsid w:val="00711D91"/>
    <w:rsid w:val="00721744"/>
    <w:rsid w:val="007313F7"/>
    <w:rsid w:val="00732CEA"/>
    <w:rsid w:val="00734696"/>
    <w:rsid w:val="00734971"/>
    <w:rsid w:val="00737010"/>
    <w:rsid w:val="00740563"/>
    <w:rsid w:val="007423FD"/>
    <w:rsid w:val="00744B5C"/>
    <w:rsid w:val="0075099E"/>
    <w:rsid w:val="00750D94"/>
    <w:rsid w:val="00752C98"/>
    <w:rsid w:val="00756291"/>
    <w:rsid w:val="00766FC1"/>
    <w:rsid w:val="00773005"/>
    <w:rsid w:val="00774059"/>
    <w:rsid w:val="00774DD0"/>
    <w:rsid w:val="00785357"/>
    <w:rsid w:val="0079765C"/>
    <w:rsid w:val="007B0467"/>
    <w:rsid w:val="007B0F2E"/>
    <w:rsid w:val="007B40A9"/>
    <w:rsid w:val="007B40B0"/>
    <w:rsid w:val="007B61DF"/>
    <w:rsid w:val="007B7EA1"/>
    <w:rsid w:val="007C2B66"/>
    <w:rsid w:val="007C3034"/>
    <w:rsid w:val="007C37BE"/>
    <w:rsid w:val="007C3C71"/>
    <w:rsid w:val="007D724E"/>
    <w:rsid w:val="007E59E1"/>
    <w:rsid w:val="007E6542"/>
    <w:rsid w:val="007F7829"/>
    <w:rsid w:val="00803157"/>
    <w:rsid w:val="00804E33"/>
    <w:rsid w:val="0082102F"/>
    <w:rsid w:val="00821335"/>
    <w:rsid w:val="008213E9"/>
    <w:rsid w:val="00822815"/>
    <w:rsid w:val="00827847"/>
    <w:rsid w:val="00831150"/>
    <w:rsid w:val="00833C12"/>
    <w:rsid w:val="00834216"/>
    <w:rsid w:val="00835972"/>
    <w:rsid w:val="008412B4"/>
    <w:rsid w:val="00841846"/>
    <w:rsid w:val="0084296E"/>
    <w:rsid w:val="00843335"/>
    <w:rsid w:val="00844D9C"/>
    <w:rsid w:val="00850E5B"/>
    <w:rsid w:val="00854E2B"/>
    <w:rsid w:val="00856B21"/>
    <w:rsid w:val="008615BC"/>
    <w:rsid w:val="00865419"/>
    <w:rsid w:val="00865483"/>
    <w:rsid w:val="008665EB"/>
    <w:rsid w:val="00870C10"/>
    <w:rsid w:val="00872E1F"/>
    <w:rsid w:val="00872EFF"/>
    <w:rsid w:val="008763E3"/>
    <w:rsid w:val="00876486"/>
    <w:rsid w:val="00880B94"/>
    <w:rsid w:val="00881612"/>
    <w:rsid w:val="00885FA6"/>
    <w:rsid w:val="00887B4B"/>
    <w:rsid w:val="00891850"/>
    <w:rsid w:val="008920CD"/>
    <w:rsid w:val="0089792C"/>
    <w:rsid w:val="00897935"/>
    <w:rsid w:val="008A57E0"/>
    <w:rsid w:val="008A6A33"/>
    <w:rsid w:val="008A6BF6"/>
    <w:rsid w:val="008A7ECE"/>
    <w:rsid w:val="008B19A0"/>
    <w:rsid w:val="008B2487"/>
    <w:rsid w:val="008B6354"/>
    <w:rsid w:val="008B7B2F"/>
    <w:rsid w:val="008C19E4"/>
    <w:rsid w:val="008C1A64"/>
    <w:rsid w:val="008C1BD8"/>
    <w:rsid w:val="008C5183"/>
    <w:rsid w:val="008C6562"/>
    <w:rsid w:val="008C73BF"/>
    <w:rsid w:val="008D0E4D"/>
    <w:rsid w:val="008D2E5A"/>
    <w:rsid w:val="008E0D9E"/>
    <w:rsid w:val="008E4413"/>
    <w:rsid w:val="008E6674"/>
    <w:rsid w:val="008F10CA"/>
    <w:rsid w:val="008F2CFB"/>
    <w:rsid w:val="008F4AB9"/>
    <w:rsid w:val="008F4F5D"/>
    <w:rsid w:val="0090182A"/>
    <w:rsid w:val="00904EA4"/>
    <w:rsid w:val="0091091B"/>
    <w:rsid w:val="00910BDA"/>
    <w:rsid w:val="00916B8E"/>
    <w:rsid w:val="00921AD0"/>
    <w:rsid w:val="00926D64"/>
    <w:rsid w:val="00937DCC"/>
    <w:rsid w:val="00942C29"/>
    <w:rsid w:val="009443F1"/>
    <w:rsid w:val="00946EA6"/>
    <w:rsid w:val="00960461"/>
    <w:rsid w:val="009612DA"/>
    <w:rsid w:val="00961584"/>
    <w:rsid w:val="00970783"/>
    <w:rsid w:val="00975CDA"/>
    <w:rsid w:val="00977377"/>
    <w:rsid w:val="009812A7"/>
    <w:rsid w:val="009812ED"/>
    <w:rsid w:val="00984A7D"/>
    <w:rsid w:val="00985F45"/>
    <w:rsid w:val="00990047"/>
    <w:rsid w:val="00992712"/>
    <w:rsid w:val="00995910"/>
    <w:rsid w:val="00995DC3"/>
    <w:rsid w:val="009A261C"/>
    <w:rsid w:val="009A612A"/>
    <w:rsid w:val="009A7AE2"/>
    <w:rsid w:val="009B007C"/>
    <w:rsid w:val="009B1496"/>
    <w:rsid w:val="009C0250"/>
    <w:rsid w:val="009C312D"/>
    <w:rsid w:val="009C3B7F"/>
    <w:rsid w:val="009C430A"/>
    <w:rsid w:val="009D10BD"/>
    <w:rsid w:val="009D13ED"/>
    <w:rsid w:val="009D2827"/>
    <w:rsid w:val="009D39BB"/>
    <w:rsid w:val="009D7064"/>
    <w:rsid w:val="009E65B2"/>
    <w:rsid w:val="009F023D"/>
    <w:rsid w:val="009F77F9"/>
    <w:rsid w:val="009F7F46"/>
    <w:rsid w:val="00A0062E"/>
    <w:rsid w:val="00A01BBB"/>
    <w:rsid w:val="00A1312F"/>
    <w:rsid w:val="00A13176"/>
    <w:rsid w:val="00A141A3"/>
    <w:rsid w:val="00A2084E"/>
    <w:rsid w:val="00A21EF6"/>
    <w:rsid w:val="00A23A47"/>
    <w:rsid w:val="00A246AE"/>
    <w:rsid w:val="00A4014C"/>
    <w:rsid w:val="00A438B7"/>
    <w:rsid w:val="00A46AC9"/>
    <w:rsid w:val="00A5233B"/>
    <w:rsid w:val="00A544EB"/>
    <w:rsid w:val="00A55F75"/>
    <w:rsid w:val="00A60C19"/>
    <w:rsid w:val="00A65798"/>
    <w:rsid w:val="00A67C70"/>
    <w:rsid w:val="00A707D2"/>
    <w:rsid w:val="00A725E8"/>
    <w:rsid w:val="00A74A8D"/>
    <w:rsid w:val="00A74B39"/>
    <w:rsid w:val="00A86398"/>
    <w:rsid w:val="00A95941"/>
    <w:rsid w:val="00AA029A"/>
    <w:rsid w:val="00AA65C9"/>
    <w:rsid w:val="00AB0BA5"/>
    <w:rsid w:val="00AB0FCF"/>
    <w:rsid w:val="00AB6071"/>
    <w:rsid w:val="00AB6F02"/>
    <w:rsid w:val="00AC09A8"/>
    <w:rsid w:val="00AC0F79"/>
    <w:rsid w:val="00AC2DDE"/>
    <w:rsid w:val="00AD2A4A"/>
    <w:rsid w:val="00AE1423"/>
    <w:rsid w:val="00AE4A12"/>
    <w:rsid w:val="00AE4C9E"/>
    <w:rsid w:val="00AE523F"/>
    <w:rsid w:val="00AF0F72"/>
    <w:rsid w:val="00AF3BFC"/>
    <w:rsid w:val="00AF60A7"/>
    <w:rsid w:val="00B054D6"/>
    <w:rsid w:val="00B11CCE"/>
    <w:rsid w:val="00B13AF5"/>
    <w:rsid w:val="00B22458"/>
    <w:rsid w:val="00B23BCB"/>
    <w:rsid w:val="00B23C50"/>
    <w:rsid w:val="00B25D8E"/>
    <w:rsid w:val="00B26FDA"/>
    <w:rsid w:val="00B30864"/>
    <w:rsid w:val="00B33276"/>
    <w:rsid w:val="00B466F8"/>
    <w:rsid w:val="00B47469"/>
    <w:rsid w:val="00B47BA7"/>
    <w:rsid w:val="00B52F69"/>
    <w:rsid w:val="00B535FD"/>
    <w:rsid w:val="00B6130E"/>
    <w:rsid w:val="00B65BAD"/>
    <w:rsid w:val="00B7067E"/>
    <w:rsid w:val="00B7252B"/>
    <w:rsid w:val="00B82922"/>
    <w:rsid w:val="00B8705D"/>
    <w:rsid w:val="00B94273"/>
    <w:rsid w:val="00B95387"/>
    <w:rsid w:val="00B9664F"/>
    <w:rsid w:val="00BA3DC5"/>
    <w:rsid w:val="00BA5FE3"/>
    <w:rsid w:val="00BA6A87"/>
    <w:rsid w:val="00BB0A7F"/>
    <w:rsid w:val="00BC112D"/>
    <w:rsid w:val="00BC317D"/>
    <w:rsid w:val="00BC34BE"/>
    <w:rsid w:val="00BC35AE"/>
    <w:rsid w:val="00BC3D7A"/>
    <w:rsid w:val="00BC64A5"/>
    <w:rsid w:val="00BC6631"/>
    <w:rsid w:val="00BC6E3B"/>
    <w:rsid w:val="00BD64D1"/>
    <w:rsid w:val="00BE188A"/>
    <w:rsid w:val="00BE4CBA"/>
    <w:rsid w:val="00BE699F"/>
    <w:rsid w:val="00BF255E"/>
    <w:rsid w:val="00BF2C1E"/>
    <w:rsid w:val="00BF39FB"/>
    <w:rsid w:val="00BF6280"/>
    <w:rsid w:val="00BF6890"/>
    <w:rsid w:val="00BF77D6"/>
    <w:rsid w:val="00C0144F"/>
    <w:rsid w:val="00C062C2"/>
    <w:rsid w:val="00C13390"/>
    <w:rsid w:val="00C139A8"/>
    <w:rsid w:val="00C157F4"/>
    <w:rsid w:val="00C160D8"/>
    <w:rsid w:val="00C25C7B"/>
    <w:rsid w:val="00C27C1A"/>
    <w:rsid w:val="00C31475"/>
    <w:rsid w:val="00C36C2F"/>
    <w:rsid w:val="00C45B60"/>
    <w:rsid w:val="00C5245C"/>
    <w:rsid w:val="00C5539E"/>
    <w:rsid w:val="00C56F0C"/>
    <w:rsid w:val="00C579C6"/>
    <w:rsid w:val="00C57D03"/>
    <w:rsid w:val="00C60CF6"/>
    <w:rsid w:val="00C6266C"/>
    <w:rsid w:val="00C6582B"/>
    <w:rsid w:val="00C72A06"/>
    <w:rsid w:val="00C76136"/>
    <w:rsid w:val="00C92867"/>
    <w:rsid w:val="00C946EC"/>
    <w:rsid w:val="00C95527"/>
    <w:rsid w:val="00C9719A"/>
    <w:rsid w:val="00C97B59"/>
    <w:rsid w:val="00CA2714"/>
    <w:rsid w:val="00CA43B5"/>
    <w:rsid w:val="00CA5470"/>
    <w:rsid w:val="00CA5E1F"/>
    <w:rsid w:val="00CA7AA4"/>
    <w:rsid w:val="00CB0F5C"/>
    <w:rsid w:val="00CC4B4A"/>
    <w:rsid w:val="00CC50C1"/>
    <w:rsid w:val="00CC7974"/>
    <w:rsid w:val="00CC798B"/>
    <w:rsid w:val="00CD2E06"/>
    <w:rsid w:val="00CD43DE"/>
    <w:rsid w:val="00CD6CCB"/>
    <w:rsid w:val="00CE0AFF"/>
    <w:rsid w:val="00CE600A"/>
    <w:rsid w:val="00CF1F0D"/>
    <w:rsid w:val="00CF2BF0"/>
    <w:rsid w:val="00CF6004"/>
    <w:rsid w:val="00D00CB5"/>
    <w:rsid w:val="00D01932"/>
    <w:rsid w:val="00D054DC"/>
    <w:rsid w:val="00D06DCC"/>
    <w:rsid w:val="00D1294C"/>
    <w:rsid w:val="00D14181"/>
    <w:rsid w:val="00D1616C"/>
    <w:rsid w:val="00D21CD5"/>
    <w:rsid w:val="00D21F70"/>
    <w:rsid w:val="00D240A7"/>
    <w:rsid w:val="00D24839"/>
    <w:rsid w:val="00D33CF8"/>
    <w:rsid w:val="00D33F3E"/>
    <w:rsid w:val="00D37091"/>
    <w:rsid w:val="00D516B5"/>
    <w:rsid w:val="00D520B9"/>
    <w:rsid w:val="00D56227"/>
    <w:rsid w:val="00D64317"/>
    <w:rsid w:val="00D6558F"/>
    <w:rsid w:val="00D853F8"/>
    <w:rsid w:val="00DA4A9E"/>
    <w:rsid w:val="00DA60A0"/>
    <w:rsid w:val="00DA66B7"/>
    <w:rsid w:val="00DA70F7"/>
    <w:rsid w:val="00DA7184"/>
    <w:rsid w:val="00DA7302"/>
    <w:rsid w:val="00DB09F2"/>
    <w:rsid w:val="00DB19E0"/>
    <w:rsid w:val="00DB5979"/>
    <w:rsid w:val="00DB7692"/>
    <w:rsid w:val="00DC61DC"/>
    <w:rsid w:val="00DD1D73"/>
    <w:rsid w:val="00DD5B14"/>
    <w:rsid w:val="00DD7D10"/>
    <w:rsid w:val="00DD7F1B"/>
    <w:rsid w:val="00DE7DE6"/>
    <w:rsid w:val="00DF1081"/>
    <w:rsid w:val="00DF220B"/>
    <w:rsid w:val="00DF25AB"/>
    <w:rsid w:val="00DF56C2"/>
    <w:rsid w:val="00DF787D"/>
    <w:rsid w:val="00E02E84"/>
    <w:rsid w:val="00E0323C"/>
    <w:rsid w:val="00E0392D"/>
    <w:rsid w:val="00E129AF"/>
    <w:rsid w:val="00E14AA4"/>
    <w:rsid w:val="00E15CE8"/>
    <w:rsid w:val="00E16491"/>
    <w:rsid w:val="00E31A00"/>
    <w:rsid w:val="00E321A0"/>
    <w:rsid w:val="00E32201"/>
    <w:rsid w:val="00E35A05"/>
    <w:rsid w:val="00E406FA"/>
    <w:rsid w:val="00E40EAA"/>
    <w:rsid w:val="00E471E0"/>
    <w:rsid w:val="00E53E6F"/>
    <w:rsid w:val="00E5516D"/>
    <w:rsid w:val="00E555FC"/>
    <w:rsid w:val="00E55DC0"/>
    <w:rsid w:val="00E56B61"/>
    <w:rsid w:val="00E57E0A"/>
    <w:rsid w:val="00E91157"/>
    <w:rsid w:val="00E95AB6"/>
    <w:rsid w:val="00E95B6C"/>
    <w:rsid w:val="00E96831"/>
    <w:rsid w:val="00E96F65"/>
    <w:rsid w:val="00E9709D"/>
    <w:rsid w:val="00EA6E27"/>
    <w:rsid w:val="00EB10D5"/>
    <w:rsid w:val="00EB5836"/>
    <w:rsid w:val="00EB7AAA"/>
    <w:rsid w:val="00EC07EC"/>
    <w:rsid w:val="00EC1961"/>
    <w:rsid w:val="00EC4988"/>
    <w:rsid w:val="00ED3C2E"/>
    <w:rsid w:val="00ED537C"/>
    <w:rsid w:val="00ED5CD8"/>
    <w:rsid w:val="00EE5B6F"/>
    <w:rsid w:val="00F00478"/>
    <w:rsid w:val="00F009C5"/>
    <w:rsid w:val="00F02253"/>
    <w:rsid w:val="00F04987"/>
    <w:rsid w:val="00F0706B"/>
    <w:rsid w:val="00F235A5"/>
    <w:rsid w:val="00F2376F"/>
    <w:rsid w:val="00F23CA2"/>
    <w:rsid w:val="00F2441D"/>
    <w:rsid w:val="00F24CF9"/>
    <w:rsid w:val="00F25BE3"/>
    <w:rsid w:val="00F273DC"/>
    <w:rsid w:val="00F309B7"/>
    <w:rsid w:val="00F35649"/>
    <w:rsid w:val="00F36F30"/>
    <w:rsid w:val="00F371C1"/>
    <w:rsid w:val="00F43EF0"/>
    <w:rsid w:val="00F45C37"/>
    <w:rsid w:val="00F4756A"/>
    <w:rsid w:val="00F47F8E"/>
    <w:rsid w:val="00F52985"/>
    <w:rsid w:val="00F57AFA"/>
    <w:rsid w:val="00F603EE"/>
    <w:rsid w:val="00F63823"/>
    <w:rsid w:val="00F6382B"/>
    <w:rsid w:val="00F66242"/>
    <w:rsid w:val="00F813B5"/>
    <w:rsid w:val="00F85452"/>
    <w:rsid w:val="00F939C8"/>
    <w:rsid w:val="00F9778A"/>
    <w:rsid w:val="00FA71C8"/>
    <w:rsid w:val="00FB0687"/>
    <w:rsid w:val="00FB11CE"/>
    <w:rsid w:val="00FB3353"/>
    <w:rsid w:val="00FC24D4"/>
    <w:rsid w:val="00FC3E05"/>
    <w:rsid w:val="00FC4E72"/>
    <w:rsid w:val="00FC58CA"/>
    <w:rsid w:val="00FD53AD"/>
    <w:rsid w:val="00FE005C"/>
    <w:rsid w:val="00FE05D8"/>
    <w:rsid w:val="00FE09C8"/>
    <w:rsid w:val="00FE3137"/>
    <w:rsid w:val="00FE4077"/>
    <w:rsid w:val="00FE6E16"/>
    <w:rsid w:val="00FF2076"/>
    <w:rsid w:val="00FF4659"/>
    <w:rsid w:val="00FF4E0D"/>
    <w:rsid w:val="00FF5A1C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E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5E1F"/>
    <w:pPr>
      <w:keepNext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F3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E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5E1F"/>
  </w:style>
  <w:style w:type="paragraph" w:styleId="Stopka">
    <w:name w:val="footer"/>
    <w:basedOn w:val="Normalny"/>
    <w:link w:val="StopkaZnak"/>
    <w:rsid w:val="00CA5E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CA5E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rsid w:val="00CA5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5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5E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5E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A5E1F"/>
    <w:rPr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A5E1F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A5E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5E1F"/>
    <w:pPr>
      <w:ind w:left="720"/>
      <w:contextualSpacing/>
    </w:pPr>
  </w:style>
  <w:style w:type="paragraph" w:customStyle="1" w:styleId="Default">
    <w:name w:val="Default"/>
    <w:rsid w:val="00CA5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E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8Sygnaturapisma">
    <w:name w:val="@08.Sygnatura_pisma"/>
    <w:basedOn w:val="11Trescpisma"/>
    <w:next w:val="10Szanowny"/>
    <w:uiPriority w:val="99"/>
    <w:rsid w:val="007B7EA1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7B7E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4StanowiskoAdresata">
    <w:name w:val="@04.StanowiskoAdresata"/>
    <w:basedOn w:val="11Trescpisma"/>
    <w:uiPriority w:val="99"/>
    <w:rsid w:val="007B7EA1"/>
    <w:pPr>
      <w:spacing w:before="0" w:after="100"/>
    </w:pPr>
    <w:rPr>
      <w:bCs/>
      <w:szCs w:val="20"/>
    </w:rPr>
  </w:style>
  <w:style w:type="paragraph" w:customStyle="1" w:styleId="18Zalacznikilista">
    <w:name w:val="@18.Zalaczniki_lista"/>
    <w:basedOn w:val="11Trescpisma"/>
    <w:rsid w:val="007B7EA1"/>
    <w:pPr>
      <w:tabs>
        <w:tab w:val="num" w:pos="360"/>
      </w:tabs>
      <w:spacing w:before="0"/>
      <w:ind w:left="714" w:hanging="357"/>
    </w:pPr>
    <w:rPr>
      <w:sz w:val="16"/>
    </w:rPr>
  </w:style>
  <w:style w:type="character" w:customStyle="1" w:styleId="displayonly">
    <w:name w:val="display_only"/>
    <w:basedOn w:val="Domylnaczcionkaakapitu"/>
    <w:rsid w:val="007B7EA1"/>
  </w:style>
  <w:style w:type="character" w:customStyle="1" w:styleId="alb">
    <w:name w:val="a_lb"/>
    <w:basedOn w:val="Domylnaczcionkaakapitu"/>
    <w:rsid w:val="007B7EA1"/>
  </w:style>
  <w:style w:type="character" w:customStyle="1" w:styleId="alb-s">
    <w:name w:val="a_lb-s"/>
    <w:basedOn w:val="Domylnaczcionkaakapitu"/>
    <w:rsid w:val="007B7EA1"/>
  </w:style>
  <w:style w:type="character" w:styleId="Hipercze">
    <w:name w:val="Hyperlink"/>
    <w:basedOn w:val="Domylnaczcionkaakapitu"/>
    <w:uiPriority w:val="99"/>
    <w:semiHidden/>
    <w:unhideWhenUsed/>
    <w:rsid w:val="007B7EA1"/>
    <w:rPr>
      <w:color w:val="0000FF"/>
      <w:u w:val="single"/>
    </w:rPr>
  </w:style>
  <w:style w:type="character" w:customStyle="1" w:styleId="ng-scope">
    <w:name w:val="ng-scope"/>
    <w:basedOn w:val="Domylnaczcionkaakapitu"/>
    <w:rsid w:val="007B7EA1"/>
  </w:style>
  <w:style w:type="character" w:customStyle="1" w:styleId="ng-binding1">
    <w:name w:val="ng-binding1"/>
    <w:basedOn w:val="Domylnaczcionkaakapitu"/>
    <w:rsid w:val="007B7EA1"/>
  </w:style>
  <w:style w:type="paragraph" w:styleId="Tekstpodstawowywcity">
    <w:name w:val="Body Text Indent"/>
    <w:basedOn w:val="Normalny"/>
    <w:link w:val="TekstpodstawowywcityZnak"/>
    <w:unhideWhenUsed/>
    <w:rsid w:val="007B7E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7EA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3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3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3C4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F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F7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F79"/>
    <w:rPr>
      <w:vertAlign w:val="superscript"/>
    </w:rPr>
  </w:style>
  <w:style w:type="paragraph" w:customStyle="1" w:styleId="14StanowiskoPodpisujacego">
    <w:name w:val="@14.StanowiskoPodpisujacego"/>
    <w:basedOn w:val="11Trescpisma"/>
    <w:rsid w:val="007423FD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F3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left">
    <w:name w:val="left"/>
    <w:basedOn w:val="Domylnaczcionkaakapitu"/>
    <w:rsid w:val="00C76136"/>
  </w:style>
  <w:style w:type="paragraph" w:customStyle="1" w:styleId="01Instytucja1">
    <w:name w:val="@01.Instytucja1"/>
    <w:basedOn w:val="11Trescpisma"/>
    <w:next w:val="Normalny"/>
    <w:rsid w:val="00DF56C2"/>
    <w:pPr>
      <w:spacing w:before="0"/>
    </w:pPr>
    <w:rPr>
      <w:bCs/>
      <w:szCs w:val="20"/>
    </w:rPr>
  </w:style>
  <w:style w:type="paragraph" w:customStyle="1" w:styleId="05Adresulica">
    <w:name w:val="@05.Adres_ulica"/>
    <w:basedOn w:val="11Trescpisma"/>
    <w:next w:val="Normalny"/>
    <w:rsid w:val="00A74B39"/>
    <w:rPr>
      <w:sz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6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06FA0"/>
    <w:rPr>
      <w:rFonts w:ascii="Courier New" w:eastAsia="Times New Roman" w:hAnsi="Courier New" w:cs="Courier New"/>
    </w:rPr>
  </w:style>
  <w:style w:type="character" w:customStyle="1" w:styleId="info-list-value-uzasadnienie">
    <w:name w:val="info-list-value-uzasadnienie"/>
    <w:basedOn w:val="Domylnaczcionkaakapitu"/>
    <w:rsid w:val="001F4F7C"/>
  </w:style>
  <w:style w:type="character" w:customStyle="1" w:styleId="highlight">
    <w:name w:val="highlight"/>
    <w:basedOn w:val="Domylnaczcionkaakapitu"/>
    <w:rsid w:val="001F4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6149</Words>
  <Characters>36899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ummagl03</dc:creator>
  <cp:lastModifiedBy>umdast01</cp:lastModifiedBy>
  <cp:revision>2</cp:revision>
  <cp:lastPrinted>2023-02-09T08:39:00Z</cp:lastPrinted>
  <dcterms:created xsi:type="dcterms:W3CDTF">2023-02-13T08:19:00Z</dcterms:created>
  <dcterms:modified xsi:type="dcterms:W3CDTF">2023-02-13T08:19:00Z</dcterms:modified>
</cp:coreProperties>
</file>