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50" w:rsidRPr="007714FE" w:rsidRDefault="00E010DD" w:rsidP="007714FE">
      <w:pPr>
        <w:spacing w:line="360" w:lineRule="auto"/>
        <w:rPr>
          <w:rFonts w:ascii="Verdana" w:hAnsi="Verdana"/>
          <w:b/>
          <w:sz w:val="24"/>
          <w:szCs w:val="24"/>
        </w:rPr>
      </w:pPr>
      <w:r w:rsidRPr="007714FE">
        <w:rPr>
          <w:rFonts w:ascii="Verdana" w:hAnsi="Verdana"/>
          <w:b/>
          <w:sz w:val="24"/>
          <w:szCs w:val="24"/>
        </w:rPr>
        <w:t>Uzasadnienie</w:t>
      </w:r>
    </w:p>
    <w:p w:rsidR="00C7090D" w:rsidRPr="007714FE" w:rsidRDefault="009A4A92" w:rsidP="00CF5F46">
      <w:pPr>
        <w:pStyle w:val="Bezodstpw"/>
        <w:spacing w:after="100" w:afterAutospacing="1" w:line="360" w:lineRule="auto"/>
        <w:rPr>
          <w:rFonts w:ascii="Verdana" w:hAnsi="Verdana"/>
          <w:b/>
          <w:sz w:val="24"/>
          <w:szCs w:val="24"/>
        </w:rPr>
      </w:pPr>
      <w:r w:rsidRPr="007714FE">
        <w:rPr>
          <w:rFonts w:ascii="Verdana" w:hAnsi="Verdana"/>
          <w:b/>
          <w:sz w:val="24"/>
          <w:szCs w:val="24"/>
        </w:rPr>
        <w:t>oddania głosu za uchwałą nr 01</w:t>
      </w:r>
      <w:r w:rsidR="00C7090D" w:rsidRPr="007714FE">
        <w:rPr>
          <w:rFonts w:ascii="Verdana" w:hAnsi="Verdana"/>
          <w:b/>
          <w:sz w:val="24"/>
          <w:szCs w:val="24"/>
        </w:rPr>
        <w:t>/</w:t>
      </w:r>
      <w:r w:rsidRPr="007714FE">
        <w:rPr>
          <w:rFonts w:ascii="Verdana" w:hAnsi="Verdana"/>
          <w:b/>
          <w:sz w:val="24"/>
          <w:szCs w:val="24"/>
        </w:rPr>
        <w:t>01</w:t>
      </w:r>
      <w:r w:rsidR="00C7090D" w:rsidRPr="007714FE">
        <w:rPr>
          <w:rFonts w:ascii="Verdana" w:hAnsi="Verdana"/>
          <w:b/>
          <w:sz w:val="24"/>
          <w:szCs w:val="24"/>
        </w:rPr>
        <w:t xml:space="preserve">/23 Nadzwyczajnego Zgromadzenia Wspólników Spółki </w:t>
      </w:r>
      <w:r w:rsidR="000D0F50" w:rsidRPr="007714FE">
        <w:rPr>
          <w:rFonts w:ascii="Verdana" w:hAnsi="Verdana"/>
          <w:b/>
          <w:sz w:val="24"/>
          <w:szCs w:val="24"/>
        </w:rPr>
        <w:t xml:space="preserve">Wrocławskie Przedsiębiorstwo HALA LUDOWA </w:t>
      </w:r>
      <w:r w:rsidR="00C7090D" w:rsidRPr="007714FE">
        <w:rPr>
          <w:rFonts w:ascii="Verdana" w:hAnsi="Verdana"/>
          <w:b/>
          <w:sz w:val="24"/>
          <w:szCs w:val="24"/>
        </w:rPr>
        <w:t xml:space="preserve">Sp. z o.o. z dnia </w:t>
      </w:r>
      <w:r w:rsidRPr="007714FE">
        <w:rPr>
          <w:rFonts w:ascii="Verdana" w:hAnsi="Verdana"/>
          <w:b/>
          <w:sz w:val="24"/>
          <w:szCs w:val="24"/>
        </w:rPr>
        <w:t>24 stycznia</w:t>
      </w:r>
      <w:r w:rsidR="00C7090D" w:rsidRPr="007714FE">
        <w:rPr>
          <w:rFonts w:ascii="Verdana" w:hAnsi="Verdana"/>
          <w:b/>
          <w:sz w:val="24"/>
          <w:szCs w:val="24"/>
        </w:rPr>
        <w:t xml:space="preserve"> 2023 roku</w:t>
      </w:r>
      <w:r w:rsidR="00283E00" w:rsidRPr="007714FE">
        <w:rPr>
          <w:rFonts w:ascii="Verdana" w:hAnsi="Verdana"/>
          <w:b/>
          <w:bCs/>
          <w:sz w:val="24"/>
          <w:szCs w:val="24"/>
        </w:rPr>
        <w:t xml:space="preserve"> zmieniającą</w:t>
      </w:r>
      <w:r w:rsidR="00C7090D" w:rsidRPr="007714FE">
        <w:rPr>
          <w:rFonts w:ascii="Verdana" w:hAnsi="Verdana"/>
          <w:b/>
          <w:bCs/>
          <w:sz w:val="24"/>
          <w:szCs w:val="24"/>
        </w:rPr>
        <w:t xml:space="preserve"> uchwałę nr 13/06/2017 Zwyczajnego Zgromadzenia Wspólników spółki </w:t>
      </w:r>
      <w:r w:rsidR="00C7090D" w:rsidRPr="007714FE">
        <w:rPr>
          <w:rFonts w:ascii="Verdana" w:hAnsi="Verdana"/>
          <w:b/>
          <w:sz w:val="24"/>
          <w:szCs w:val="24"/>
        </w:rPr>
        <w:t xml:space="preserve">Wrocławskie Przedsiębiorstwo HALA LUDOWA Spółka z ograniczoną odpowiedzialnością z dnia 27 czerwca 2017 roku </w:t>
      </w:r>
      <w:r w:rsidR="00C7090D" w:rsidRPr="007714FE">
        <w:rPr>
          <w:rFonts w:ascii="Verdana" w:hAnsi="Verdana"/>
          <w:b/>
          <w:bCs/>
          <w:sz w:val="24"/>
          <w:szCs w:val="24"/>
        </w:rPr>
        <w:t>w sprawie zasad kształtowania wynagrodzenia Członków Zarządu spółki (</w:t>
      </w:r>
      <w:r w:rsidR="00C7090D" w:rsidRPr="007714FE">
        <w:rPr>
          <w:rFonts w:ascii="Verdana" w:hAnsi="Verdana"/>
          <w:b/>
          <w:sz w:val="24"/>
          <w:szCs w:val="24"/>
        </w:rPr>
        <w:t>w brzmieniu tekstu jednolitego przyjętego uchwałą nr 06/04/22 Nadzwyczajnego Zgromadzenia Wspólników spółki Wrocławskie Przedsiębiorstwo HALA LUDOWA Sp. z o.o. z dnia 27 kwietnia 2022 roku)</w:t>
      </w:r>
    </w:p>
    <w:p w:rsidR="00A0054A" w:rsidRPr="007714FE" w:rsidRDefault="00A0054A" w:rsidP="007714FE">
      <w:pPr>
        <w:spacing w:line="36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7714FE">
        <w:rPr>
          <w:rFonts w:ascii="Verdana" w:eastAsia="Times New Roman" w:hAnsi="Verdana"/>
          <w:sz w:val="24"/>
          <w:szCs w:val="24"/>
          <w:lang w:eastAsia="pl-PL"/>
        </w:rPr>
        <w:t xml:space="preserve">Uchwała powyższa, </w:t>
      </w:r>
      <w:r w:rsidRPr="007714FE">
        <w:rPr>
          <w:rFonts w:ascii="Verdana" w:hAnsi="Verdana"/>
          <w:sz w:val="24"/>
          <w:szCs w:val="24"/>
        </w:rPr>
        <w:t>na podstawie art. 4 ust. 3 ustawy z dnia 9 czerwca 2016 r. o zasadach kształtowania wynagrodzeń osób kierujących niektórymi spółkami</w:t>
      </w:r>
      <w:r w:rsidRPr="007714FE">
        <w:rPr>
          <w:rFonts w:ascii="Verdana" w:eastAsia="Times New Roman" w:hAnsi="Verdana"/>
          <w:sz w:val="24"/>
          <w:szCs w:val="24"/>
          <w:lang w:eastAsia="pl-PL"/>
        </w:rPr>
        <w:t xml:space="preserve">, przewiduje inną wysokość części stałej wynagrodzenia  Prezesa Zarządu spółki WP HALA LUDOWA Sp. z o.o. niż określona zgodnie </w:t>
      </w:r>
      <w:r w:rsidRPr="007714FE">
        <w:rPr>
          <w:rFonts w:ascii="Verdana" w:hAnsi="Verdana"/>
          <w:sz w:val="24"/>
          <w:szCs w:val="24"/>
        </w:rPr>
        <w:t>z art. 4 ust. 2 przywołanej ustawy w związku z</w:t>
      </w:r>
      <w:r w:rsidRPr="007714FE">
        <w:rPr>
          <w:rFonts w:ascii="Verdana" w:eastAsia="Times New Roman" w:hAnsi="Verdana"/>
          <w:sz w:val="24"/>
          <w:szCs w:val="24"/>
          <w:lang w:eastAsia="pl-PL"/>
        </w:rPr>
        <w:t xml:space="preserve"> wyjątkowymi okolicznościami dotyczącymi Spółki. </w:t>
      </w:r>
    </w:p>
    <w:p w:rsidR="00A0054A" w:rsidRPr="007714FE" w:rsidRDefault="00A0054A" w:rsidP="007714FE">
      <w:pPr>
        <w:spacing w:line="360" w:lineRule="auto"/>
        <w:rPr>
          <w:rFonts w:ascii="Verdana" w:hAnsi="Verdana"/>
          <w:sz w:val="24"/>
          <w:szCs w:val="24"/>
        </w:rPr>
      </w:pPr>
      <w:r w:rsidRPr="007714FE">
        <w:rPr>
          <w:rFonts w:ascii="Verdana" w:hAnsi="Verdana"/>
          <w:sz w:val="24"/>
          <w:szCs w:val="24"/>
        </w:rPr>
        <w:t xml:space="preserve">Faktyczna skala działalności Spółki jw. jest większa niż wynika to z poziomu rocznego obrotu netto ze sprzedaży towarów i usług oraz operacji finansowych, którym Spółka legitymuje się w poszczególnych latach obrotowych działalności. </w:t>
      </w:r>
    </w:p>
    <w:p w:rsidR="0086263F" w:rsidRPr="007714FE" w:rsidRDefault="00CB0340" w:rsidP="007714FE">
      <w:pPr>
        <w:spacing w:line="360" w:lineRule="auto"/>
        <w:rPr>
          <w:rFonts w:ascii="Verdana" w:hAnsi="Verdana"/>
          <w:sz w:val="24"/>
          <w:szCs w:val="24"/>
        </w:rPr>
      </w:pPr>
      <w:r w:rsidRPr="007714FE">
        <w:rPr>
          <w:rFonts w:ascii="Verdana" w:hAnsi="Verdana"/>
          <w:sz w:val="24"/>
          <w:szCs w:val="24"/>
        </w:rPr>
        <w:t>Z</w:t>
      </w:r>
      <w:r w:rsidR="0086263F" w:rsidRPr="007714FE">
        <w:rPr>
          <w:rFonts w:ascii="Verdana" w:hAnsi="Verdana"/>
          <w:sz w:val="24"/>
          <w:szCs w:val="24"/>
        </w:rPr>
        <w:t>większ</w:t>
      </w:r>
      <w:r w:rsidRPr="007714FE">
        <w:rPr>
          <w:rFonts w:ascii="Verdana" w:hAnsi="Verdana"/>
          <w:sz w:val="24"/>
          <w:szCs w:val="24"/>
        </w:rPr>
        <w:t xml:space="preserve">enie faktycznej skali działalności jest związane </w:t>
      </w:r>
      <w:r w:rsidR="00AF2F74" w:rsidRPr="007714FE">
        <w:rPr>
          <w:rFonts w:ascii="Verdana" w:hAnsi="Verdana"/>
          <w:sz w:val="24"/>
          <w:szCs w:val="24"/>
        </w:rPr>
        <w:t xml:space="preserve">w głównej mierze </w:t>
      </w:r>
      <w:r w:rsidR="005B0F56" w:rsidRPr="007714FE">
        <w:rPr>
          <w:rFonts w:ascii="Verdana" w:hAnsi="Verdana"/>
          <w:sz w:val="24"/>
          <w:szCs w:val="24"/>
        </w:rPr>
        <w:t>ze</w:t>
      </w:r>
      <w:r w:rsidRPr="007714FE">
        <w:rPr>
          <w:rFonts w:ascii="Verdana" w:hAnsi="Verdana"/>
          <w:sz w:val="24"/>
          <w:szCs w:val="24"/>
        </w:rPr>
        <w:t xml:space="preserve"> znacznym wzrostem </w:t>
      </w:r>
      <w:r w:rsidR="0086263F" w:rsidRPr="007714FE">
        <w:rPr>
          <w:rFonts w:ascii="Verdana" w:hAnsi="Verdana"/>
          <w:sz w:val="24"/>
          <w:szCs w:val="24"/>
        </w:rPr>
        <w:t xml:space="preserve">aktywności Spółki </w:t>
      </w:r>
      <w:r w:rsidR="00900F4B" w:rsidRPr="007714FE">
        <w:rPr>
          <w:rFonts w:ascii="Verdana" w:hAnsi="Verdana"/>
          <w:sz w:val="24"/>
          <w:szCs w:val="24"/>
        </w:rPr>
        <w:t>ukierunkowane</w:t>
      </w:r>
      <w:r w:rsidR="00AF2F74" w:rsidRPr="007714FE">
        <w:rPr>
          <w:rFonts w:ascii="Verdana" w:hAnsi="Verdana"/>
          <w:sz w:val="24"/>
          <w:szCs w:val="24"/>
        </w:rPr>
        <w:t>j</w:t>
      </w:r>
      <w:r w:rsidR="00900F4B" w:rsidRPr="007714FE">
        <w:rPr>
          <w:rFonts w:ascii="Verdana" w:hAnsi="Verdana"/>
          <w:sz w:val="24"/>
          <w:szCs w:val="24"/>
        </w:rPr>
        <w:t xml:space="preserve"> na</w:t>
      </w:r>
      <w:r w:rsidR="0086263F" w:rsidRPr="007714FE">
        <w:rPr>
          <w:rFonts w:ascii="Verdana" w:hAnsi="Verdana"/>
          <w:sz w:val="24"/>
          <w:szCs w:val="24"/>
        </w:rPr>
        <w:t xml:space="preserve"> realizacj</w:t>
      </w:r>
      <w:r w:rsidR="00900F4B" w:rsidRPr="007714FE">
        <w:rPr>
          <w:rFonts w:ascii="Verdana" w:hAnsi="Verdana"/>
          <w:sz w:val="24"/>
          <w:szCs w:val="24"/>
        </w:rPr>
        <w:t>ę</w:t>
      </w:r>
      <w:r w:rsidR="0086263F" w:rsidRPr="007714FE">
        <w:rPr>
          <w:rFonts w:ascii="Verdana" w:hAnsi="Verdana"/>
          <w:sz w:val="24"/>
          <w:szCs w:val="24"/>
        </w:rPr>
        <w:t xml:space="preserve"> zadań własnych Gminy Wrocław o charakterze użyteczności publicznej, obejmujących sprawy opieki nad zabytkami, kultury, promocji, kultury fizycznej i turystyki oraz terenów rekreacyjnych, która ukierunkowana jest na zaspokajanie potrzeb zbiorowych mieszkańców Wrocławia w zakresie kultury, wykorzystując Kompleks Hali Stulecia  na cele i działania społeczne w szczególności dedykowane społeczności lokalnej Miasta i </w:t>
      </w:r>
      <w:r w:rsidR="0086263F" w:rsidRPr="007714FE">
        <w:rPr>
          <w:rFonts w:ascii="Verdana" w:hAnsi="Verdana"/>
          <w:sz w:val="24"/>
          <w:szCs w:val="24"/>
        </w:rPr>
        <w:lastRenderedPageBreak/>
        <w:t>Gminy Wrocławia</w:t>
      </w:r>
      <w:r w:rsidR="005B0F56" w:rsidRPr="007714FE">
        <w:rPr>
          <w:rFonts w:ascii="Verdana" w:hAnsi="Verdana"/>
          <w:sz w:val="24"/>
          <w:szCs w:val="24"/>
        </w:rPr>
        <w:t xml:space="preserve">. </w:t>
      </w:r>
      <w:r w:rsidR="00352DDC" w:rsidRPr="007714FE">
        <w:rPr>
          <w:rFonts w:ascii="Verdana" w:hAnsi="Verdana"/>
          <w:sz w:val="24"/>
          <w:szCs w:val="24"/>
        </w:rPr>
        <w:t xml:space="preserve">Do tych działań zaliczyć można na przykład </w:t>
      </w:r>
      <w:r w:rsidR="00900F4B" w:rsidRPr="007714FE">
        <w:rPr>
          <w:rFonts w:ascii="Verdana" w:hAnsi="Verdana"/>
          <w:sz w:val="24"/>
          <w:szCs w:val="24"/>
        </w:rPr>
        <w:t>proces</w:t>
      </w:r>
      <w:r w:rsidR="002E6BCE" w:rsidRPr="007714FE">
        <w:rPr>
          <w:rFonts w:ascii="Verdana" w:hAnsi="Verdana"/>
          <w:sz w:val="24"/>
          <w:szCs w:val="24"/>
        </w:rPr>
        <w:t xml:space="preserve"> rewitalizacj</w:t>
      </w:r>
      <w:r w:rsidR="00900F4B" w:rsidRPr="007714FE">
        <w:rPr>
          <w:rFonts w:ascii="Verdana" w:hAnsi="Verdana"/>
          <w:sz w:val="24"/>
          <w:szCs w:val="24"/>
        </w:rPr>
        <w:t>i</w:t>
      </w:r>
      <w:r w:rsidR="002E6BCE" w:rsidRPr="007714FE">
        <w:rPr>
          <w:rFonts w:ascii="Verdana" w:hAnsi="Verdana"/>
          <w:sz w:val="24"/>
          <w:szCs w:val="24"/>
        </w:rPr>
        <w:t xml:space="preserve"> tzw. „Pawilonu pod Misiami”</w:t>
      </w:r>
      <w:r w:rsidR="003A6CE2" w:rsidRPr="007714FE">
        <w:rPr>
          <w:rFonts w:ascii="Verdana" w:hAnsi="Verdana"/>
          <w:sz w:val="24"/>
          <w:szCs w:val="24"/>
        </w:rPr>
        <w:t xml:space="preserve">, </w:t>
      </w:r>
      <w:r w:rsidR="00815526" w:rsidRPr="007714FE">
        <w:rPr>
          <w:rFonts w:ascii="Verdana" w:hAnsi="Verdana"/>
          <w:sz w:val="24"/>
          <w:szCs w:val="24"/>
        </w:rPr>
        <w:t>r</w:t>
      </w:r>
      <w:r w:rsidR="00DB77F7" w:rsidRPr="007714FE">
        <w:rPr>
          <w:rFonts w:ascii="Verdana" w:hAnsi="Verdana"/>
          <w:sz w:val="24"/>
          <w:szCs w:val="24"/>
        </w:rPr>
        <w:t>ozbudow</w:t>
      </w:r>
      <w:r w:rsidR="00352DDC" w:rsidRPr="007714FE">
        <w:rPr>
          <w:rFonts w:ascii="Verdana" w:hAnsi="Verdana"/>
          <w:sz w:val="24"/>
          <w:szCs w:val="24"/>
        </w:rPr>
        <w:t>ę</w:t>
      </w:r>
      <w:r w:rsidR="00DB77F7" w:rsidRPr="007714FE">
        <w:rPr>
          <w:rFonts w:ascii="Verdana" w:hAnsi="Verdana"/>
          <w:sz w:val="24"/>
          <w:szCs w:val="24"/>
        </w:rPr>
        <w:t xml:space="preserve"> infrastruktury technicznej i </w:t>
      </w:r>
      <w:r w:rsidR="003A6CE2" w:rsidRPr="007714FE">
        <w:rPr>
          <w:rFonts w:ascii="Verdana" w:hAnsi="Verdana"/>
          <w:sz w:val="24"/>
          <w:szCs w:val="24"/>
        </w:rPr>
        <w:t xml:space="preserve">programu </w:t>
      </w:r>
      <w:r w:rsidR="00815526" w:rsidRPr="007714FE">
        <w:rPr>
          <w:rFonts w:ascii="Verdana" w:hAnsi="Verdana"/>
          <w:sz w:val="24"/>
          <w:szCs w:val="24"/>
        </w:rPr>
        <w:t xml:space="preserve">publicznie dostępnych </w:t>
      </w:r>
      <w:r w:rsidR="003A6CE2" w:rsidRPr="007714FE">
        <w:rPr>
          <w:rFonts w:ascii="Verdana" w:hAnsi="Verdana"/>
          <w:sz w:val="24"/>
          <w:szCs w:val="24"/>
        </w:rPr>
        <w:t>pokazów Wrocławskiej Fontanny Multimedialnej</w:t>
      </w:r>
      <w:r w:rsidR="00AF2F74" w:rsidRPr="007714FE">
        <w:rPr>
          <w:rFonts w:ascii="Verdana" w:hAnsi="Verdana"/>
          <w:sz w:val="24"/>
          <w:szCs w:val="24"/>
        </w:rPr>
        <w:t xml:space="preserve"> </w:t>
      </w:r>
      <w:r w:rsidR="003A6CE2" w:rsidRPr="007714FE">
        <w:rPr>
          <w:rFonts w:ascii="Verdana" w:hAnsi="Verdana"/>
          <w:sz w:val="24"/>
          <w:szCs w:val="24"/>
        </w:rPr>
        <w:t>i Interaktywnej</w:t>
      </w:r>
      <w:r w:rsidR="00DB77F7" w:rsidRPr="007714FE">
        <w:rPr>
          <w:rFonts w:ascii="Verdana" w:hAnsi="Verdana"/>
          <w:sz w:val="24"/>
          <w:szCs w:val="24"/>
        </w:rPr>
        <w:t>,</w:t>
      </w:r>
      <w:r w:rsidR="003A6CE2" w:rsidRPr="007714FE">
        <w:rPr>
          <w:rFonts w:ascii="Verdana" w:hAnsi="Verdana"/>
          <w:sz w:val="24"/>
          <w:szCs w:val="24"/>
        </w:rPr>
        <w:t xml:space="preserve"> </w:t>
      </w:r>
      <w:r w:rsidR="00DB77F7" w:rsidRPr="007714FE">
        <w:rPr>
          <w:rFonts w:ascii="Verdana" w:hAnsi="Verdana"/>
          <w:sz w:val="24"/>
          <w:szCs w:val="24"/>
        </w:rPr>
        <w:t>budow</w:t>
      </w:r>
      <w:r w:rsidR="00352DDC" w:rsidRPr="007714FE">
        <w:rPr>
          <w:rFonts w:ascii="Verdana" w:hAnsi="Verdana"/>
          <w:sz w:val="24"/>
          <w:szCs w:val="24"/>
        </w:rPr>
        <w:t>ę</w:t>
      </w:r>
      <w:r w:rsidR="00DB77F7" w:rsidRPr="007714FE">
        <w:rPr>
          <w:rFonts w:ascii="Verdana" w:hAnsi="Verdana"/>
          <w:sz w:val="24"/>
          <w:szCs w:val="24"/>
        </w:rPr>
        <w:t xml:space="preserve"> in</w:t>
      </w:r>
      <w:r w:rsidR="00AD749C" w:rsidRPr="007714FE">
        <w:rPr>
          <w:rFonts w:ascii="Verdana" w:hAnsi="Verdana"/>
          <w:sz w:val="24"/>
          <w:szCs w:val="24"/>
        </w:rPr>
        <w:t>f</w:t>
      </w:r>
      <w:r w:rsidR="00DB77F7" w:rsidRPr="007714FE">
        <w:rPr>
          <w:rFonts w:ascii="Verdana" w:hAnsi="Verdana"/>
          <w:sz w:val="24"/>
          <w:szCs w:val="24"/>
        </w:rPr>
        <w:t xml:space="preserve">rastruktury </w:t>
      </w:r>
      <w:r w:rsidR="00AD749C" w:rsidRPr="007714FE">
        <w:rPr>
          <w:rFonts w:ascii="Verdana" w:hAnsi="Verdana"/>
          <w:sz w:val="24"/>
          <w:szCs w:val="24"/>
        </w:rPr>
        <w:t xml:space="preserve">zarządzania i obsługi </w:t>
      </w:r>
      <w:r w:rsidR="0086263F" w:rsidRPr="007714FE">
        <w:rPr>
          <w:rFonts w:ascii="Verdana" w:hAnsi="Verdana"/>
          <w:sz w:val="24"/>
          <w:szCs w:val="24"/>
        </w:rPr>
        <w:t>ruch</w:t>
      </w:r>
      <w:r w:rsidR="0098167A" w:rsidRPr="007714FE">
        <w:rPr>
          <w:rFonts w:ascii="Verdana" w:hAnsi="Verdana"/>
          <w:sz w:val="24"/>
          <w:szCs w:val="24"/>
        </w:rPr>
        <w:t>em</w:t>
      </w:r>
      <w:r w:rsidR="0086263F" w:rsidRPr="007714FE">
        <w:rPr>
          <w:rFonts w:ascii="Verdana" w:hAnsi="Verdana"/>
          <w:sz w:val="24"/>
          <w:szCs w:val="24"/>
        </w:rPr>
        <w:t xml:space="preserve"> turystyczn</w:t>
      </w:r>
      <w:r w:rsidR="0098167A" w:rsidRPr="007714FE">
        <w:rPr>
          <w:rFonts w:ascii="Verdana" w:hAnsi="Verdana"/>
          <w:sz w:val="24"/>
          <w:szCs w:val="24"/>
        </w:rPr>
        <w:t>ym</w:t>
      </w:r>
      <w:r w:rsidR="00AD749C" w:rsidRPr="007714FE">
        <w:rPr>
          <w:rFonts w:ascii="Verdana" w:hAnsi="Verdana"/>
          <w:sz w:val="24"/>
          <w:szCs w:val="24"/>
        </w:rPr>
        <w:t xml:space="preserve">, </w:t>
      </w:r>
      <w:r w:rsidR="008F03F6" w:rsidRPr="007714FE">
        <w:rPr>
          <w:rFonts w:ascii="Verdana" w:hAnsi="Verdana"/>
          <w:sz w:val="24"/>
          <w:szCs w:val="24"/>
        </w:rPr>
        <w:t xml:space="preserve">tworzenie modelu działalności </w:t>
      </w:r>
      <w:r w:rsidR="0086263F" w:rsidRPr="007714FE">
        <w:rPr>
          <w:rFonts w:ascii="Verdana" w:hAnsi="Verdana"/>
          <w:sz w:val="24"/>
          <w:szCs w:val="24"/>
        </w:rPr>
        <w:t>wystawiennicze</w:t>
      </w:r>
      <w:r w:rsidR="008F03F6" w:rsidRPr="007714FE">
        <w:rPr>
          <w:rFonts w:ascii="Verdana" w:hAnsi="Verdana"/>
          <w:sz w:val="24"/>
          <w:szCs w:val="24"/>
        </w:rPr>
        <w:t>j</w:t>
      </w:r>
      <w:r w:rsidR="001C5747" w:rsidRPr="007714FE">
        <w:rPr>
          <w:rFonts w:ascii="Verdana" w:hAnsi="Verdana"/>
          <w:sz w:val="24"/>
          <w:szCs w:val="24"/>
        </w:rPr>
        <w:t xml:space="preserve"> i </w:t>
      </w:r>
      <w:r w:rsidR="003459F9" w:rsidRPr="007714FE">
        <w:rPr>
          <w:rFonts w:ascii="Verdana" w:hAnsi="Verdana"/>
          <w:sz w:val="24"/>
          <w:szCs w:val="24"/>
        </w:rPr>
        <w:t xml:space="preserve">dedykowanych dla tej działalności </w:t>
      </w:r>
      <w:r w:rsidR="001C5747" w:rsidRPr="007714FE">
        <w:rPr>
          <w:rFonts w:ascii="Verdana" w:hAnsi="Verdana"/>
          <w:sz w:val="24"/>
          <w:szCs w:val="24"/>
        </w:rPr>
        <w:t>przestrzeni</w:t>
      </w:r>
      <w:r w:rsidR="003459F9" w:rsidRPr="007714FE">
        <w:rPr>
          <w:rFonts w:ascii="Verdana" w:hAnsi="Verdana"/>
          <w:sz w:val="24"/>
          <w:szCs w:val="24"/>
        </w:rPr>
        <w:t xml:space="preserve"> czy projekt </w:t>
      </w:r>
      <w:r w:rsidR="008F03F6" w:rsidRPr="007714FE">
        <w:rPr>
          <w:rFonts w:ascii="Verdana" w:hAnsi="Verdana"/>
          <w:sz w:val="24"/>
          <w:szCs w:val="24"/>
        </w:rPr>
        <w:t>roz</w:t>
      </w:r>
      <w:r w:rsidR="003459F9" w:rsidRPr="007714FE">
        <w:rPr>
          <w:rFonts w:ascii="Verdana" w:hAnsi="Verdana"/>
          <w:sz w:val="24"/>
          <w:szCs w:val="24"/>
        </w:rPr>
        <w:t>woju</w:t>
      </w:r>
      <w:r w:rsidR="008F03F6" w:rsidRPr="007714FE">
        <w:rPr>
          <w:rFonts w:ascii="Verdana" w:hAnsi="Verdana"/>
          <w:sz w:val="24"/>
          <w:szCs w:val="24"/>
        </w:rPr>
        <w:t xml:space="preserve"> i popularyzacj</w:t>
      </w:r>
      <w:r w:rsidR="003459F9" w:rsidRPr="007714FE">
        <w:rPr>
          <w:rFonts w:ascii="Verdana" w:hAnsi="Verdana"/>
          <w:sz w:val="24"/>
          <w:szCs w:val="24"/>
        </w:rPr>
        <w:t>i</w:t>
      </w:r>
      <w:r w:rsidR="008F03F6" w:rsidRPr="007714FE">
        <w:rPr>
          <w:rFonts w:ascii="Verdana" w:hAnsi="Verdana"/>
          <w:sz w:val="24"/>
          <w:szCs w:val="24"/>
        </w:rPr>
        <w:t xml:space="preserve"> </w:t>
      </w:r>
      <w:r w:rsidR="0086263F" w:rsidRPr="007714FE">
        <w:rPr>
          <w:rFonts w:ascii="Verdana" w:hAnsi="Verdana"/>
          <w:sz w:val="24"/>
          <w:szCs w:val="24"/>
        </w:rPr>
        <w:t>działalnoś</w:t>
      </w:r>
      <w:r w:rsidR="008F03F6" w:rsidRPr="007714FE">
        <w:rPr>
          <w:rFonts w:ascii="Verdana" w:hAnsi="Verdana"/>
          <w:sz w:val="24"/>
          <w:szCs w:val="24"/>
        </w:rPr>
        <w:t>ci</w:t>
      </w:r>
      <w:r w:rsidR="0086263F" w:rsidRPr="007714FE">
        <w:rPr>
          <w:rFonts w:ascii="Verdana" w:hAnsi="Verdana"/>
          <w:sz w:val="24"/>
          <w:szCs w:val="24"/>
        </w:rPr>
        <w:t xml:space="preserve"> edukacyjn</w:t>
      </w:r>
      <w:r w:rsidR="008F03F6" w:rsidRPr="007714FE">
        <w:rPr>
          <w:rFonts w:ascii="Verdana" w:hAnsi="Verdana"/>
          <w:sz w:val="24"/>
          <w:szCs w:val="24"/>
        </w:rPr>
        <w:t>ej</w:t>
      </w:r>
      <w:r w:rsidR="003459F9" w:rsidRPr="007714FE">
        <w:rPr>
          <w:rFonts w:ascii="Verdana" w:hAnsi="Verdana"/>
          <w:sz w:val="24"/>
          <w:szCs w:val="24"/>
        </w:rPr>
        <w:t xml:space="preserve"> tematycznie powiązanej z Kompleksem Hali Stulecia wraz z otoczeniem</w:t>
      </w:r>
      <w:r w:rsidR="00647B56" w:rsidRPr="007714FE">
        <w:rPr>
          <w:rFonts w:ascii="Verdana" w:hAnsi="Verdana"/>
          <w:sz w:val="24"/>
          <w:szCs w:val="24"/>
        </w:rPr>
        <w:t xml:space="preserve">. Zwiększenie faktycznej skali działalności Spółki jest także związane z </w:t>
      </w:r>
      <w:r w:rsidR="00E37BE5" w:rsidRPr="007714FE">
        <w:rPr>
          <w:rFonts w:ascii="Verdana" w:hAnsi="Verdana"/>
          <w:sz w:val="24"/>
          <w:szCs w:val="24"/>
        </w:rPr>
        <w:t>działalnością promocyjną obiektu w Polsce i na świecie, wpisującą</w:t>
      </w:r>
      <w:r w:rsidR="008D0D0E" w:rsidRPr="007714FE">
        <w:rPr>
          <w:rFonts w:ascii="Verdana" w:hAnsi="Verdana"/>
          <w:sz w:val="24"/>
          <w:szCs w:val="24"/>
        </w:rPr>
        <w:t xml:space="preserve"> </w:t>
      </w:r>
      <w:r w:rsidR="00E37BE5" w:rsidRPr="007714FE">
        <w:rPr>
          <w:rFonts w:ascii="Verdana" w:hAnsi="Verdana"/>
          <w:sz w:val="24"/>
          <w:szCs w:val="24"/>
        </w:rPr>
        <w:t>się z kolei w realizację zada</w:t>
      </w:r>
      <w:r w:rsidR="00B22A87" w:rsidRPr="007714FE">
        <w:rPr>
          <w:rFonts w:ascii="Verdana" w:hAnsi="Verdana"/>
          <w:sz w:val="24"/>
          <w:szCs w:val="24"/>
        </w:rPr>
        <w:t>ń</w:t>
      </w:r>
      <w:r w:rsidR="00E37BE5" w:rsidRPr="007714FE">
        <w:rPr>
          <w:rFonts w:ascii="Verdana" w:hAnsi="Verdana"/>
          <w:sz w:val="24"/>
          <w:szCs w:val="24"/>
        </w:rPr>
        <w:t xml:space="preserve"> wła</w:t>
      </w:r>
      <w:r w:rsidR="00B26130" w:rsidRPr="007714FE">
        <w:rPr>
          <w:rFonts w:ascii="Verdana" w:hAnsi="Verdana"/>
          <w:sz w:val="24"/>
          <w:szCs w:val="24"/>
        </w:rPr>
        <w:t xml:space="preserve">snych Gminy </w:t>
      </w:r>
      <w:r w:rsidR="008D0D0E" w:rsidRPr="007714FE">
        <w:rPr>
          <w:rFonts w:ascii="Verdana" w:hAnsi="Verdana"/>
          <w:sz w:val="24"/>
          <w:szCs w:val="24"/>
        </w:rPr>
        <w:t>w zakresie promocji</w:t>
      </w:r>
      <w:r w:rsidR="003E3E60" w:rsidRPr="007714FE">
        <w:rPr>
          <w:rFonts w:ascii="Verdana" w:hAnsi="Verdana"/>
          <w:sz w:val="24"/>
          <w:szCs w:val="24"/>
        </w:rPr>
        <w:t xml:space="preserve"> (np. udział w</w:t>
      </w:r>
      <w:r w:rsidR="00F96C40" w:rsidRPr="007714FE">
        <w:rPr>
          <w:rFonts w:ascii="Verdana" w:hAnsi="Verdana"/>
          <w:sz w:val="24"/>
          <w:szCs w:val="24"/>
        </w:rPr>
        <w:t xml:space="preserve"> krajowych i międzynarodowych </w:t>
      </w:r>
      <w:r w:rsidR="00A838D8" w:rsidRPr="007714FE">
        <w:rPr>
          <w:rFonts w:ascii="Verdana" w:hAnsi="Verdana"/>
          <w:sz w:val="24"/>
          <w:szCs w:val="24"/>
        </w:rPr>
        <w:t xml:space="preserve">konferencjach naukowych, </w:t>
      </w:r>
      <w:r w:rsidR="00203B26" w:rsidRPr="007714FE">
        <w:rPr>
          <w:rFonts w:ascii="Verdana" w:hAnsi="Verdana"/>
          <w:sz w:val="24"/>
          <w:szCs w:val="24"/>
        </w:rPr>
        <w:t>zapewnienie dostępności informacji i materiałów promocyjnych o Kompleksie Hali Stulecia wraz z ofertą turystyczną Wrocławia</w:t>
      </w:r>
      <w:r w:rsidR="00D742FF" w:rsidRPr="007714FE">
        <w:rPr>
          <w:rFonts w:ascii="Verdana" w:hAnsi="Verdana"/>
          <w:sz w:val="24"/>
          <w:szCs w:val="24"/>
        </w:rPr>
        <w:t xml:space="preserve">, </w:t>
      </w:r>
      <w:r w:rsidR="00DC7264" w:rsidRPr="007714FE">
        <w:rPr>
          <w:rFonts w:ascii="Verdana" w:hAnsi="Verdana"/>
          <w:sz w:val="24"/>
          <w:szCs w:val="24"/>
        </w:rPr>
        <w:t>ubieganie się o</w:t>
      </w:r>
      <w:r w:rsidR="00CF5F46">
        <w:rPr>
          <w:rFonts w:ascii="Verdana" w:hAnsi="Verdana"/>
          <w:sz w:val="24"/>
          <w:szCs w:val="24"/>
        </w:rPr>
        <w:t xml:space="preserve"> </w:t>
      </w:r>
      <w:r w:rsidR="000D356C" w:rsidRPr="007714FE">
        <w:rPr>
          <w:rFonts w:ascii="Verdana" w:hAnsi="Verdana"/>
          <w:sz w:val="24"/>
          <w:szCs w:val="24"/>
        </w:rPr>
        <w:t xml:space="preserve">zorganizowanie </w:t>
      </w:r>
      <w:r w:rsidR="00CD6576" w:rsidRPr="007714FE">
        <w:rPr>
          <w:rFonts w:ascii="Verdana" w:hAnsi="Verdana"/>
          <w:sz w:val="24"/>
          <w:szCs w:val="24"/>
        </w:rPr>
        <w:t xml:space="preserve">w Kompleksie Hali Stulecia </w:t>
      </w:r>
      <w:r w:rsidR="000D356C" w:rsidRPr="007714FE">
        <w:rPr>
          <w:rFonts w:ascii="Verdana" w:hAnsi="Verdana"/>
          <w:sz w:val="24"/>
          <w:szCs w:val="24"/>
        </w:rPr>
        <w:t xml:space="preserve">prestiżowych wydarzeń </w:t>
      </w:r>
      <w:r w:rsidR="00CA1143" w:rsidRPr="007714FE">
        <w:rPr>
          <w:rFonts w:ascii="Verdana" w:hAnsi="Verdana"/>
          <w:sz w:val="24"/>
          <w:szCs w:val="24"/>
        </w:rPr>
        <w:t>o szerokim zasięgu rozpoznawalności</w:t>
      </w:r>
      <w:r w:rsidR="00EF70A9" w:rsidRPr="007714FE">
        <w:rPr>
          <w:rFonts w:ascii="Verdana" w:hAnsi="Verdana"/>
          <w:sz w:val="24"/>
          <w:szCs w:val="24"/>
        </w:rPr>
        <w:t>)</w:t>
      </w:r>
      <w:r w:rsidR="00CD6576" w:rsidRPr="007714FE">
        <w:rPr>
          <w:rFonts w:ascii="Verdana" w:hAnsi="Verdana"/>
          <w:sz w:val="24"/>
          <w:szCs w:val="24"/>
        </w:rPr>
        <w:t>.</w:t>
      </w:r>
    </w:p>
    <w:p w:rsidR="00D15B93" w:rsidRPr="007714FE" w:rsidRDefault="00642CB2" w:rsidP="007714FE">
      <w:pPr>
        <w:spacing w:line="360" w:lineRule="auto"/>
        <w:rPr>
          <w:rFonts w:ascii="Verdana" w:hAnsi="Verdana"/>
          <w:color w:val="000000"/>
          <w:sz w:val="24"/>
          <w:szCs w:val="24"/>
          <w:shd w:val="clear" w:color="auto" w:fill="FAFAFA"/>
        </w:rPr>
      </w:pPr>
      <w:r w:rsidRPr="007714FE">
        <w:rPr>
          <w:rFonts w:ascii="Verdana" w:hAnsi="Verdana"/>
          <w:sz w:val="24"/>
          <w:szCs w:val="24"/>
        </w:rPr>
        <w:t xml:space="preserve">Wrocławskie Przedsiębiorstwo Hala Ludowa Sp. z o. o. zostało utworzone zgodnie </w:t>
      </w:r>
      <w:r w:rsidR="00E0361E" w:rsidRPr="007714FE">
        <w:rPr>
          <w:rFonts w:ascii="Verdana" w:hAnsi="Verdana"/>
          <w:sz w:val="24"/>
          <w:szCs w:val="24"/>
        </w:rPr>
        <w:t xml:space="preserve"> </w:t>
      </w:r>
      <w:r w:rsidRPr="007714FE">
        <w:rPr>
          <w:rFonts w:ascii="Verdana" w:hAnsi="Verdana"/>
          <w:sz w:val="24"/>
          <w:szCs w:val="24"/>
        </w:rPr>
        <w:t>z</w:t>
      </w:r>
      <w:r w:rsidR="00E0361E" w:rsidRPr="007714FE">
        <w:rPr>
          <w:rFonts w:ascii="Verdana" w:hAnsi="Verdana"/>
          <w:sz w:val="24"/>
          <w:szCs w:val="24"/>
        </w:rPr>
        <w:t xml:space="preserve"> </w:t>
      </w:r>
      <w:r w:rsidRPr="007714FE">
        <w:rPr>
          <w:rFonts w:ascii="Verdana" w:hAnsi="Verdana"/>
          <w:sz w:val="24"/>
          <w:szCs w:val="24"/>
        </w:rPr>
        <w:t>przepisami prawa polskiego aktem notarialnym w dniu 27.03.2000 (Repertorium</w:t>
      </w:r>
      <w:r w:rsidR="00A17FFD" w:rsidRPr="007714FE">
        <w:rPr>
          <w:rFonts w:ascii="Verdana" w:hAnsi="Verdana"/>
          <w:sz w:val="24"/>
          <w:szCs w:val="24"/>
        </w:rPr>
        <w:t xml:space="preserve"> </w:t>
      </w:r>
      <w:r w:rsidRPr="007714FE">
        <w:rPr>
          <w:rFonts w:ascii="Verdana" w:hAnsi="Verdana"/>
          <w:sz w:val="24"/>
          <w:szCs w:val="24"/>
        </w:rPr>
        <w:t>A nr 5493/2000). Jednostka powstała z przekształcenia przedsiębiorstwa państwowego na podstawie aktu komercjalizacji z dnia 27.03.2000 r.</w:t>
      </w:r>
      <w:r w:rsidR="00E439A6" w:rsidRPr="007714FE">
        <w:rPr>
          <w:rFonts w:ascii="Verdana" w:hAnsi="Verdana"/>
          <w:sz w:val="24"/>
          <w:szCs w:val="24"/>
        </w:rPr>
        <w:t xml:space="preserve"> </w:t>
      </w:r>
      <w:r w:rsidRPr="007714FE">
        <w:rPr>
          <w:rFonts w:ascii="Verdana" w:hAnsi="Verdana"/>
          <w:sz w:val="24"/>
          <w:szCs w:val="24"/>
        </w:rPr>
        <w:t xml:space="preserve">Podstawowym przedmiotem działalności </w:t>
      </w:r>
      <w:r w:rsidR="00A0054A" w:rsidRPr="007714FE">
        <w:rPr>
          <w:rFonts w:ascii="Verdana" w:hAnsi="Verdana"/>
          <w:sz w:val="24"/>
          <w:szCs w:val="24"/>
        </w:rPr>
        <w:t>Spółki</w:t>
      </w:r>
      <w:r w:rsidRPr="007714FE">
        <w:rPr>
          <w:rFonts w:ascii="Verdana" w:hAnsi="Verdana"/>
          <w:sz w:val="24"/>
          <w:szCs w:val="24"/>
        </w:rPr>
        <w:t xml:space="preserve">, jest działalność związana z ochroną zabytku jakim jest kompleks Hali Stulecia. </w:t>
      </w:r>
      <w:r w:rsidR="00DC2E00" w:rsidRPr="007714FE">
        <w:rPr>
          <w:rFonts w:ascii="Verdana" w:hAnsi="Verdana"/>
          <w:sz w:val="24"/>
          <w:szCs w:val="24"/>
        </w:rPr>
        <w:t>Wyłącznie</w:t>
      </w:r>
      <w:r w:rsidRPr="007714FE">
        <w:rPr>
          <w:rFonts w:ascii="Verdana" w:hAnsi="Verdana"/>
          <w:sz w:val="24"/>
          <w:szCs w:val="24"/>
        </w:rPr>
        <w:t xml:space="preserve"> realizacji tego celu </w:t>
      </w:r>
      <w:r w:rsidR="00DC2E00" w:rsidRPr="007714FE">
        <w:rPr>
          <w:rFonts w:ascii="Verdana" w:hAnsi="Verdana"/>
          <w:sz w:val="24"/>
          <w:szCs w:val="24"/>
        </w:rPr>
        <w:t xml:space="preserve">podporządkowana jest </w:t>
      </w:r>
      <w:r w:rsidRPr="007714FE">
        <w:rPr>
          <w:rFonts w:ascii="Verdana" w:hAnsi="Verdana"/>
          <w:sz w:val="24"/>
          <w:szCs w:val="24"/>
        </w:rPr>
        <w:t xml:space="preserve">prowadzona </w:t>
      </w:r>
      <w:r w:rsidR="00DC2E00" w:rsidRPr="007714FE">
        <w:rPr>
          <w:rFonts w:ascii="Verdana" w:hAnsi="Verdana"/>
          <w:sz w:val="24"/>
          <w:szCs w:val="24"/>
        </w:rPr>
        <w:t xml:space="preserve">przez Spółkę </w:t>
      </w:r>
      <w:r w:rsidRPr="007714FE">
        <w:rPr>
          <w:rFonts w:ascii="Verdana" w:hAnsi="Verdana"/>
          <w:sz w:val="24"/>
          <w:szCs w:val="24"/>
        </w:rPr>
        <w:t>działalność komercyjna jak: organizacja targów, wystaw i kongresów, działalność obiektów sportowych, wynajem i dzierżawa nieruchomości, reklama oraz działalność rozrywkowa i artystyczna.</w:t>
      </w:r>
      <w:r w:rsidR="00EB1FDA" w:rsidRPr="007714FE">
        <w:rPr>
          <w:rFonts w:ascii="Verdana" w:hAnsi="Verdana"/>
          <w:sz w:val="24"/>
          <w:szCs w:val="24"/>
        </w:rPr>
        <w:t xml:space="preserve">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Wrocławskie Przedsiębiorstwo Hala Ludowa Sp. z o.o.</w:t>
      </w:r>
      <w:r w:rsidR="00641A9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,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jako obiekt wpisany na Listę Światowego Dziedzictwa UNESCO, jest unikalnym miejscem do organizacji wydarzeń, jak również stanowi </w:t>
      </w:r>
      <w:r w:rsidR="00A5527F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szczególną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atrakcję na turystycznej mapie Wrocławia. Kompleks Hali Stulecia od wielu lat </w:t>
      </w:r>
      <w:r w:rsidR="0032791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utrzymuje </w:t>
      </w:r>
      <w:r w:rsidR="00F33886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pozycję lidera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w przemyśle spotkań, </w:t>
      </w:r>
      <w:r w:rsidR="00F33886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jest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ikoną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lastRenderedPageBreak/>
        <w:t xml:space="preserve">wrocławskiego modernizmu, jak również </w:t>
      </w:r>
      <w:r w:rsidR="0087305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reprezentacyjną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wizytówką Wrocławia.</w:t>
      </w:r>
      <w:r w:rsidR="00641A9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Hala Stulecia oraz Wrocławskie Centrum Kongresowe gościły najważniejsze wydarzenia </w:t>
      </w:r>
      <w:r w:rsidR="000212D8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odbywające się we Wrocławiu na przestrzeni lat, w tym m.in. Światowy Kongres Eucharystyczny, </w:t>
      </w:r>
      <w:proofErr w:type="spellStart"/>
      <w:r w:rsidR="000212D8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Futurallia</w:t>
      </w:r>
      <w:proofErr w:type="spellEnd"/>
      <w:r w:rsidR="000212D8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="000212D8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EuroBasket</w:t>
      </w:r>
      <w:proofErr w:type="spellEnd"/>
      <w:r w:rsidR="000212D8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, </w:t>
      </w:r>
      <w:r w:rsidR="00A17FF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Europejski Szczyt Regionów i Miast</w:t>
      </w:r>
      <w:r w:rsidR="00186E54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, Europejski Kongres Kultury, Wrocław Global Forum, Światowy Kongres Bibliotekarstwa i Informacji, </w:t>
      </w:r>
      <w:r w:rsidR="00F851E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wydarzenia w ramach Europejskiej Stolicy Kultury czy też </w:t>
      </w:r>
      <w:r w:rsidR="00B421C7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the World Games, a także wiele innych wydarzeń kulturalnych, naukowych oraz rozrywkowych. </w:t>
      </w:r>
      <w:r w:rsidR="006E0A0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W</w:t>
      </w:r>
      <w:r w:rsidR="0010048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pis na Listę Światowego Dziedzictwa UNESCO</w:t>
      </w:r>
      <w:r w:rsidR="006E0A0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10048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bez wątpienia </w:t>
      </w:r>
      <w:r w:rsidR="006E0A0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podniósł </w:t>
      </w:r>
      <w:r w:rsidR="0010048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rangę </w:t>
      </w:r>
      <w:r w:rsidR="006E0A0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obiektu</w:t>
      </w:r>
      <w:r w:rsidR="0010048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, ale </w:t>
      </w:r>
      <w:r w:rsidR="00C157E8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równocześnie </w:t>
      </w:r>
      <w:r w:rsidR="0010048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nałożył na </w:t>
      </w:r>
      <w:r w:rsidR="00C157E8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S</w:t>
      </w:r>
      <w:r w:rsidR="0010048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półkę szereg obowiązków</w:t>
      </w:r>
      <w:r w:rsidR="00C157E8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z tym związanych, w szczególności </w:t>
      </w:r>
      <w:r w:rsidR="0010048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mających na celu odpowiednie zabezpieczenie i dbałość o historyczne dziedzictwo. Współpraca WP Hala Ludowa z UNESCO ma na celu wspólne wypracowanie najlepszych działań, </w:t>
      </w:r>
      <w:r w:rsidR="001A365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który to proces jest </w:t>
      </w:r>
      <w:r w:rsidR="0010048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prowadzon</w:t>
      </w:r>
      <w:r w:rsidR="001A365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y</w:t>
      </w:r>
      <w:r w:rsidR="0010048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1A365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nieprzerwanie </w:t>
      </w:r>
      <w:r w:rsidR="0010048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i w sposób skoordynowany</w:t>
      </w:r>
      <w:r w:rsidR="001A365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, co</w:t>
      </w:r>
      <w:r w:rsidR="0010048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68341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wiąże się ze </w:t>
      </w:r>
      <w:r w:rsidR="0010048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ścisłą współpracą z pozostałymi obiektami historycznymi w Polsce oraz Europie</w:t>
      </w:r>
      <w:r w:rsidR="0068341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.</w:t>
      </w:r>
      <w:r w:rsidR="009A55E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Zabytkowy charakter kompleksu wiąże się z koniecznością ponoszenia wy</w:t>
      </w:r>
      <w:r w:rsidR="00DB7F86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sokich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kosztów utrzymania</w:t>
      </w:r>
      <w:r w:rsidR="00DB7F86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,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a zachowanie światowego poziomu organizacji wydarzeń, wymaga ciągłego inwestowania w podnoszenie jakości świadczonych usług</w:t>
      </w:r>
      <w:r w:rsidR="00A919E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,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w tym w samą infrastrukturę</w:t>
      </w:r>
      <w:r w:rsidR="00A919E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obiektów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. Środki na ten cel Spółka pozyskuje m.in. poprzez wynajem obiektów na wydarzenia </w:t>
      </w:r>
      <w:r w:rsidR="00291556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kulturalne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przez firmy zewnętrzne głównie </w:t>
      </w:r>
      <w:r w:rsidR="00A919E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a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gencje </w:t>
      </w:r>
      <w:proofErr w:type="spellStart"/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eventowe</w:t>
      </w:r>
      <w:proofErr w:type="spellEnd"/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, organizację własnych wydarzeń, działalność edukacyjną </w:t>
      </w:r>
      <w:proofErr w:type="spellStart"/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Visitor</w:t>
      </w:r>
      <w:proofErr w:type="spellEnd"/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Centre oraz przychodów związanych z działalności gastronomicznej</w:t>
      </w:r>
      <w:r w:rsidR="003A05D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. </w:t>
      </w:r>
    </w:p>
    <w:p w:rsidR="009055F6" w:rsidRPr="007714FE" w:rsidRDefault="0013325B" w:rsidP="007714FE">
      <w:pPr>
        <w:spacing w:line="360" w:lineRule="auto"/>
        <w:ind w:firstLine="708"/>
        <w:rPr>
          <w:rFonts w:ascii="Verdana" w:hAnsi="Verdana"/>
          <w:color w:val="000000"/>
          <w:sz w:val="24"/>
          <w:szCs w:val="24"/>
          <w:shd w:val="clear" w:color="auto" w:fill="FAFAFA"/>
        </w:rPr>
      </w:pPr>
      <w:r w:rsidRPr="007714FE">
        <w:rPr>
          <w:rFonts w:ascii="Verdana" w:hAnsi="Verdana"/>
          <w:sz w:val="24"/>
          <w:szCs w:val="24"/>
          <w:shd w:val="clear" w:color="auto" w:fill="FAFAFA"/>
        </w:rPr>
        <w:t xml:space="preserve">W </w:t>
      </w:r>
      <w:r w:rsidR="007B2FD0" w:rsidRPr="007714FE">
        <w:rPr>
          <w:rFonts w:ascii="Verdana" w:hAnsi="Verdana"/>
          <w:sz w:val="24"/>
          <w:szCs w:val="24"/>
          <w:shd w:val="clear" w:color="auto" w:fill="FAFAFA"/>
        </w:rPr>
        <w:t>latach</w:t>
      </w:r>
      <w:r w:rsidRPr="007714FE">
        <w:rPr>
          <w:rFonts w:ascii="Verdana" w:hAnsi="Verdana"/>
          <w:sz w:val="24"/>
          <w:szCs w:val="24"/>
          <w:shd w:val="clear" w:color="auto" w:fill="FAFAFA"/>
        </w:rPr>
        <w:t xml:space="preserve"> 2019</w:t>
      </w:r>
      <w:r w:rsidR="007B2FD0" w:rsidRPr="007714FE">
        <w:rPr>
          <w:rFonts w:ascii="Verdana" w:hAnsi="Verdana"/>
          <w:sz w:val="24"/>
          <w:szCs w:val="24"/>
          <w:shd w:val="clear" w:color="auto" w:fill="FAFAFA"/>
        </w:rPr>
        <w:t>-2020</w:t>
      </w:r>
      <w:r w:rsidRPr="007714FE">
        <w:rPr>
          <w:rFonts w:ascii="Verdana" w:hAnsi="Verdana"/>
          <w:sz w:val="24"/>
          <w:szCs w:val="24"/>
          <w:shd w:val="clear" w:color="auto" w:fill="FAFAFA"/>
        </w:rPr>
        <w:t xml:space="preserve"> </w:t>
      </w:r>
      <w:r w:rsidR="00CC7594" w:rsidRPr="007714FE">
        <w:rPr>
          <w:rFonts w:ascii="Verdana" w:hAnsi="Verdana"/>
          <w:sz w:val="24"/>
          <w:szCs w:val="24"/>
          <w:shd w:val="clear" w:color="auto" w:fill="FAFAFA"/>
        </w:rPr>
        <w:t>Z</w:t>
      </w:r>
      <w:r w:rsidR="0056420C" w:rsidRPr="007714FE">
        <w:rPr>
          <w:rFonts w:ascii="Verdana" w:hAnsi="Verdana"/>
          <w:sz w:val="24"/>
          <w:szCs w:val="24"/>
          <w:shd w:val="clear" w:color="auto" w:fill="FAFAFA"/>
        </w:rPr>
        <w:t xml:space="preserve">arząd </w:t>
      </w:r>
      <w:r w:rsidR="00CC7594" w:rsidRPr="007714FE">
        <w:rPr>
          <w:rFonts w:ascii="Verdana" w:hAnsi="Verdana"/>
          <w:sz w:val="24"/>
          <w:szCs w:val="24"/>
          <w:shd w:val="clear" w:color="auto" w:fill="FAFAFA"/>
        </w:rPr>
        <w:t>S</w:t>
      </w:r>
      <w:r w:rsidR="0056420C" w:rsidRPr="007714FE">
        <w:rPr>
          <w:rFonts w:ascii="Verdana" w:hAnsi="Verdana"/>
          <w:sz w:val="24"/>
          <w:szCs w:val="24"/>
          <w:shd w:val="clear" w:color="auto" w:fill="FAFAFA"/>
        </w:rPr>
        <w:t xml:space="preserve">półki </w:t>
      </w:r>
      <w:r w:rsidR="003A05DA" w:rsidRPr="007714FE">
        <w:rPr>
          <w:rFonts w:ascii="Verdana" w:hAnsi="Verdana"/>
          <w:sz w:val="24"/>
          <w:szCs w:val="24"/>
          <w:shd w:val="clear" w:color="auto" w:fill="FAFAFA"/>
        </w:rPr>
        <w:t>z</w:t>
      </w:r>
      <w:r w:rsidRPr="007714FE">
        <w:rPr>
          <w:rFonts w:ascii="Verdana" w:hAnsi="Verdana"/>
          <w:sz w:val="24"/>
          <w:szCs w:val="24"/>
          <w:shd w:val="clear" w:color="auto" w:fill="FAFAFA"/>
        </w:rPr>
        <w:t>realizował zadanie inwestycyjne pn. „II etap remontu Hali Stulecia</w:t>
      </w:r>
      <w:r w:rsidR="00393E17" w:rsidRPr="007714FE">
        <w:rPr>
          <w:rFonts w:ascii="Verdana" w:hAnsi="Verdana"/>
          <w:sz w:val="24"/>
          <w:szCs w:val="24"/>
          <w:shd w:val="clear" w:color="auto" w:fill="FAFAFA"/>
        </w:rPr>
        <w:t>”</w:t>
      </w:r>
      <w:r w:rsidR="003B7160" w:rsidRPr="007714FE">
        <w:rPr>
          <w:rFonts w:ascii="Verdana" w:hAnsi="Verdana"/>
          <w:sz w:val="24"/>
          <w:szCs w:val="24"/>
          <w:shd w:val="clear" w:color="auto" w:fill="FAFAFA"/>
        </w:rPr>
        <w:t>,</w:t>
      </w:r>
      <w:r w:rsidRPr="007714FE">
        <w:rPr>
          <w:rFonts w:ascii="Verdana" w:hAnsi="Verdana"/>
          <w:sz w:val="24"/>
          <w:szCs w:val="24"/>
          <w:shd w:val="clear" w:color="auto" w:fill="FAFAFA"/>
        </w:rPr>
        <w:t xml:space="preserve"> </w:t>
      </w:r>
      <w:r w:rsidR="00BC1C37" w:rsidRPr="007714FE">
        <w:rPr>
          <w:rFonts w:ascii="Verdana" w:hAnsi="Verdana"/>
          <w:sz w:val="24"/>
          <w:szCs w:val="24"/>
          <w:shd w:val="clear" w:color="auto" w:fill="FAFAFA"/>
        </w:rPr>
        <w:t xml:space="preserve">będący kontynuacją </w:t>
      </w:r>
      <w:r w:rsidR="00393E17" w:rsidRPr="007714FE">
        <w:rPr>
          <w:rFonts w:ascii="Verdana" w:hAnsi="Verdana"/>
          <w:sz w:val="24"/>
          <w:szCs w:val="24"/>
          <w:shd w:val="clear" w:color="auto" w:fill="FAFAFA"/>
        </w:rPr>
        <w:t xml:space="preserve">kluczowego dla obiektu projektu pn. </w:t>
      </w:r>
      <w:r w:rsidR="003B7160" w:rsidRPr="007714FE">
        <w:rPr>
          <w:rFonts w:ascii="Verdana" w:hAnsi="Verdana"/>
          <w:sz w:val="24"/>
          <w:szCs w:val="24"/>
          <w:shd w:val="clear" w:color="auto" w:fill="FAFAFA"/>
        </w:rPr>
        <w:t>„</w:t>
      </w:r>
      <w:r w:rsidR="00393E17" w:rsidRPr="007714FE">
        <w:rPr>
          <w:rFonts w:ascii="Verdana" w:hAnsi="Verdana"/>
          <w:sz w:val="24"/>
          <w:szCs w:val="24"/>
          <w:shd w:val="clear" w:color="auto" w:fill="FAFAFA"/>
        </w:rPr>
        <w:t xml:space="preserve">Rewitalizacja </w:t>
      </w:r>
      <w:r w:rsidRPr="007714FE">
        <w:rPr>
          <w:rFonts w:ascii="Verdana" w:hAnsi="Verdana"/>
          <w:sz w:val="24"/>
          <w:szCs w:val="24"/>
          <w:shd w:val="clear" w:color="auto" w:fill="FAFAFA"/>
        </w:rPr>
        <w:t xml:space="preserve">terenów przyległych do kompleksu Hali Stulecia”. Zadanie </w:t>
      </w:r>
      <w:r w:rsidR="003A05DA" w:rsidRPr="007714FE">
        <w:rPr>
          <w:rFonts w:ascii="Verdana" w:hAnsi="Verdana"/>
          <w:sz w:val="24"/>
          <w:szCs w:val="24"/>
          <w:shd w:val="clear" w:color="auto" w:fill="FAFAFA"/>
        </w:rPr>
        <w:t>to</w:t>
      </w:r>
      <w:r w:rsidRPr="007714FE">
        <w:rPr>
          <w:rFonts w:ascii="Verdana" w:hAnsi="Verdana"/>
          <w:sz w:val="24"/>
          <w:szCs w:val="24"/>
          <w:shd w:val="clear" w:color="auto" w:fill="FAFAFA"/>
        </w:rPr>
        <w:t xml:space="preserve">, polegające na dokończeniu remontu rozpoczętego </w:t>
      </w:r>
      <w:r w:rsidR="00E2103F" w:rsidRPr="007714FE">
        <w:rPr>
          <w:rFonts w:ascii="Verdana" w:hAnsi="Verdana"/>
          <w:sz w:val="24"/>
          <w:szCs w:val="24"/>
          <w:shd w:val="clear" w:color="auto" w:fill="FAFAFA"/>
        </w:rPr>
        <w:t>i prowadzonego w latach</w:t>
      </w:r>
      <w:r w:rsidRPr="007714FE">
        <w:rPr>
          <w:rFonts w:ascii="Verdana" w:hAnsi="Verdana"/>
          <w:sz w:val="24"/>
          <w:szCs w:val="24"/>
          <w:shd w:val="clear" w:color="auto" w:fill="FAFAFA"/>
        </w:rPr>
        <w:t xml:space="preserve"> 2010</w:t>
      </w:r>
      <w:r w:rsidR="00E2103F" w:rsidRPr="007714FE">
        <w:rPr>
          <w:rFonts w:ascii="Verdana" w:hAnsi="Verdana"/>
          <w:sz w:val="24"/>
          <w:szCs w:val="24"/>
          <w:shd w:val="clear" w:color="auto" w:fill="FAFAFA"/>
        </w:rPr>
        <w:t>-2011</w:t>
      </w:r>
      <w:r w:rsidRPr="007714FE">
        <w:rPr>
          <w:rFonts w:ascii="Verdana" w:hAnsi="Verdana"/>
          <w:sz w:val="24"/>
          <w:szCs w:val="24"/>
          <w:shd w:val="clear" w:color="auto" w:fill="FAFAFA"/>
        </w:rPr>
        <w:t>, obejmowało  wymianę tymczasowej podłogi w Sali Widowiskowej Hali Stu</w:t>
      </w:r>
      <w:r w:rsidR="00F12205" w:rsidRPr="007714FE">
        <w:rPr>
          <w:rFonts w:ascii="Verdana" w:hAnsi="Verdana"/>
          <w:sz w:val="24"/>
          <w:szCs w:val="24"/>
          <w:shd w:val="clear" w:color="auto" w:fill="FAFAFA"/>
        </w:rPr>
        <w:t>l</w:t>
      </w:r>
      <w:r w:rsidRPr="007714FE">
        <w:rPr>
          <w:rFonts w:ascii="Verdana" w:hAnsi="Verdana"/>
          <w:sz w:val="24"/>
          <w:szCs w:val="24"/>
          <w:shd w:val="clear" w:color="auto" w:fill="FAFAFA"/>
        </w:rPr>
        <w:t>ecia, rolet okiennych, wymianę części trybun ruchomych oraz budowę pomieszczeń wystawienniczo-</w:t>
      </w:r>
      <w:r w:rsidRPr="007714FE">
        <w:rPr>
          <w:rFonts w:ascii="Verdana" w:hAnsi="Verdana"/>
          <w:sz w:val="24"/>
          <w:szCs w:val="24"/>
          <w:shd w:val="clear" w:color="auto" w:fill="FAFAFA"/>
        </w:rPr>
        <w:lastRenderedPageBreak/>
        <w:t>magazynowych na poziomie -1 (pod płytą w Sali Widowiskowej Hali Stulecia)</w:t>
      </w:r>
      <w:r w:rsidR="00280771" w:rsidRPr="007714FE">
        <w:rPr>
          <w:rFonts w:ascii="Verdana" w:hAnsi="Verdana"/>
          <w:sz w:val="24"/>
          <w:szCs w:val="24"/>
          <w:shd w:val="clear" w:color="auto" w:fill="FAFAFA"/>
        </w:rPr>
        <w:t>.</w:t>
      </w:r>
      <w:r w:rsidR="00280771" w:rsidRPr="007714FE">
        <w:rPr>
          <w:rFonts w:ascii="Verdana" w:hAnsi="Verdana"/>
          <w:color w:val="FF0000"/>
          <w:sz w:val="24"/>
          <w:szCs w:val="24"/>
          <w:shd w:val="clear" w:color="auto" w:fill="FAFAFA"/>
        </w:rPr>
        <w:t xml:space="preserve"> </w:t>
      </w:r>
      <w:r w:rsidR="0066569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N</w:t>
      </w:r>
      <w:r w:rsidR="00AB1F8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ajważniejsz</w:t>
      </w:r>
      <w:r w:rsidR="00E959C7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y etap</w:t>
      </w:r>
      <w:r w:rsidR="00AB1F8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E959C7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prac </w:t>
      </w:r>
      <w:r w:rsidR="00AB1F8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stanowiła wymiana tymczasowej podłogi w Sali Widowiskowej Hali Stulecia</w:t>
      </w:r>
      <w:r w:rsidR="00F53490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. </w:t>
      </w:r>
      <w:r w:rsidR="00AB1F8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Korzyści płynące z tego rozwiązania</w:t>
      </w:r>
      <w:r w:rsidR="00D35C53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to </w:t>
      </w:r>
      <w:r w:rsidR="00AB1F8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zwiększenie nośności podłogi </w:t>
      </w:r>
      <w:r w:rsidR="00AB1F8B" w:rsidRPr="007714FE">
        <w:rPr>
          <w:rFonts w:ascii="Verdana" w:hAnsi="Verdana"/>
          <w:sz w:val="24"/>
          <w:szCs w:val="24"/>
          <w:shd w:val="clear" w:color="auto" w:fill="FAFAFA"/>
        </w:rPr>
        <w:t>do</w:t>
      </w:r>
      <w:r w:rsidR="007E3977" w:rsidRPr="007714FE">
        <w:rPr>
          <w:rFonts w:ascii="Verdana" w:hAnsi="Verdana"/>
          <w:sz w:val="24"/>
          <w:szCs w:val="24"/>
          <w:shd w:val="clear" w:color="auto" w:fill="FAFAFA"/>
        </w:rPr>
        <w:t xml:space="preserve"> wartości </w:t>
      </w:r>
      <w:r w:rsidR="00AB1F8B" w:rsidRPr="007714FE">
        <w:rPr>
          <w:rFonts w:ascii="Verdana" w:hAnsi="Verdana"/>
          <w:sz w:val="24"/>
          <w:szCs w:val="24"/>
          <w:shd w:val="clear" w:color="auto" w:fill="FAFAFA"/>
        </w:rPr>
        <w:t>1500kg/m2</w:t>
      </w:r>
      <w:r w:rsidR="00DB6295" w:rsidRPr="007714FE">
        <w:rPr>
          <w:rFonts w:ascii="Verdana" w:hAnsi="Verdana"/>
          <w:sz w:val="24"/>
          <w:szCs w:val="24"/>
          <w:shd w:val="clear" w:color="auto" w:fill="FAFAFA"/>
        </w:rPr>
        <w:t>.</w:t>
      </w:r>
      <w:r w:rsidR="00D35C53" w:rsidRPr="007714FE">
        <w:rPr>
          <w:rFonts w:ascii="Verdana" w:hAnsi="Verdana"/>
          <w:sz w:val="24"/>
          <w:szCs w:val="24"/>
          <w:shd w:val="clear" w:color="auto" w:fill="FAFAFA"/>
        </w:rPr>
        <w:t xml:space="preserve"> </w:t>
      </w:r>
      <w:r w:rsidR="0025263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Dodatkowo, pod salą widowiskową pows</w:t>
      </w:r>
      <w:r w:rsidR="00BD7CF1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tała </w:t>
      </w:r>
      <w:r w:rsidR="00984E24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nowa przestrzeń wystawiennicza na potrzeby organizacji wystaw, galerii, prezentacji.</w:t>
      </w:r>
      <w:r w:rsidR="00BD7CF1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2C4CB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Zakończenie II etapu historycznego remontu </w:t>
      </w:r>
      <w:r w:rsidR="001C39A7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pozwoliło </w:t>
      </w:r>
      <w:r w:rsidR="002C4CB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na </w:t>
      </w:r>
      <w:r w:rsidR="006759C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dostosowanie przestrzeni </w:t>
      </w:r>
      <w:r w:rsidR="007C6B1C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Hali Stulecia </w:t>
      </w:r>
      <w:r w:rsidR="006759C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do współczesnych wymogów obiektów profesjonalnych na rynku wydarzeń kulturalnych oraz </w:t>
      </w:r>
      <w:r w:rsidR="002154F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udostępniło możliwość </w:t>
      </w:r>
      <w:r w:rsidR="00EF032C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pełne</w:t>
      </w:r>
      <w:r w:rsidR="002154F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go</w:t>
      </w:r>
      <w:r w:rsidR="00EF032C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wykorzystani</w:t>
      </w:r>
      <w:r w:rsidR="002154F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a</w:t>
      </w:r>
      <w:r w:rsidR="00EF032C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potencjału Hali Stulecia</w:t>
      </w:r>
      <w:r w:rsidR="002154F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. </w:t>
      </w:r>
      <w:r w:rsidR="00396F6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Co jednak </w:t>
      </w:r>
      <w:r w:rsidR="005D60D8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należy podkreślić finalizacja tego etapu prac </w:t>
      </w:r>
      <w:r w:rsidR="00D240B2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pozwoliła przede wszystkim na przywrócenie właściwej </w:t>
      </w:r>
      <w:r w:rsidR="00EF032C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form</w:t>
      </w:r>
      <w:r w:rsidR="00D240B2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y</w:t>
      </w:r>
      <w:r w:rsidR="005375A0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CC0E2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zabytkowej substancji</w:t>
      </w:r>
      <w:r w:rsidR="00EF032C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CC0E2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obiektu wpisanego </w:t>
      </w:r>
      <w:r w:rsidR="00106011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na Listę Światowego Dziedzictwa UNESCO. </w:t>
      </w:r>
    </w:p>
    <w:p w:rsidR="003E1BFD" w:rsidRPr="007714FE" w:rsidRDefault="001E59DA" w:rsidP="007714FE">
      <w:pPr>
        <w:spacing w:line="360" w:lineRule="auto"/>
        <w:ind w:firstLine="708"/>
        <w:rPr>
          <w:rFonts w:ascii="Verdana" w:hAnsi="Verdana"/>
          <w:color w:val="000000"/>
          <w:sz w:val="24"/>
          <w:szCs w:val="24"/>
          <w:shd w:val="clear" w:color="auto" w:fill="FAFAFA"/>
        </w:rPr>
      </w:pP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Zarząd spółki </w:t>
      </w:r>
      <w:r w:rsidR="00B426F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w 2020 r. </w:t>
      </w:r>
      <w:r w:rsidR="0088116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przeprowadził także remont </w:t>
      </w:r>
      <w:r w:rsidR="00921AB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przestrzeni </w:t>
      </w:r>
      <w:proofErr w:type="spellStart"/>
      <w:r w:rsidR="0088116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Visitor</w:t>
      </w:r>
      <w:proofErr w:type="spellEnd"/>
      <w:r w:rsidR="0088116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Centre (dawne Centrum Poznawcze)</w:t>
      </w:r>
      <w:r w:rsidR="00B426F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, co pozwoliło na wznowienie funkcjonowania tego niezwykle ważnego, edukacyjnego </w:t>
      </w:r>
      <w:r w:rsidR="00E2103F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i </w:t>
      </w:r>
      <w:r w:rsidR="00B426F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turystycznego elementu kompleksu Hali Stulecia.</w:t>
      </w:r>
      <w:r w:rsidR="0088116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BD444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Nowe </w:t>
      </w:r>
      <w:r w:rsidR="00921AB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przestrzenie </w:t>
      </w:r>
      <w:proofErr w:type="spellStart"/>
      <w:r w:rsidR="00B426F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Visitor</w:t>
      </w:r>
      <w:proofErr w:type="spellEnd"/>
      <w:r w:rsidR="00B426F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Centre to turystyczna brama do Hali Stulecia oraz interaktywna, multimedialna wystawa przybliżająca zwiedzającym historię zabytku klasy UNESCO, jakim jest Hala Stulecia.</w:t>
      </w:r>
      <w:r w:rsidR="006D5C42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B426F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Na wystawę składają się dotykowe ekrany i mapy, filmowe i dźwiękowe nagrania, </w:t>
      </w:r>
      <w:r w:rsidR="00C2304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rozbudowana </w:t>
      </w:r>
      <w:r w:rsidR="00B426F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także</w:t>
      </w:r>
      <w:r w:rsidR="00C2304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w ostatnim czasie o </w:t>
      </w:r>
      <w:r w:rsidR="00B426F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dwie wirtualne wycieczki opracowane w technologii </w:t>
      </w:r>
      <w:proofErr w:type="spellStart"/>
      <w:r w:rsidR="00B426F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Virtual</w:t>
      </w:r>
      <w:proofErr w:type="spellEnd"/>
      <w:r w:rsidR="00B426F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Reality.</w:t>
      </w:r>
      <w:r w:rsidR="00C2304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F25F8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Ta innowacyjna wystawa </w:t>
      </w:r>
      <w:r w:rsidR="000B259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uzupełniona o </w:t>
      </w:r>
      <w:r w:rsidR="00F97F5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wirtualne środowisko zwiedzania </w:t>
      </w:r>
      <w:r w:rsidR="00F25F8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stała się nieodłącznym elementem ścieżki zwiedzania kompleksu Hali Stulecia i </w:t>
      </w:r>
      <w:r w:rsidR="00446C74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przyczyniła się do </w:t>
      </w:r>
      <w:r w:rsidR="00F97F5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znaczącego </w:t>
      </w:r>
      <w:r w:rsidR="00446C74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zwiększenia ruchu turystycznego</w:t>
      </w:r>
      <w:r w:rsidR="00BD444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. </w:t>
      </w:r>
      <w:r w:rsidR="00742C3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Wszyst</w:t>
      </w:r>
      <w:r w:rsidR="00B83B4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k</w:t>
      </w:r>
      <w:r w:rsidR="00742C3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ie powyższe działania </w:t>
      </w:r>
      <w:r w:rsidR="00B83B4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stanowią również konsekwentne wypełnianie </w:t>
      </w:r>
      <w:r w:rsidR="003E1BF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B83B4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zaleceń utworzonych </w:t>
      </w:r>
      <w:r w:rsidR="003E1BF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przez UNESCO dla obiektów znajdujących się na Liście Światowego Dziedzictwa, </w:t>
      </w:r>
      <w:r w:rsidR="00AA3321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zgodnie z którymi </w:t>
      </w:r>
      <w:r w:rsidR="00762BC6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podmioty zarządzające </w:t>
      </w:r>
      <w:r w:rsidR="00AA3321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obiekt</w:t>
      </w:r>
      <w:r w:rsidR="00762BC6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ami</w:t>
      </w:r>
      <w:r w:rsidR="00AA3321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UNESCO, </w:t>
      </w:r>
      <w:r w:rsidR="0081697C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powinn</w:t>
      </w:r>
      <w:r w:rsidR="00AA3321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y </w:t>
      </w:r>
      <w:r w:rsidR="003E1BF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udostępni</w:t>
      </w:r>
      <w:r w:rsidR="00AA3321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a</w:t>
      </w:r>
      <w:r w:rsidR="003E1BF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ć turystom, mieszkańcom oraz pasjonatom architektury możliwość </w:t>
      </w:r>
      <w:r w:rsidR="003E1BF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lastRenderedPageBreak/>
        <w:t xml:space="preserve">zwiedzania </w:t>
      </w:r>
      <w:r w:rsidR="00762BC6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ich </w:t>
      </w:r>
      <w:r w:rsidR="003E1BF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wnętrza i podziwiania dziedzictwa kulturowego, </w:t>
      </w:r>
      <w:r w:rsidR="00BF350F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a takim właśnie obiektem bez </w:t>
      </w:r>
      <w:r w:rsidR="003E1BF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wątpienia jest Kompleks Hali Stulecia. </w:t>
      </w:r>
    </w:p>
    <w:p w:rsidR="005A175B" w:rsidRPr="007714FE" w:rsidRDefault="00B4001E" w:rsidP="007714FE">
      <w:pPr>
        <w:spacing w:line="360" w:lineRule="auto"/>
        <w:ind w:firstLine="708"/>
        <w:rPr>
          <w:rFonts w:ascii="Verdana" w:hAnsi="Verdana"/>
          <w:color w:val="000000"/>
          <w:sz w:val="24"/>
          <w:szCs w:val="24"/>
          <w:shd w:val="clear" w:color="auto" w:fill="FAFAFA"/>
        </w:rPr>
      </w:pP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Wszystkie te działania </w:t>
      </w:r>
      <w:r w:rsidR="00161421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pozwalają na wyciągnięcie jednoznacznego wniosku</w:t>
      </w:r>
      <w:r w:rsidR="00E65D7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,</w:t>
      </w:r>
      <w:r w:rsidR="005A175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że Spółka realizując cele statutowe, w ramach swojej bieżącej aktywności</w:t>
      </w:r>
      <w:r w:rsidR="00E65D7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nie tylko koncentruje swoje działania na utrzymaniu zabytkowej substancji Hali Stulecia</w:t>
      </w:r>
      <w:r w:rsidR="001E08A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,</w:t>
      </w:r>
      <w:r w:rsidR="00E65D7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ale w równym stopniu </w:t>
      </w:r>
      <w:r w:rsidR="005A175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zaspokaja </w:t>
      </w:r>
      <w:r w:rsidR="00E65D7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także </w:t>
      </w:r>
      <w:r w:rsidR="005A175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potrzeby zbiorowe mieszkańców Wrocławia w zakresie kultury, wykorzystuj</w:t>
      </w:r>
      <w:r w:rsidR="00E65D7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ąc</w:t>
      </w:r>
      <w:r w:rsidR="005A175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obiekt na cele społeczne realizowane przez społeczności lokal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n</w:t>
      </w:r>
      <w:r w:rsidR="005A175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e Gminy oraz promuje Wrocław w Polsce i Europie.</w:t>
      </w:r>
    </w:p>
    <w:p w:rsidR="00104C45" w:rsidRPr="007714FE" w:rsidRDefault="00EF7599" w:rsidP="007714FE">
      <w:pPr>
        <w:spacing w:line="360" w:lineRule="auto"/>
        <w:ind w:firstLine="708"/>
        <w:rPr>
          <w:rFonts w:ascii="Verdana" w:hAnsi="Verdana"/>
          <w:color w:val="000000"/>
          <w:sz w:val="24"/>
          <w:szCs w:val="24"/>
          <w:shd w:val="clear" w:color="auto" w:fill="FAFAFA"/>
        </w:rPr>
      </w:pP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Z</w:t>
      </w:r>
      <w:r w:rsidR="00D376CF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e względu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na </w:t>
      </w:r>
      <w:r w:rsidR="00DB42E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wybuch pandemii koronawirusa w 2020 r. </w:t>
      </w:r>
      <w:r w:rsidR="00206E36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S</w:t>
      </w:r>
      <w:r w:rsidR="00DB42E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półka musiała zmierzyć się z nowymi, </w:t>
      </w:r>
      <w:r w:rsidR="001902C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nieznanymi dotychczas wyzwaniami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. </w:t>
      </w:r>
      <w:r w:rsidR="001902C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Z uwagi na </w:t>
      </w:r>
      <w:r w:rsidR="00D64A16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wydane przez </w:t>
      </w:r>
      <w:r w:rsidR="00CA1B18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Prezesa Rady Ministrów oraz </w:t>
      </w:r>
      <w:r w:rsidR="00D64A16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Wojewodę Dolnośląskiego akty prawne </w:t>
      </w:r>
      <w:r w:rsidR="00773CD3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dotyczące ustanowienia określonych ograniczeń, nakazów i zakazów w związku z wystąpieniem stanu epidemii</w:t>
      </w:r>
      <w:r w:rsidR="00773CD3" w:rsidRPr="007714FE" w:rsidDel="00FA5180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FA5180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Spółka </w:t>
      </w:r>
      <w:r w:rsidR="001902C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nie mogła prowadzić działalności </w:t>
      </w:r>
      <w:r w:rsidR="0005177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gospodarczej w podstawowym zakresie </w:t>
      </w:r>
      <w:r w:rsidR="001D3FE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przez znaczną część 2020 i 2021 roku, co stanowiło zdarzenie bez precedensu w ponad 100-letniej historii Hali Stulecia.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Mierząc się z zaistniałą sytuacją kryzysową, </w:t>
      </w:r>
      <w:r w:rsidR="00CA1B18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Z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arząd już w roku 2020 opracował plan optymalizacji kosztów działalności </w:t>
      </w:r>
      <w:r w:rsidR="00234551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S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półki, który sukcesywnie wdrażał</w:t>
      </w:r>
      <w:r w:rsidR="00E2103F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i nadal wdraża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. Optymalizacja wydatków w </w:t>
      </w:r>
      <w:r w:rsidR="00234551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S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półce stała się niezbędnym i </w:t>
      </w:r>
      <w:r w:rsidR="004B7E47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kluczowym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etapem prowadzącym do utrzymania płynności finansowej i zachowania miejsc pracy.</w:t>
      </w:r>
      <w:r w:rsidR="007F3340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Plan optymalizacji kosztów zakładał:</w:t>
      </w:r>
      <w:r w:rsidR="007F3340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pozyskanie środków pomocowych</w:t>
      </w:r>
      <w:r w:rsidR="000C4CF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,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zwiększenie przychodów z działalności gastronomiczno-cateringowej</w:t>
      </w:r>
      <w:r w:rsidR="000C4CF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,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przekwalifikowanie pracowników do innych zadań w ramach </w:t>
      </w:r>
      <w:r w:rsidR="00925DD7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S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półki lub innych przedsiębiorstw w celu minimalizacji kosztów osobowych ponoszonych przez </w:t>
      </w:r>
      <w:r w:rsidR="001E45E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S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półkę oraz możliwie skutecznej ochrony miejsc pracy</w:t>
      </w:r>
      <w:r w:rsidR="000C4CF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oraz inne działania bieżące, w tym wprowadzenie szeroko zakrojonych oszczędności</w:t>
      </w:r>
      <w:r w:rsidR="00DB629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m.in. czasowe obniżenie wynagrodzenia Zarządu</w:t>
      </w:r>
      <w:r w:rsidR="000C4CF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, które miały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na celu zminimalizowanie kosztów działalności przedsiębiorstwa</w:t>
      </w:r>
      <w:r w:rsidR="000C4CF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. </w:t>
      </w:r>
    </w:p>
    <w:p w:rsidR="001376EB" w:rsidRPr="007714FE" w:rsidRDefault="00BB56C5" w:rsidP="007714FE">
      <w:pPr>
        <w:spacing w:line="360" w:lineRule="auto"/>
        <w:ind w:firstLine="708"/>
        <w:rPr>
          <w:rFonts w:ascii="Verdana" w:hAnsi="Verdana"/>
          <w:color w:val="000000"/>
          <w:sz w:val="24"/>
          <w:szCs w:val="24"/>
          <w:shd w:val="clear" w:color="auto" w:fill="FAFAFA"/>
        </w:rPr>
      </w:pP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lastRenderedPageBreak/>
        <w:t xml:space="preserve">Mimo trudnych czasów pandemicznych i </w:t>
      </w:r>
      <w:r w:rsidR="001E45E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konieczności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ograniczenia </w:t>
      </w:r>
      <w:r w:rsidR="00B858C2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obszarów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działalności </w:t>
      </w:r>
      <w:r w:rsidR="00C60B9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Z</w:t>
      </w:r>
      <w:r w:rsidR="007B7EF2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arząd </w:t>
      </w:r>
      <w:r w:rsidR="00C60B9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S</w:t>
      </w:r>
      <w:r w:rsidR="007B7EF2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półki podejmował </w:t>
      </w:r>
      <w:r w:rsidR="00CB3C14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i nadal podejmuje </w:t>
      </w:r>
      <w:r w:rsidR="007B7EF2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szereg działań mających na celu utrzymanie płynności finansowej przedsiębiorstwa, przy jednoczesn</w:t>
      </w:r>
      <w:r w:rsidR="00750DD0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ej ochronie miejsc pracy</w:t>
      </w:r>
      <w:r w:rsidR="00C60B9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B22D2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oraz zapobieżeniu utraty kluczowego dla organizacji wydarzeń </w:t>
      </w:r>
      <w:r w:rsidR="00123DD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personelu</w:t>
      </w:r>
      <w:r w:rsidR="00750DD0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. </w:t>
      </w:r>
      <w:r w:rsidR="0083354F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Oprócz wspomnianych wcześniej działań</w:t>
      </w:r>
      <w:r w:rsidR="009A2562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oszczędnościowych,</w:t>
      </w:r>
      <w:r w:rsidR="0083354F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D33AB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S</w:t>
      </w:r>
      <w:r w:rsidR="00D97CC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półka kontynuowała </w:t>
      </w:r>
      <w:r w:rsidR="001026F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równocześnie </w:t>
      </w:r>
      <w:r w:rsidR="00D97CC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organizację i prowadzenie działań edukacyjnych, które na stałe wpisały się w kalendarz aktywności i stały się ważnym elementem działalności firmy, szczególnie ze względu na zadanie </w:t>
      </w:r>
      <w:r w:rsidR="00B476E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statutowe </w:t>
      </w:r>
      <w:r w:rsidR="00D97CC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realizowane przez </w:t>
      </w:r>
      <w:r w:rsidR="00123DD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S</w:t>
      </w:r>
      <w:r w:rsidR="00D97CC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półkę, czyli opiekę nad obiektem wpisanym na Listę Światowego Dziedzictwa UNESCO.</w:t>
      </w:r>
      <w:r w:rsidR="0007162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B476E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S</w:t>
      </w:r>
      <w:r w:rsidR="0007162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półka </w:t>
      </w:r>
      <w:r w:rsidR="000A0DB7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aktywnie </w:t>
      </w:r>
      <w:r w:rsidR="0007162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uczestniczy również w międzynarodowej inicjatywie polegającej na współpracy z muzeami i zbiorami archiwalnymi oraz innymi instytucjami kultury w celu udostępnienia kulturowego dziedzictwa światowego online</w:t>
      </w:r>
      <w:r w:rsidR="000A0DB7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za pośrednictwem </w:t>
      </w:r>
      <w:r w:rsidR="0007162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platform</w:t>
      </w:r>
      <w:r w:rsidR="000A0DB7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y</w:t>
      </w:r>
      <w:r w:rsidR="0007162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non-profit przeznaczon</w:t>
      </w:r>
      <w:r w:rsidR="000A0DB7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ej</w:t>
      </w:r>
      <w:r w:rsidR="0007162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do niekomercyjnego prezentowania treści kulturowych</w:t>
      </w:r>
      <w:r w:rsidR="00370F7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, dzięki czemu</w:t>
      </w:r>
      <w:r w:rsidR="002E3B07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informacja o </w:t>
      </w:r>
      <w:r w:rsidR="0022652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Kompleksie Hali Stulecia </w:t>
      </w:r>
      <w:r w:rsidR="007031D6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stanie się jeszcze szerzej </w:t>
      </w:r>
      <w:r w:rsidR="0022652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dostępna </w:t>
      </w:r>
      <w:r w:rsidR="007031D6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dzięki </w:t>
      </w:r>
      <w:r w:rsidR="002E3B07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nowatorskim narzędziom cyfrowym</w:t>
      </w:r>
      <w:r w:rsidR="007031D6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udostępnianym </w:t>
      </w:r>
      <w:r w:rsidR="002F56E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dla potrzeb tej platformy</w:t>
      </w:r>
      <w:r w:rsidR="002E3B07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.</w:t>
      </w:r>
      <w:r w:rsidR="0022652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W latach 20</w:t>
      </w:r>
      <w:r w:rsidR="00876F1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19 - 2022</w:t>
      </w:r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185CD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S</w:t>
      </w:r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półka kontynuowała również rozpoczęty w 2017 roku międzynarodowy projekt naukowo-badawczy „</w:t>
      </w:r>
      <w:proofErr w:type="spellStart"/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Innova</w:t>
      </w:r>
      <w:proofErr w:type="spellEnd"/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Concrete</w:t>
      </w:r>
      <w:proofErr w:type="spellEnd"/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”, realizowany na zasadach konsorcjum i koordynowany przez lidera – Uniwersytet w Kadyksie (Hiszpania). Projekt finansowany w całości przez Unię Europejską z programu Horyzont 2020 dotyczy opiniowania efektów nowych technologii naprawczych dla powłok betonowych. W długofalowym ujęciu możliwość zabezpieczenia przed ubytkami i korozją powłok betonowych Hali Stulecia jest jednym z najważniejszych zadań</w:t>
      </w:r>
      <w:r w:rsidR="001B6E4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niezbędnych do zachowania zabytkowej substancji obiektu dla przyszłych pokoleń</w:t>
      </w:r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. </w:t>
      </w:r>
      <w:r w:rsidR="009A404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W celu zagwarantowania </w:t>
      </w:r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w opracowaniu efektów naukowych </w:t>
      </w:r>
      <w:r w:rsidR="009A404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uczestnictwa profesjonalistów</w:t>
      </w:r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, podpisane zostało porozumienie z Politechniką Wrocławską. W ramach </w:t>
      </w:r>
      <w:r w:rsidR="008A63F7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prestiżowego </w:t>
      </w:r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projektu</w:t>
      </w:r>
      <w:r w:rsidR="008A63F7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branżowego</w:t>
      </w:r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Innova</w:t>
      </w:r>
      <w:proofErr w:type="spellEnd"/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Concrete</w:t>
      </w:r>
      <w:proofErr w:type="spellEnd"/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w Hali Stulecia</w:t>
      </w:r>
      <w:r w:rsidR="002F56E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zaaranżowano w Hali Stulecia specjalne miejsce badawcze, w którym naukowcy prowadzili badania nad betonem </w:t>
      </w:r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lastRenderedPageBreak/>
        <w:t>przy pomocy specjalistycznej aparatury. Wartość grantu na projekt „</w:t>
      </w:r>
      <w:proofErr w:type="spellStart"/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Innova</w:t>
      </w:r>
      <w:proofErr w:type="spellEnd"/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Concrete</w:t>
      </w:r>
      <w:proofErr w:type="spellEnd"/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” to około 180 000 euro. </w:t>
      </w:r>
      <w:r w:rsidR="00BF5CA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Zaangażowanie Spółki w ten projekt </w:t>
      </w:r>
      <w:r w:rsidR="005268A0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nie tylko przyniosło za sobą rezultat w postaci szerokiej promocji obiektu</w:t>
      </w:r>
      <w:r w:rsidR="00A859E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,</w:t>
      </w:r>
      <w:r w:rsidR="005268A0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ale </w:t>
      </w:r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przede wszystkim </w:t>
      </w:r>
      <w:r w:rsidR="005268A0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pozwoliło na uzyskanie </w:t>
      </w:r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możliwość implementacji </w:t>
      </w:r>
      <w:r w:rsidR="006C483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w Hali Stulecia </w:t>
      </w:r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wyników badań</w:t>
      </w:r>
      <w:r w:rsidR="003F0E4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, których celem jest </w:t>
      </w:r>
      <w:r w:rsidR="002A072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ochrona światowego dziedzictwa w obszarze architektury.</w:t>
      </w:r>
    </w:p>
    <w:p w:rsidR="0083602E" w:rsidRPr="007714FE" w:rsidRDefault="003462AE" w:rsidP="007714FE">
      <w:pPr>
        <w:spacing w:line="360" w:lineRule="auto"/>
        <w:ind w:firstLine="708"/>
        <w:rPr>
          <w:rFonts w:ascii="Verdana" w:hAnsi="Verdana"/>
          <w:color w:val="000000"/>
          <w:sz w:val="24"/>
          <w:szCs w:val="24"/>
          <w:shd w:val="clear" w:color="auto" w:fill="FAFAFA"/>
        </w:rPr>
      </w:pP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W związku z zakończeniem współpracy z dotychczasowym najemcą przestrzeni restauracyjnych, który jednocześnie świadczył usługi cateringowe na terenach zewnętrznych</w:t>
      </w:r>
      <w:r w:rsidR="0053430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5B2A4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Z</w:t>
      </w:r>
      <w:r w:rsidR="0053430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arząd </w:t>
      </w:r>
      <w:r w:rsidR="005B2A4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S</w:t>
      </w:r>
      <w:r w:rsidR="0053430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półki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pod</w:t>
      </w:r>
      <w:r w:rsidR="0053430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jął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starania związane z zaprojektowaniem i wykonaniem aranżacji przestrzeni Restauracji Zachodniej, które po 10-letnim okresie użytkowania przez najemcę wymagają przeprowadzenia szeregu prac mających na celu podniesienie standardu usług świadczonych przez</w:t>
      </w:r>
      <w:r w:rsidR="00212428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WP HALA LUDOWA Sp. z o.o. Pozwoli</w:t>
      </w:r>
      <w:r w:rsidR="00736731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ło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to na</w:t>
      </w:r>
      <w:r w:rsidR="00A9364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uzupełnienie oferty dla gości i turystów korzystających z rekreacyjnych terenów kompleksu Hali Stulecia oraz zapewni</w:t>
      </w:r>
      <w:r w:rsidR="00736731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ło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należyty standard usług świadczonych w jednym z najbardziej rozpoznawalnych obiektów w Polsce, zgodny ze standardami aktualnie obowiązującymi na rynku, jak również dostarczy</w:t>
      </w:r>
      <w:r w:rsidR="00736731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ło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A9364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S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półce przychodów niezbędnych do częściowego pokrycia kosztów, jakie niesie ze sobą ochrona światowego dziedzictwa materialnego. Przeprowadzenie prac remontowych i aranżacyjnych pomieszczeń Restauracji Zachodniej oraz doposażenie infrastruktury technicznej </w:t>
      </w:r>
      <w:r w:rsidR="00C16E3C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było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niezbędne w celu uruchomienia Restauracji Tarasowej, która pod taką właśnie nazwą funkcjonowała w dawnym Pawilonie Restauracyjnym (dziś Wrocławskim Centrum Kongresowym) do czasów II Wojny Światowej. Otwarcie Restauracji Tarasowej stanowi</w:t>
      </w:r>
      <w:r w:rsidR="002B0218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ło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7B5465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w pierwszej kolejności przywrócenie historycznej funkcji tych przestrzeni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. Działanie to gwarantuje również zachowanie spójności architektonicznej i funkcjonalnej pomieszczeń wchodzących w skład obiektu Wrocławskiego Centrum Kongresowego, zrealizowanego pierwotnie w ramach projektu pn. Utworzenie Regionalnego Centrum Turystyki Biznesowej we Wrocławiu, stanowiąc dopełnienie oferty gastronomicznej dostępnej w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lastRenderedPageBreak/>
        <w:t xml:space="preserve">uruchomionej już części obiektu, tj. Restauracji Tarasowej (Restauracja Zachodnia). </w:t>
      </w:r>
      <w:r w:rsidR="0016465E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Restauracja Tarasowa została otwarta 8 czerwca 2022 r., natomiast otwarcie </w:t>
      </w:r>
      <w:r w:rsidR="0031338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wyremontowanego skrzydła Bistro planowane jest na I półrocze 2024 r. </w:t>
      </w: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Remont drugiego skrzydła dawnego pawilonu restauracyjnego bez wątpienia podniesie standard usług świadczonych w miejscu wpisanym na Listę Światowego Dziedzictwa UNESCO.</w:t>
      </w:r>
      <w:r w:rsidR="0031338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r w:rsidR="00B33F8D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W związku z możliwością </w:t>
      </w:r>
      <w:r w:rsidR="004361E2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rozwoju nowych obszarów, </w:t>
      </w:r>
      <w:r w:rsidR="00EF70F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Z</w:t>
      </w:r>
      <w:r w:rsidR="004361E2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arząd </w:t>
      </w:r>
      <w:r w:rsidR="00EF70FA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S</w:t>
      </w:r>
      <w:r w:rsidR="004361E2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półki</w:t>
      </w:r>
      <w:r w:rsidR="00D21A7B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, </w:t>
      </w:r>
      <w:r w:rsidR="009A18F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działając </w:t>
      </w:r>
      <w:r w:rsidR="008C125C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w uzgodnieniu z organami</w:t>
      </w:r>
      <w:r w:rsidR="009A18F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statutowymi Spółki, </w:t>
      </w:r>
      <w:r w:rsidR="004361E2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podjął sz</w:t>
      </w:r>
      <w:r w:rsidR="007C717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ereg działań mających na celu zwiększenie przychodów z obszarów związanych z gastronomią, jako usług </w:t>
      </w:r>
      <w:r w:rsidR="00B033E9"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komplementarnych dla wydarzeń odbywających się w kompleksie Hali Stulecia</w:t>
      </w:r>
    </w:p>
    <w:p w:rsidR="00963583" w:rsidRPr="007714FE" w:rsidRDefault="00DD0FDC" w:rsidP="007714FE">
      <w:pPr>
        <w:spacing w:line="360" w:lineRule="auto"/>
        <w:ind w:firstLine="708"/>
        <w:rPr>
          <w:rFonts w:ascii="Verdana" w:hAnsi="Verdana"/>
          <w:sz w:val="24"/>
          <w:szCs w:val="24"/>
        </w:rPr>
      </w:pPr>
      <w:r w:rsidRPr="007714FE">
        <w:rPr>
          <w:rFonts w:ascii="Verdana" w:hAnsi="Verdana"/>
          <w:sz w:val="24"/>
          <w:szCs w:val="24"/>
        </w:rPr>
        <w:t>W I półroczu 2022 roku, p</w:t>
      </w:r>
      <w:r w:rsidR="007722F7" w:rsidRPr="007714FE">
        <w:rPr>
          <w:rFonts w:ascii="Verdana" w:hAnsi="Verdana"/>
          <w:sz w:val="24"/>
          <w:szCs w:val="24"/>
        </w:rPr>
        <w:t xml:space="preserve">o wielu miesiącach </w:t>
      </w:r>
      <w:r w:rsidR="000E1574" w:rsidRPr="007714FE">
        <w:rPr>
          <w:rFonts w:ascii="Verdana" w:hAnsi="Verdana"/>
          <w:sz w:val="24"/>
          <w:szCs w:val="24"/>
        </w:rPr>
        <w:t xml:space="preserve">starań, </w:t>
      </w:r>
      <w:r w:rsidR="002B7C37" w:rsidRPr="007714FE">
        <w:rPr>
          <w:rFonts w:ascii="Verdana" w:hAnsi="Verdana"/>
          <w:sz w:val="24"/>
          <w:szCs w:val="24"/>
        </w:rPr>
        <w:t>Z</w:t>
      </w:r>
      <w:r w:rsidR="000E1574" w:rsidRPr="007714FE">
        <w:rPr>
          <w:rFonts w:ascii="Verdana" w:hAnsi="Verdana"/>
          <w:sz w:val="24"/>
          <w:szCs w:val="24"/>
        </w:rPr>
        <w:t xml:space="preserve">arząd </w:t>
      </w:r>
      <w:r w:rsidR="00CF7D38" w:rsidRPr="007714FE">
        <w:rPr>
          <w:rFonts w:ascii="Verdana" w:hAnsi="Verdana"/>
          <w:sz w:val="24"/>
          <w:szCs w:val="24"/>
        </w:rPr>
        <w:t xml:space="preserve">pozyskał </w:t>
      </w:r>
      <w:r w:rsidR="00A91C89" w:rsidRPr="007714FE">
        <w:rPr>
          <w:rFonts w:ascii="Verdana" w:hAnsi="Verdana"/>
          <w:sz w:val="24"/>
          <w:szCs w:val="24"/>
        </w:rPr>
        <w:t xml:space="preserve">dla </w:t>
      </w:r>
      <w:r w:rsidR="002B7C37" w:rsidRPr="007714FE">
        <w:rPr>
          <w:rFonts w:ascii="Verdana" w:hAnsi="Verdana"/>
          <w:sz w:val="24"/>
          <w:szCs w:val="24"/>
        </w:rPr>
        <w:t>S</w:t>
      </w:r>
      <w:r w:rsidR="00A91C89" w:rsidRPr="007714FE">
        <w:rPr>
          <w:rFonts w:ascii="Verdana" w:hAnsi="Verdana"/>
          <w:sz w:val="24"/>
          <w:szCs w:val="24"/>
        </w:rPr>
        <w:t xml:space="preserve">półki międzynarodowy projekt, który w znacznym stopniu pozwolił na </w:t>
      </w:r>
      <w:r w:rsidR="00F03872" w:rsidRPr="007714FE">
        <w:rPr>
          <w:rFonts w:ascii="Verdana" w:hAnsi="Verdana"/>
          <w:sz w:val="24"/>
          <w:szCs w:val="24"/>
        </w:rPr>
        <w:t xml:space="preserve">polepszenie </w:t>
      </w:r>
      <w:r w:rsidR="002B7C37" w:rsidRPr="007714FE">
        <w:rPr>
          <w:rFonts w:ascii="Verdana" w:hAnsi="Verdana"/>
          <w:sz w:val="24"/>
          <w:szCs w:val="24"/>
        </w:rPr>
        <w:t xml:space="preserve">jej </w:t>
      </w:r>
      <w:r w:rsidR="00F03872" w:rsidRPr="007714FE">
        <w:rPr>
          <w:rFonts w:ascii="Verdana" w:hAnsi="Verdana"/>
          <w:sz w:val="24"/>
          <w:szCs w:val="24"/>
        </w:rPr>
        <w:t xml:space="preserve">sytuacji finansowej po trudnych latach pandemii. </w:t>
      </w:r>
      <w:r w:rsidR="00B24AA3" w:rsidRPr="007714FE">
        <w:rPr>
          <w:rFonts w:ascii="Verdana" w:hAnsi="Verdana"/>
          <w:sz w:val="24"/>
          <w:szCs w:val="24"/>
        </w:rPr>
        <w:t xml:space="preserve">W okresie letnim, od 6 czerwca do 19 sierpnia 2022r, </w:t>
      </w:r>
      <w:r w:rsidR="005260AB" w:rsidRPr="007714FE">
        <w:rPr>
          <w:rFonts w:ascii="Verdana" w:hAnsi="Verdana"/>
          <w:sz w:val="24"/>
          <w:szCs w:val="24"/>
        </w:rPr>
        <w:t xml:space="preserve">wspólnie z międzynarodowym zespołem </w:t>
      </w:r>
      <w:r w:rsidR="002B7C37" w:rsidRPr="007714FE">
        <w:rPr>
          <w:rFonts w:ascii="Verdana" w:hAnsi="Verdana"/>
          <w:sz w:val="24"/>
          <w:szCs w:val="24"/>
        </w:rPr>
        <w:t xml:space="preserve">realizowany został </w:t>
      </w:r>
      <w:r w:rsidR="00084C97" w:rsidRPr="007714FE">
        <w:rPr>
          <w:rFonts w:ascii="Verdana" w:hAnsi="Verdana"/>
          <w:sz w:val="24"/>
          <w:szCs w:val="24"/>
        </w:rPr>
        <w:t xml:space="preserve">wspólnymi siłami </w:t>
      </w:r>
      <w:r w:rsidR="00B24AA3" w:rsidRPr="007714FE">
        <w:rPr>
          <w:rFonts w:ascii="Verdana" w:hAnsi="Verdana"/>
          <w:sz w:val="24"/>
          <w:szCs w:val="24"/>
        </w:rPr>
        <w:t>projekt jednego z największych studiów filmowych w Hollywood. Niewątpliwie był</w:t>
      </w:r>
      <w:r w:rsidR="005260AB" w:rsidRPr="007714FE">
        <w:rPr>
          <w:rFonts w:ascii="Verdana" w:hAnsi="Verdana"/>
          <w:sz w:val="24"/>
          <w:szCs w:val="24"/>
        </w:rPr>
        <w:t>o</w:t>
      </w:r>
      <w:r w:rsidR="00B24AA3" w:rsidRPr="007714FE">
        <w:rPr>
          <w:rFonts w:ascii="Verdana" w:hAnsi="Verdana"/>
          <w:sz w:val="24"/>
          <w:szCs w:val="24"/>
        </w:rPr>
        <w:t xml:space="preserve"> to jedn</w:t>
      </w:r>
      <w:r w:rsidR="005260AB" w:rsidRPr="007714FE">
        <w:rPr>
          <w:rFonts w:ascii="Verdana" w:hAnsi="Verdana"/>
          <w:sz w:val="24"/>
          <w:szCs w:val="24"/>
        </w:rPr>
        <w:t>o</w:t>
      </w:r>
      <w:r w:rsidR="00B24AA3" w:rsidRPr="007714FE">
        <w:rPr>
          <w:rFonts w:ascii="Verdana" w:hAnsi="Verdana"/>
          <w:sz w:val="24"/>
          <w:szCs w:val="24"/>
        </w:rPr>
        <w:t xml:space="preserve"> z </w:t>
      </w:r>
      <w:r w:rsidR="005260AB" w:rsidRPr="007714FE">
        <w:rPr>
          <w:rFonts w:ascii="Verdana" w:hAnsi="Verdana"/>
          <w:sz w:val="24"/>
          <w:szCs w:val="24"/>
        </w:rPr>
        <w:t>największych wyzwań ostatnich lat</w:t>
      </w:r>
      <w:r w:rsidR="00B24AA3" w:rsidRPr="007714FE">
        <w:rPr>
          <w:rFonts w:ascii="Verdana" w:hAnsi="Verdana"/>
          <w:sz w:val="24"/>
          <w:szCs w:val="24"/>
        </w:rPr>
        <w:t xml:space="preserve">. Praca nad </w:t>
      </w:r>
      <w:r w:rsidR="00084C97" w:rsidRPr="007714FE">
        <w:rPr>
          <w:rFonts w:ascii="Verdana" w:hAnsi="Verdana"/>
          <w:sz w:val="24"/>
          <w:szCs w:val="24"/>
        </w:rPr>
        <w:t xml:space="preserve">tym skomplikowanym projektem </w:t>
      </w:r>
      <w:r w:rsidR="00B24AA3" w:rsidRPr="007714FE">
        <w:rPr>
          <w:rFonts w:ascii="Verdana" w:hAnsi="Verdana"/>
          <w:sz w:val="24"/>
          <w:szCs w:val="24"/>
        </w:rPr>
        <w:t>zaangażowała niemal 100 pracowników, którzy pracowali nieustannie w trybie 24/7, aby spełnić wszystkie wytyczne i restrykcje panujące na planie. Przygotowanie Hali Stulecia wraz z montażem scenografii trwało niemal dwa tygodnie i wymagało bardzo intensywnej pracy w systemie całodobowym</w:t>
      </w:r>
      <w:r w:rsidR="005E40A2" w:rsidRPr="007714FE">
        <w:rPr>
          <w:rFonts w:ascii="Verdana" w:hAnsi="Verdana"/>
          <w:sz w:val="24"/>
          <w:szCs w:val="24"/>
        </w:rPr>
        <w:t xml:space="preserve">. Dzięki </w:t>
      </w:r>
      <w:r w:rsidR="00CA438C" w:rsidRPr="007714FE">
        <w:rPr>
          <w:rFonts w:ascii="Verdana" w:hAnsi="Verdana"/>
          <w:sz w:val="24"/>
          <w:szCs w:val="24"/>
        </w:rPr>
        <w:t xml:space="preserve">realizacji tak prestiżowego projektu </w:t>
      </w:r>
      <w:r w:rsidR="005E40A2" w:rsidRPr="007714FE">
        <w:rPr>
          <w:rFonts w:ascii="Verdana" w:hAnsi="Verdana"/>
          <w:sz w:val="24"/>
          <w:szCs w:val="24"/>
        </w:rPr>
        <w:t>K</w:t>
      </w:r>
      <w:r w:rsidR="00A11C72" w:rsidRPr="007714FE">
        <w:rPr>
          <w:rFonts w:ascii="Verdana" w:hAnsi="Verdana"/>
          <w:sz w:val="24"/>
          <w:szCs w:val="24"/>
        </w:rPr>
        <w:t xml:space="preserve">ompleks Hali Stulecia </w:t>
      </w:r>
      <w:r w:rsidR="00A6103C" w:rsidRPr="007714FE">
        <w:rPr>
          <w:rFonts w:ascii="Verdana" w:hAnsi="Verdana"/>
          <w:sz w:val="24"/>
          <w:szCs w:val="24"/>
        </w:rPr>
        <w:t>wykazał, że posiada właściwy</w:t>
      </w:r>
      <w:r w:rsidR="00217E1E" w:rsidRPr="007714FE">
        <w:rPr>
          <w:rFonts w:ascii="Verdana" w:hAnsi="Verdana"/>
          <w:sz w:val="24"/>
          <w:szCs w:val="24"/>
        </w:rPr>
        <w:t xml:space="preserve"> potencjał </w:t>
      </w:r>
      <w:r w:rsidR="00A6103C" w:rsidRPr="007714FE">
        <w:rPr>
          <w:rFonts w:ascii="Verdana" w:hAnsi="Verdana"/>
          <w:sz w:val="24"/>
          <w:szCs w:val="24"/>
        </w:rPr>
        <w:t xml:space="preserve"> do realizacji </w:t>
      </w:r>
      <w:r w:rsidR="00F13513" w:rsidRPr="007714FE">
        <w:rPr>
          <w:rFonts w:ascii="Verdana" w:hAnsi="Verdana"/>
          <w:sz w:val="24"/>
          <w:szCs w:val="24"/>
        </w:rPr>
        <w:t>projektów o</w:t>
      </w:r>
      <w:r w:rsidR="00454A59" w:rsidRPr="007714FE">
        <w:rPr>
          <w:rFonts w:ascii="Verdana" w:hAnsi="Verdana"/>
          <w:sz w:val="24"/>
          <w:szCs w:val="24"/>
        </w:rPr>
        <w:t xml:space="preserve"> szerok</w:t>
      </w:r>
      <w:r w:rsidR="00F13513" w:rsidRPr="007714FE">
        <w:rPr>
          <w:rFonts w:ascii="Verdana" w:hAnsi="Verdana"/>
          <w:sz w:val="24"/>
          <w:szCs w:val="24"/>
        </w:rPr>
        <w:t>iej</w:t>
      </w:r>
      <w:r w:rsidR="00454A59" w:rsidRPr="007714FE">
        <w:rPr>
          <w:rFonts w:ascii="Verdana" w:hAnsi="Verdana"/>
          <w:sz w:val="24"/>
          <w:szCs w:val="24"/>
        </w:rPr>
        <w:t xml:space="preserve"> rozpoznawalnoś</w:t>
      </w:r>
      <w:r w:rsidR="00F13513" w:rsidRPr="007714FE">
        <w:rPr>
          <w:rFonts w:ascii="Verdana" w:hAnsi="Verdana"/>
          <w:sz w:val="24"/>
          <w:szCs w:val="24"/>
        </w:rPr>
        <w:t>ci</w:t>
      </w:r>
      <w:r w:rsidR="00454A59" w:rsidRPr="007714FE">
        <w:rPr>
          <w:rFonts w:ascii="Verdana" w:hAnsi="Verdana"/>
          <w:sz w:val="24"/>
          <w:szCs w:val="24"/>
        </w:rPr>
        <w:t xml:space="preserve"> na arenie międzynarodowe</w:t>
      </w:r>
      <w:r w:rsidR="005E40A2" w:rsidRPr="007714FE">
        <w:rPr>
          <w:rFonts w:ascii="Verdana" w:hAnsi="Verdana"/>
          <w:sz w:val="24"/>
          <w:szCs w:val="24"/>
        </w:rPr>
        <w:t>j.</w:t>
      </w:r>
      <w:r w:rsidR="00A11C72" w:rsidRPr="007714FE">
        <w:rPr>
          <w:rFonts w:ascii="Verdana" w:hAnsi="Verdana"/>
          <w:sz w:val="24"/>
          <w:szCs w:val="24"/>
        </w:rPr>
        <w:t xml:space="preserve"> </w:t>
      </w:r>
    </w:p>
    <w:p w:rsidR="00B24AA3" w:rsidRPr="007714FE" w:rsidRDefault="00963583" w:rsidP="007714FE">
      <w:pPr>
        <w:spacing w:line="360" w:lineRule="auto"/>
        <w:ind w:firstLine="708"/>
        <w:rPr>
          <w:rFonts w:ascii="Verdana" w:hAnsi="Verdana"/>
          <w:sz w:val="24"/>
          <w:szCs w:val="24"/>
        </w:rPr>
      </w:pPr>
      <w:r w:rsidRPr="007714FE">
        <w:rPr>
          <w:rFonts w:ascii="Verdana" w:hAnsi="Verdana"/>
          <w:sz w:val="24"/>
          <w:szCs w:val="24"/>
        </w:rPr>
        <w:t>Przed</w:t>
      </w:r>
      <w:r w:rsidR="006726F0" w:rsidRPr="007714FE">
        <w:rPr>
          <w:rFonts w:ascii="Verdana" w:hAnsi="Verdana"/>
          <w:sz w:val="24"/>
          <w:szCs w:val="24"/>
        </w:rPr>
        <w:t xml:space="preserve"> zarządem Spółki stoi szereg zadań mających na celu dalszy rozwój kompleksu, m.in. pozyskanie kolejnych projektów międzynarodowych, poszukiwanie nowych możliwości pozyskiwania środków i funduszy przeznaczonych dla zabytków, przeprowadzenie remontu tzw. Restauracji Wschodniej i uruchomienie w niej działalności </w:t>
      </w:r>
      <w:r w:rsidR="006726F0" w:rsidRPr="007714FE">
        <w:rPr>
          <w:rFonts w:ascii="Verdana" w:hAnsi="Verdana"/>
          <w:sz w:val="24"/>
          <w:szCs w:val="24"/>
        </w:rPr>
        <w:lastRenderedPageBreak/>
        <w:t xml:space="preserve">Bistro - komplementarnej do znajdującej się w drugim skrzydle Restauracji Tarasowej, remont </w:t>
      </w:r>
      <w:r w:rsidRPr="007714FE">
        <w:rPr>
          <w:rFonts w:ascii="Verdana" w:hAnsi="Verdana"/>
          <w:sz w:val="24"/>
          <w:szCs w:val="24"/>
        </w:rPr>
        <w:t>„</w:t>
      </w:r>
      <w:r w:rsidR="006726F0" w:rsidRPr="007714FE">
        <w:rPr>
          <w:rFonts w:ascii="Verdana" w:hAnsi="Verdana"/>
          <w:sz w:val="24"/>
          <w:szCs w:val="24"/>
        </w:rPr>
        <w:t>Pawilonu pod Misiami</w:t>
      </w:r>
      <w:r w:rsidRPr="007714FE">
        <w:rPr>
          <w:rFonts w:ascii="Verdana" w:hAnsi="Verdana"/>
          <w:sz w:val="24"/>
          <w:szCs w:val="24"/>
        </w:rPr>
        <w:t>”</w:t>
      </w:r>
      <w:r w:rsidR="006726F0" w:rsidRPr="007714FE">
        <w:rPr>
          <w:rFonts w:ascii="Verdana" w:hAnsi="Verdana"/>
          <w:sz w:val="24"/>
          <w:szCs w:val="24"/>
        </w:rPr>
        <w:t xml:space="preserve"> znajdującego się na terenie kompleksu, a także stanowiącego część osiedla </w:t>
      </w:r>
      <w:proofErr w:type="spellStart"/>
      <w:r w:rsidR="006726F0" w:rsidRPr="007714FE">
        <w:rPr>
          <w:rFonts w:ascii="Verdana" w:hAnsi="Verdana"/>
          <w:sz w:val="24"/>
          <w:szCs w:val="24"/>
        </w:rPr>
        <w:t>WuWa</w:t>
      </w:r>
      <w:proofErr w:type="spellEnd"/>
      <w:r w:rsidR="006726F0" w:rsidRPr="007714FE">
        <w:rPr>
          <w:rFonts w:ascii="Verdana" w:hAnsi="Verdana"/>
          <w:sz w:val="24"/>
          <w:szCs w:val="24"/>
        </w:rPr>
        <w:t>, czy chociażby pozyskanie dużych wydarzeń sportowych i rozrywkowych o charakterze międzynarodowym. Dodać należy, iż kompleks Hali Stulecia to obiekty, które pracują przez cały rok w trybie 24/7, łącznie z wydarzeniami odbywającymi się w dni świąteczne o</w:t>
      </w:r>
      <w:r w:rsidR="00F40A4F" w:rsidRPr="007714FE">
        <w:rPr>
          <w:rFonts w:ascii="Verdana" w:hAnsi="Verdana"/>
          <w:sz w:val="24"/>
          <w:szCs w:val="24"/>
        </w:rPr>
        <w:t xml:space="preserve">raz wolne od pracy, a przygotowywanie obiektów pod poszczególne wydarzenia (montaże, demontaże) odbywa się najczęściej w godzinach nocnych. </w:t>
      </w:r>
    </w:p>
    <w:p w:rsidR="00CF5F46" w:rsidRDefault="00A0054A" w:rsidP="00CF5F46">
      <w:pPr>
        <w:spacing w:after="0" w:line="360" w:lineRule="auto"/>
        <w:rPr>
          <w:rFonts w:ascii="Verdana" w:hAnsi="Verdana"/>
          <w:sz w:val="24"/>
          <w:szCs w:val="24"/>
        </w:rPr>
      </w:pPr>
      <w:r w:rsidRPr="007714FE">
        <w:rPr>
          <w:rStyle w:val="FontStyle17"/>
          <w:rFonts w:ascii="Verdana" w:hAnsi="Verdana"/>
          <w:color w:val="auto"/>
          <w:sz w:val="24"/>
          <w:szCs w:val="24"/>
        </w:rPr>
        <w:t xml:space="preserve">Biorąc pod uwagę przytoczone wyżej wyjątkowe okoliczności dotyczące Spółki, a w szczególności cel jej utworzenia, zakres i </w:t>
      </w:r>
      <w:r w:rsidRPr="007714FE">
        <w:rPr>
          <w:rFonts w:ascii="Verdana" w:hAnsi="Verdana"/>
          <w:sz w:val="24"/>
          <w:szCs w:val="24"/>
        </w:rPr>
        <w:t xml:space="preserve">faktyczny rozmiar zadań Spółki,  uzasadnione jest ustalenie wynagrodzenia Prezesa Zarządu w uchwale Zgromadzenia Wspólników w wyższej wysokości niż określona zgodnie z art. 4 ust. 2 ustawy z dnia 9 czerwca 2016 r. o zasadach kształtowania wynagrodzeń osób kierujących niektórymi spółkami. </w:t>
      </w:r>
    </w:p>
    <w:p w:rsidR="00CF5F46" w:rsidRDefault="00CF5F46" w:rsidP="00CF5F46">
      <w:p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dokument podpisał:</w:t>
      </w:r>
    </w:p>
    <w:p w:rsidR="009A4A92" w:rsidRPr="007714FE" w:rsidRDefault="009A4A92" w:rsidP="00CF5F46">
      <w:pPr>
        <w:spacing w:after="0" w:line="360" w:lineRule="auto"/>
        <w:rPr>
          <w:rFonts w:ascii="Verdana" w:hAnsi="Verdana"/>
          <w:color w:val="000000"/>
          <w:sz w:val="24"/>
          <w:szCs w:val="24"/>
          <w:shd w:val="clear" w:color="auto" w:fill="FAFAFA"/>
        </w:rPr>
      </w:pPr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Prezydent Wrocławia Jacek </w:t>
      </w:r>
      <w:proofErr w:type="spellStart"/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>Sutryk</w:t>
      </w:r>
      <w:proofErr w:type="spellEnd"/>
      <w:r w:rsidRPr="007714FE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</w:t>
      </w:r>
      <w:bookmarkStart w:id="0" w:name="_GoBack"/>
      <w:bookmarkEnd w:id="0"/>
    </w:p>
    <w:sectPr w:rsidR="009A4A92" w:rsidRPr="007714FE" w:rsidSect="006B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1AED"/>
    <w:multiLevelType w:val="hybridMultilevel"/>
    <w:tmpl w:val="4934B28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D63351"/>
    <w:multiLevelType w:val="hybridMultilevel"/>
    <w:tmpl w:val="E94EE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5B93"/>
    <w:rsid w:val="00010A61"/>
    <w:rsid w:val="000212D8"/>
    <w:rsid w:val="0005177A"/>
    <w:rsid w:val="0005686F"/>
    <w:rsid w:val="0007162E"/>
    <w:rsid w:val="00084C97"/>
    <w:rsid w:val="000A0DB7"/>
    <w:rsid w:val="000B259D"/>
    <w:rsid w:val="000C4CFB"/>
    <w:rsid w:val="000D0F50"/>
    <w:rsid w:val="000D356C"/>
    <w:rsid w:val="000E1574"/>
    <w:rsid w:val="0010048E"/>
    <w:rsid w:val="001026F5"/>
    <w:rsid w:val="00104C45"/>
    <w:rsid w:val="00106011"/>
    <w:rsid w:val="001106C6"/>
    <w:rsid w:val="001172F1"/>
    <w:rsid w:val="00120CC3"/>
    <w:rsid w:val="00123DDE"/>
    <w:rsid w:val="0013325B"/>
    <w:rsid w:val="00134431"/>
    <w:rsid w:val="001376EB"/>
    <w:rsid w:val="00161421"/>
    <w:rsid w:val="0016465E"/>
    <w:rsid w:val="001715A2"/>
    <w:rsid w:val="00185CDA"/>
    <w:rsid w:val="00186E54"/>
    <w:rsid w:val="001902CD"/>
    <w:rsid w:val="001A3659"/>
    <w:rsid w:val="001B6E4A"/>
    <w:rsid w:val="001C39A7"/>
    <w:rsid w:val="001C5747"/>
    <w:rsid w:val="001D3FEE"/>
    <w:rsid w:val="001E08AD"/>
    <w:rsid w:val="001E45EB"/>
    <w:rsid w:val="001E59DA"/>
    <w:rsid w:val="001F378B"/>
    <w:rsid w:val="002029D3"/>
    <w:rsid w:val="00203B26"/>
    <w:rsid w:val="00206E36"/>
    <w:rsid w:val="00212428"/>
    <w:rsid w:val="002154F9"/>
    <w:rsid w:val="00217E1E"/>
    <w:rsid w:val="0022652B"/>
    <w:rsid w:val="00234551"/>
    <w:rsid w:val="0025263E"/>
    <w:rsid w:val="00280771"/>
    <w:rsid w:val="00283E00"/>
    <w:rsid w:val="00291556"/>
    <w:rsid w:val="00297DC1"/>
    <w:rsid w:val="002A0729"/>
    <w:rsid w:val="002B0218"/>
    <w:rsid w:val="002B3951"/>
    <w:rsid w:val="002B7C37"/>
    <w:rsid w:val="002C4CB5"/>
    <w:rsid w:val="002E3B07"/>
    <w:rsid w:val="002E6BCE"/>
    <w:rsid w:val="002E7C1F"/>
    <w:rsid w:val="002F56E9"/>
    <w:rsid w:val="00303519"/>
    <w:rsid w:val="0031338A"/>
    <w:rsid w:val="00314101"/>
    <w:rsid w:val="00327919"/>
    <w:rsid w:val="00343D61"/>
    <w:rsid w:val="003459F9"/>
    <w:rsid w:val="003462AE"/>
    <w:rsid w:val="00352DDC"/>
    <w:rsid w:val="00362BEF"/>
    <w:rsid w:val="00370F7E"/>
    <w:rsid w:val="00393E17"/>
    <w:rsid w:val="00396F6A"/>
    <w:rsid w:val="003A05DA"/>
    <w:rsid w:val="003A6CE2"/>
    <w:rsid w:val="003B7160"/>
    <w:rsid w:val="003D51FE"/>
    <w:rsid w:val="003D6AF3"/>
    <w:rsid w:val="003E1BFD"/>
    <w:rsid w:val="003E3E60"/>
    <w:rsid w:val="003E5132"/>
    <w:rsid w:val="003F0E49"/>
    <w:rsid w:val="00405ECD"/>
    <w:rsid w:val="00422ADB"/>
    <w:rsid w:val="00426FCF"/>
    <w:rsid w:val="0042767C"/>
    <w:rsid w:val="004322DB"/>
    <w:rsid w:val="004361E2"/>
    <w:rsid w:val="00446C74"/>
    <w:rsid w:val="00454A59"/>
    <w:rsid w:val="00454EA0"/>
    <w:rsid w:val="00475DBA"/>
    <w:rsid w:val="004B7E47"/>
    <w:rsid w:val="004C0F5B"/>
    <w:rsid w:val="004D361A"/>
    <w:rsid w:val="004E5A2F"/>
    <w:rsid w:val="0050103F"/>
    <w:rsid w:val="00511105"/>
    <w:rsid w:val="005260AB"/>
    <w:rsid w:val="005268A0"/>
    <w:rsid w:val="00534305"/>
    <w:rsid w:val="005375A0"/>
    <w:rsid w:val="0056420C"/>
    <w:rsid w:val="00590876"/>
    <w:rsid w:val="005A0BDE"/>
    <w:rsid w:val="005A175B"/>
    <w:rsid w:val="005A44D3"/>
    <w:rsid w:val="005B0F56"/>
    <w:rsid w:val="005B2A4E"/>
    <w:rsid w:val="005D4991"/>
    <w:rsid w:val="005D60D8"/>
    <w:rsid w:val="005E40A2"/>
    <w:rsid w:val="005F199B"/>
    <w:rsid w:val="006250D8"/>
    <w:rsid w:val="00641A9A"/>
    <w:rsid w:val="00642CB2"/>
    <w:rsid w:val="00647B56"/>
    <w:rsid w:val="00660303"/>
    <w:rsid w:val="00665695"/>
    <w:rsid w:val="00670832"/>
    <w:rsid w:val="006726F0"/>
    <w:rsid w:val="006759CA"/>
    <w:rsid w:val="00682B67"/>
    <w:rsid w:val="00683419"/>
    <w:rsid w:val="006A4D50"/>
    <w:rsid w:val="006B2E53"/>
    <w:rsid w:val="006C4839"/>
    <w:rsid w:val="006D1D61"/>
    <w:rsid w:val="006D5C42"/>
    <w:rsid w:val="006E0A0A"/>
    <w:rsid w:val="006F23C4"/>
    <w:rsid w:val="007031D6"/>
    <w:rsid w:val="00705820"/>
    <w:rsid w:val="0071455E"/>
    <w:rsid w:val="007332AF"/>
    <w:rsid w:val="00736731"/>
    <w:rsid w:val="00742C3A"/>
    <w:rsid w:val="00750DD0"/>
    <w:rsid w:val="00762BC6"/>
    <w:rsid w:val="007671F3"/>
    <w:rsid w:val="00770A50"/>
    <w:rsid w:val="007714FE"/>
    <w:rsid w:val="007722F7"/>
    <w:rsid w:val="00773CD3"/>
    <w:rsid w:val="007B2FD0"/>
    <w:rsid w:val="007B5465"/>
    <w:rsid w:val="007B7EF2"/>
    <w:rsid w:val="007C6B1C"/>
    <w:rsid w:val="007C7179"/>
    <w:rsid w:val="007E3977"/>
    <w:rsid w:val="007F3340"/>
    <w:rsid w:val="00815526"/>
    <w:rsid w:val="0081697C"/>
    <w:rsid w:val="0082594C"/>
    <w:rsid w:val="00831C42"/>
    <w:rsid w:val="0083354F"/>
    <w:rsid w:val="00833629"/>
    <w:rsid w:val="0083602E"/>
    <w:rsid w:val="00851E36"/>
    <w:rsid w:val="00852C77"/>
    <w:rsid w:val="0086263F"/>
    <w:rsid w:val="008701B6"/>
    <w:rsid w:val="0087305E"/>
    <w:rsid w:val="00876F1D"/>
    <w:rsid w:val="008777E3"/>
    <w:rsid w:val="00881165"/>
    <w:rsid w:val="00881358"/>
    <w:rsid w:val="008A63F7"/>
    <w:rsid w:val="008B6E9E"/>
    <w:rsid w:val="008C125C"/>
    <w:rsid w:val="008D0D0E"/>
    <w:rsid w:val="008D29C0"/>
    <w:rsid w:val="008E436F"/>
    <w:rsid w:val="008F03F6"/>
    <w:rsid w:val="00900F4B"/>
    <w:rsid w:val="009055F6"/>
    <w:rsid w:val="00921ABB"/>
    <w:rsid w:val="00925348"/>
    <w:rsid w:val="00925DD7"/>
    <w:rsid w:val="00934AFC"/>
    <w:rsid w:val="00940643"/>
    <w:rsid w:val="0095175F"/>
    <w:rsid w:val="00951B43"/>
    <w:rsid w:val="00960BFA"/>
    <w:rsid w:val="00963583"/>
    <w:rsid w:val="0098167A"/>
    <w:rsid w:val="00984E24"/>
    <w:rsid w:val="0099798A"/>
    <w:rsid w:val="009A0FB9"/>
    <w:rsid w:val="009A18F9"/>
    <w:rsid w:val="009A2562"/>
    <w:rsid w:val="009A4049"/>
    <w:rsid w:val="009A4A92"/>
    <w:rsid w:val="009A53FB"/>
    <w:rsid w:val="009A55EE"/>
    <w:rsid w:val="009F24F1"/>
    <w:rsid w:val="00A0054A"/>
    <w:rsid w:val="00A04288"/>
    <w:rsid w:val="00A11C72"/>
    <w:rsid w:val="00A17FFD"/>
    <w:rsid w:val="00A449F7"/>
    <w:rsid w:val="00A5527F"/>
    <w:rsid w:val="00A6103C"/>
    <w:rsid w:val="00A71B81"/>
    <w:rsid w:val="00A7267B"/>
    <w:rsid w:val="00A75ACD"/>
    <w:rsid w:val="00A838D8"/>
    <w:rsid w:val="00A859EB"/>
    <w:rsid w:val="00A919EB"/>
    <w:rsid w:val="00A91C89"/>
    <w:rsid w:val="00A93645"/>
    <w:rsid w:val="00AA3321"/>
    <w:rsid w:val="00AA5F46"/>
    <w:rsid w:val="00AB1F8B"/>
    <w:rsid w:val="00AD749C"/>
    <w:rsid w:val="00AE3EBA"/>
    <w:rsid w:val="00AF2F74"/>
    <w:rsid w:val="00B033E9"/>
    <w:rsid w:val="00B152E6"/>
    <w:rsid w:val="00B22A87"/>
    <w:rsid w:val="00B22D2E"/>
    <w:rsid w:val="00B24AA3"/>
    <w:rsid w:val="00B26130"/>
    <w:rsid w:val="00B3281D"/>
    <w:rsid w:val="00B33F8D"/>
    <w:rsid w:val="00B35F3B"/>
    <w:rsid w:val="00B4001E"/>
    <w:rsid w:val="00B421C7"/>
    <w:rsid w:val="00B42214"/>
    <w:rsid w:val="00B426F5"/>
    <w:rsid w:val="00B476EE"/>
    <w:rsid w:val="00B70DE2"/>
    <w:rsid w:val="00B71E1B"/>
    <w:rsid w:val="00B83B4B"/>
    <w:rsid w:val="00B858C2"/>
    <w:rsid w:val="00BA105C"/>
    <w:rsid w:val="00BB56C5"/>
    <w:rsid w:val="00BC1C37"/>
    <w:rsid w:val="00BC6564"/>
    <w:rsid w:val="00BC6F48"/>
    <w:rsid w:val="00BD444D"/>
    <w:rsid w:val="00BD7CF1"/>
    <w:rsid w:val="00BE770C"/>
    <w:rsid w:val="00BF350F"/>
    <w:rsid w:val="00BF5CA5"/>
    <w:rsid w:val="00C157E8"/>
    <w:rsid w:val="00C16E3C"/>
    <w:rsid w:val="00C23049"/>
    <w:rsid w:val="00C45B35"/>
    <w:rsid w:val="00C60B9D"/>
    <w:rsid w:val="00C63DD3"/>
    <w:rsid w:val="00C7090D"/>
    <w:rsid w:val="00CA1143"/>
    <w:rsid w:val="00CA1B18"/>
    <w:rsid w:val="00CA3FCB"/>
    <w:rsid w:val="00CA438C"/>
    <w:rsid w:val="00CB0340"/>
    <w:rsid w:val="00CB3C14"/>
    <w:rsid w:val="00CC0E2A"/>
    <w:rsid w:val="00CC7594"/>
    <w:rsid w:val="00CD6576"/>
    <w:rsid w:val="00CF5BDE"/>
    <w:rsid w:val="00CF5F46"/>
    <w:rsid w:val="00CF7D38"/>
    <w:rsid w:val="00D14BDD"/>
    <w:rsid w:val="00D15B93"/>
    <w:rsid w:val="00D21A7B"/>
    <w:rsid w:val="00D240B2"/>
    <w:rsid w:val="00D33ABD"/>
    <w:rsid w:val="00D35C53"/>
    <w:rsid w:val="00D376CF"/>
    <w:rsid w:val="00D46F3F"/>
    <w:rsid w:val="00D51EFD"/>
    <w:rsid w:val="00D5449A"/>
    <w:rsid w:val="00D64A16"/>
    <w:rsid w:val="00D742FF"/>
    <w:rsid w:val="00D83D35"/>
    <w:rsid w:val="00D97CC5"/>
    <w:rsid w:val="00DA0566"/>
    <w:rsid w:val="00DA1B7F"/>
    <w:rsid w:val="00DA42B3"/>
    <w:rsid w:val="00DB42EA"/>
    <w:rsid w:val="00DB6295"/>
    <w:rsid w:val="00DB77F7"/>
    <w:rsid w:val="00DB7F86"/>
    <w:rsid w:val="00DC2E00"/>
    <w:rsid w:val="00DC7264"/>
    <w:rsid w:val="00DD0FDC"/>
    <w:rsid w:val="00DE6658"/>
    <w:rsid w:val="00DF22F2"/>
    <w:rsid w:val="00DF653B"/>
    <w:rsid w:val="00E010DD"/>
    <w:rsid w:val="00E0361E"/>
    <w:rsid w:val="00E2103F"/>
    <w:rsid w:val="00E314B2"/>
    <w:rsid w:val="00E37BE5"/>
    <w:rsid w:val="00E439A6"/>
    <w:rsid w:val="00E65D7A"/>
    <w:rsid w:val="00E959C7"/>
    <w:rsid w:val="00EA37AA"/>
    <w:rsid w:val="00EB1390"/>
    <w:rsid w:val="00EB1FDA"/>
    <w:rsid w:val="00EC1DDE"/>
    <w:rsid w:val="00EC2EE7"/>
    <w:rsid w:val="00ED2C05"/>
    <w:rsid w:val="00ED3F48"/>
    <w:rsid w:val="00EF032C"/>
    <w:rsid w:val="00EF70A9"/>
    <w:rsid w:val="00EF70FA"/>
    <w:rsid w:val="00EF7599"/>
    <w:rsid w:val="00F03872"/>
    <w:rsid w:val="00F12205"/>
    <w:rsid w:val="00F13513"/>
    <w:rsid w:val="00F25F85"/>
    <w:rsid w:val="00F33886"/>
    <w:rsid w:val="00F40A4F"/>
    <w:rsid w:val="00F53490"/>
    <w:rsid w:val="00F6048E"/>
    <w:rsid w:val="00F66F67"/>
    <w:rsid w:val="00F851EA"/>
    <w:rsid w:val="00F902B1"/>
    <w:rsid w:val="00F96ABC"/>
    <w:rsid w:val="00F96C40"/>
    <w:rsid w:val="00F97F5D"/>
    <w:rsid w:val="00FA0236"/>
    <w:rsid w:val="00FA5180"/>
    <w:rsid w:val="00FB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C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DD3"/>
    <w:pPr>
      <w:ind w:left="720"/>
      <w:contextualSpacing/>
    </w:pPr>
  </w:style>
  <w:style w:type="paragraph" w:styleId="Poprawka">
    <w:name w:val="Revision"/>
    <w:hidden/>
    <w:uiPriority w:val="99"/>
    <w:semiHidden/>
    <w:rsid w:val="00D5449A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709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7">
    <w:name w:val="Font Style17"/>
    <w:uiPriority w:val="99"/>
    <w:rsid w:val="00A0054A"/>
    <w:rPr>
      <w:rFonts w:ascii="Garamond" w:hAnsi="Garamond" w:hint="default"/>
      <w:color w:val="000000"/>
      <w:sz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0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5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5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5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54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5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2440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Grudniewski</dc:creator>
  <cp:lastModifiedBy>umelja04</cp:lastModifiedBy>
  <cp:revision>8</cp:revision>
  <dcterms:created xsi:type="dcterms:W3CDTF">2023-01-19T13:12:00Z</dcterms:created>
  <dcterms:modified xsi:type="dcterms:W3CDTF">2023-01-30T10:51:00Z</dcterms:modified>
</cp:coreProperties>
</file>