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F91" w:rsidRPr="00FD268B" w:rsidRDefault="00A37F91" w:rsidP="00BB66C4">
      <w:pPr>
        <w:spacing w:line="360" w:lineRule="auto"/>
        <w:rPr>
          <w:rFonts w:cstheme="minorHAnsi"/>
          <w:i/>
          <w:szCs w:val="24"/>
        </w:rPr>
      </w:pPr>
      <w:r w:rsidRPr="00FD268B">
        <w:rPr>
          <w:rFonts w:cstheme="minorHAnsi"/>
          <w:i/>
          <w:szCs w:val="24"/>
        </w:rPr>
        <w:t>Załącznik nr 2</w:t>
      </w:r>
      <w:r w:rsidRPr="00FD268B">
        <w:rPr>
          <w:rFonts w:cstheme="minorHAnsi"/>
          <w:b/>
          <w:i/>
          <w:szCs w:val="24"/>
        </w:rPr>
        <w:t xml:space="preserve"> </w:t>
      </w:r>
      <w:r w:rsidRPr="00FD268B">
        <w:rPr>
          <w:rFonts w:cstheme="minorHAnsi"/>
          <w:i/>
          <w:szCs w:val="24"/>
        </w:rPr>
        <w:t xml:space="preserve">do otwartego konkursu ofert z dnia </w:t>
      </w:r>
      <w:r w:rsidR="00A605A9" w:rsidRPr="00FD268B">
        <w:rPr>
          <w:rFonts w:cstheme="minorHAnsi"/>
          <w:i/>
          <w:szCs w:val="24"/>
        </w:rPr>
        <w:t>17.11</w:t>
      </w:r>
      <w:r w:rsidRPr="00FD268B">
        <w:rPr>
          <w:rFonts w:cstheme="minorHAnsi"/>
          <w:i/>
          <w:szCs w:val="24"/>
        </w:rPr>
        <w:t>.2022 r.</w:t>
      </w:r>
      <w:r w:rsidRPr="00FD268B">
        <w:rPr>
          <w:rFonts w:cstheme="minorHAnsi"/>
          <w:b/>
          <w:i/>
          <w:szCs w:val="24"/>
        </w:rPr>
        <w:t xml:space="preserve"> </w:t>
      </w:r>
      <w:r w:rsidRPr="00FD268B">
        <w:rPr>
          <w:rFonts w:cstheme="minorHAnsi"/>
          <w:i/>
          <w:szCs w:val="24"/>
        </w:rPr>
        <w:t xml:space="preserve"> na wybór realizatorów programu polityki zdrowotnej pn. „Program leczenia niepłodności metodą zapłodnienia pozaustrojowego dla mieszkańców Wrocławia”. </w:t>
      </w:r>
      <w:r w:rsidRPr="00FD268B">
        <w:rPr>
          <w:rFonts w:cstheme="minorHAnsi"/>
          <w:b/>
          <w:i/>
          <w:szCs w:val="24"/>
        </w:rPr>
        <w:t xml:space="preserve">– </w:t>
      </w:r>
      <w:r w:rsidRPr="00FD268B">
        <w:rPr>
          <w:rFonts w:cstheme="minorHAnsi"/>
          <w:i/>
          <w:szCs w:val="24"/>
        </w:rPr>
        <w:t xml:space="preserve">Szczegółowe warunki konkursu ofert.  </w:t>
      </w:r>
    </w:p>
    <w:p w:rsidR="008E3D65" w:rsidRPr="00BB66C4" w:rsidRDefault="008E3D65" w:rsidP="00BB66C4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BB66C4">
        <w:rPr>
          <w:rFonts w:cstheme="minorHAnsi"/>
          <w:b/>
          <w:sz w:val="24"/>
          <w:szCs w:val="24"/>
        </w:rPr>
        <w:t>I</w:t>
      </w:r>
    </w:p>
    <w:p w:rsidR="008E3D65" w:rsidRPr="00BB66C4" w:rsidRDefault="008E3D65" w:rsidP="00BB66C4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>Konkurs ofert dotyczy wyboru realizatorów programu polityki zdrowotnej pn. „Program leczenia niepłodności metodą zapłodnienia pozaustrojowego dla mieszkańców miasta Wrocławia”, zwany dalej Programem.</w:t>
      </w:r>
    </w:p>
    <w:p w:rsidR="008E3D65" w:rsidRPr="00BB66C4" w:rsidRDefault="008E3D65" w:rsidP="00BB66C4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>Program stanowi załącznik do Uchwały nr XV/430/19 Rady Miejskiej Wrocławia z dnia 21 listopada 2019 r. i określa:</w:t>
      </w:r>
    </w:p>
    <w:p w:rsidR="008E3D65" w:rsidRPr="00BB66C4" w:rsidRDefault="008E3D65" w:rsidP="00BB66C4">
      <w:pPr>
        <w:pStyle w:val="Akapitzlist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>cele Programu,</w:t>
      </w:r>
    </w:p>
    <w:p w:rsidR="008E3D65" w:rsidRPr="00BB66C4" w:rsidRDefault="008E3D65" w:rsidP="00BB66C4">
      <w:pPr>
        <w:pStyle w:val="Akapitzlist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 xml:space="preserve">planowane interwencje medyczne, </w:t>
      </w:r>
    </w:p>
    <w:p w:rsidR="008E3D65" w:rsidRPr="00BB66C4" w:rsidRDefault="008E3D65" w:rsidP="00BB66C4">
      <w:pPr>
        <w:pStyle w:val="Akapitzlist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 xml:space="preserve">kryteria kwalifikacji par do udziału w Programie, </w:t>
      </w:r>
    </w:p>
    <w:p w:rsidR="008E3D65" w:rsidRPr="00BB66C4" w:rsidRDefault="008E3D65" w:rsidP="00BB66C4">
      <w:pPr>
        <w:pStyle w:val="Akapitzlist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>zasady udzielania świadczeń medycznych,</w:t>
      </w:r>
    </w:p>
    <w:p w:rsidR="008E3D65" w:rsidRPr="00BB66C4" w:rsidRDefault="008E3D65" w:rsidP="00BB66C4">
      <w:pPr>
        <w:pStyle w:val="Akapitzlist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>zasady finansowania,</w:t>
      </w:r>
    </w:p>
    <w:p w:rsidR="008E3D65" w:rsidRPr="00BB66C4" w:rsidRDefault="008E3D65" w:rsidP="00BB66C4">
      <w:pPr>
        <w:pStyle w:val="Akapitzlist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>oczekiwane efekty i mierniki efektywności,</w:t>
      </w:r>
    </w:p>
    <w:p w:rsidR="008E3D65" w:rsidRPr="00BB66C4" w:rsidRDefault="008E3D65" w:rsidP="00BB66C4">
      <w:pPr>
        <w:pStyle w:val="Akapitzlist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>monitorowanie i ewaluację.</w:t>
      </w:r>
    </w:p>
    <w:p w:rsidR="008E3D65" w:rsidRPr="00BB66C4" w:rsidRDefault="008E3D65" w:rsidP="00BB66C4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BB66C4">
        <w:rPr>
          <w:rFonts w:cstheme="minorHAnsi"/>
          <w:b/>
          <w:sz w:val="24"/>
          <w:szCs w:val="24"/>
        </w:rPr>
        <w:t>II</w:t>
      </w:r>
    </w:p>
    <w:p w:rsidR="008E3D65" w:rsidRPr="00BB66C4" w:rsidRDefault="008E3D65" w:rsidP="00BB66C4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 xml:space="preserve">Rejestrację do Programu prowadzą wybrani w konkursie ofert Realizatorzy. </w:t>
      </w:r>
    </w:p>
    <w:p w:rsidR="00466484" w:rsidRPr="00BB66C4" w:rsidRDefault="008E3D65" w:rsidP="00BB66C4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>Każda osoba z pary małżeńskiej lub partnerskiej musi złożyć następ</w:t>
      </w:r>
      <w:r w:rsidR="00466484" w:rsidRPr="00BB66C4">
        <w:rPr>
          <w:rFonts w:cstheme="minorHAnsi"/>
          <w:sz w:val="24"/>
          <w:szCs w:val="24"/>
        </w:rPr>
        <w:t>ujące dokumenty:</w:t>
      </w:r>
    </w:p>
    <w:p w:rsidR="00466484" w:rsidRPr="00BB66C4" w:rsidRDefault="00466484" w:rsidP="00BB66C4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>zgodę na udział w Programie,</w:t>
      </w:r>
    </w:p>
    <w:p w:rsidR="00466484" w:rsidRPr="00BB66C4" w:rsidRDefault="00466484" w:rsidP="00BB66C4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 xml:space="preserve">oświadczenie potwierdzające udział w Programie po raz pierwszy, </w:t>
      </w:r>
    </w:p>
    <w:p w:rsidR="00466484" w:rsidRPr="00BB66C4" w:rsidRDefault="00466484" w:rsidP="00BB66C4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>oświadczenie o miejscu zamieszkania we Wrocławiu,</w:t>
      </w:r>
    </w:p>
    <w:p w:rsidR="008E3D65" w:rsidRPr="00BB66C4" w:rsidRDefault="00466484" w:rsidP="00BB66C4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>kserokopię pierwszej strony zeznania podatkowego za 202</w:t>
      </w:r>
      <w:r w:rsidR="00FF5706">
        <w:rPr>
          <w:rFonts w:cstheme="minorHAnsi"/>
          <w:sz w:val="24"/>
          <w:szCs w:val="24"/>
        </w:rPr>
        <w:t>2</w:t>
      </w:r>
      <w:r w:rsidRPr="00BB66C4">
        <w:rPr>
          <w:rFonts w:cstheme="minorHAnsi"/>
          <w:sz w:val="24"/>
          <w:szCs w:val="24"/>
        </w:rPr>
        <w:t xml:space="preserve"> r. przez każdego z beneficjentów tworzących parę, którzy do dnia złożenia dokumentów rozliczyli się z Urzędem Skarbowym </w:t>
      </w:r>
      <w:r w:rsidR="008E3D65" w:rsidRPr="00BB66C4">
        <w:rPr>
          <w:rFonts w:cstheme="minorHAnsi"/>
          <w:sz w:val="24"/>
          <w:szCs w:val="24"/>
        </w:rPr>
        <w:t xml:space="preserve"> </w:t>
      </w:r>
      <w:r w:rsidRPr="00BB66C4">
        <w:rPr>
          <w:rFonts w:cstheme="minorHAnsi"/>
          <w:sz w:val="24"/>
          <w:szCs w:val="24"/>
        </w:rPr>
        <w:t xml:space="preserve">( oryginał zeznania do wglądu). Osoby, które się nie zdążyły się rozliczyć do dnia kwalifikacji do Programu składają kserokopię pierwszej strony PIT-11, </w:t>
      </w:r>
    </w:p>
    <w:p w:rsidR="00466484" w:rsidRPr="00BB66C4" w:rsidRDefault="00466484" w:rsidP="00BB66C4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 xml:space="preserve">oświadczenie o zgodzie na przetwarzanie danych osobowych na potrzeby realizacji Programu, </w:t>
      </w:r>
    </w:p>
    <w:p w:rsidR="00466484" w:rsidRPr="00BB66C4" w:rsidRDefault="00466484" w:rsidP="00BB66C4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lastRenderedPageBreak/>
        <w:t>oświadczenie o pozostawaniu w związku małżeńskim lub partnerskim (zgodnie z definicją dawstwa partnerskiego określoną w art.2 ust. 1 pkt. 8 ustawy z dnia 25 czerwca 2015 r. o leczeniu niepłodności),</w:t>
      </w:r>
    </w:p>
    <w:p w:rsidR="00466484" w:rsidRPr="00BB66C4" w:rsidRDefault="00466484" w:rsidP="00BB66C4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 xml:space="preserve">innych, w tym medycznych wymaganych przez Realizatora Programu. </w:t>
      </w:r>
    </w:p>
    <w:p w:rsidR="00466484" w:rsidRPr="00BB66C4" w:rsidRDefault="00466484" w:rsidP="00BB66C4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 xml:space="preserve">Kwalifikację do Programu prowadzi Realizator Programu zgodnie z wytycznymi Polskiego Towarzystwa Rozrodu i Embriologii,  Polskiego Towarzystwa Ginekologicznego  oraz zapisami ustawy z dnia 25 czerwca 2015 r. o leczeniu niepłodności (Dz.U.2020 poz.442 </w:t>
      </w:r>
      <w:proofErr w:type="spellStart"/>
      <w:r w:rsidRPr="00BB66C4">
        <w:rPr>
          <w:rFonts w:cstheme="minorHAnsi"/>
          <w:sz w:val="24"/>
          <w:szCs w:val="24"/>
        </w:rPr>
        <w:t>t.j</w:t>
      </w:r>
      <w:proofErr w:type="spellEnd"/>
      <w:r w:rsidRPr="00BB66C4">
        <w:rPr>
          <w:rFonts w:cstheme="minorHAnsi"/>
          <w:sz w:val="24"/>
          <w:szCs w:val="24"/>
        </w:rPr>
        <w:t>.</w:t>
      </w:r>
      <w:r w:rsidR="005A596B" w:rsidRPr="00BB66C4">
        <w:rPr>
          <w:rFonts w:cstheme="minorHAnsi"/>
          <w:sz w:val="24"/>
          <w:szCs w:val="24"/>
        </w:rPr>
        <w:t xml:space="preserve">) a także na podstawie złożonych dokumentów. </w:t>
      </w:r>
    </w:p>
    <w:p w:rsidR="00466484" w:rsidRPr="00BB66C4" w:rsidRDefault="00466484" w:rsidP="00BB66C4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>Do Programu zostaną zakwalifikowane pary spełniające poniższe kryteria:</w:t>
      </w:r>
    </w:p>
    <w:p w:rsidR="00466484" w:rsidRPr="00BB66C4" w:rsidRDefault="00466484" w:rsidP="00BB66C4">
      <w:pPr>
        <w:pStyle w:val="Akapitzlist"/>
        <w:numPr>
          <w:ilvl w:val="0"/>
          <w:numId w:val="14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 xml:space="preserve">stwierdzona </w:t>
      </w:r>
      <w:r w:rsidR="005A596B" w:rsidRPr="00BB66C4">
        <w:rPr>
          <w:rFonts w:cstheme="minorHAnsi"/>
          <w:sz w:val="24"/>
          <w:szCs w:val="24"/>
        </w:rPr>
        <w:t xml:space="preserve">została </w:t>
      </w:r>
      <w:r w:rsidRPr="00BB66C4">
        <w:rPr>
          <w:rFonts w:cstheme="minorHAnsi"/>
          <w:sz w:val="24"/>
          <w:szCs w:val="24"/>
        </w:rPr>
        <w:t xml:space="preserve">przyczyna niepłodności lub nieskutecznego leczenia niepłodności w okresie 12 miesięcy poprzedzających zgłoszenie do Programu, </w:t>
      </w:r>
    </w:p>
    <w:p w:rsidR="00466484" w:rsidRPr="00BB66C4" w:rsidRDefault="00466484" w:rsidP="00BB66C4">
      <w:pPr>
        <w:pStyle w:val="Akapitzlist"/>
        <w:numPr>
          <w:ilvl w:val="0"/>
          <w:numId w:val="14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 xml:space="preserve">w dniu zgłoszenie do Programu kobieta nie ukończyła 40-tego roku życia. Dopuszcza się możliwość przeprowadzenia procedury u pacjentek w wieku do 42 lat ( wg rocznika urodzenia) pod warunkiem dobrze rokującej rezerwy jajnikowej, potwierdzonej badaniem AMH ( powyżej 0.7 </w:t>
      </w:r>
      <w:proofErr w:type="spellStart"/>
      <w:r w:rsidRPr="00BB66C4">
        <w:rPr>
          <w:rFonts w:cstheme="minorHAnsi"/>
          <w:sz w:val="24"/>
          <w:szCs w:val="24"/>
        </w:rPr>
        <w:t>ng</w:t>
      </w:r>
      <w:proofErr w:type="spellEnd"/>
      <w:r w:rsidRPr="00BB66C4">
        <w:rPr>
          <w:rFonts w:cstheme="minorHAnsi"/>
          <w:sz w:val="24"/>
          <w:szCs w:val="24"/>
        </w:rPr>
        <w:t>/</w:t>
      </w:r>
      <w:proofErr w:type="spellStart"/>
      <w:r w:rsidRPr="00BB66C4">
        <w:rPr>
          <w:rFonts w:cstheme="minorHAnsi"/>
          <w:sz w:val="24"/>
          <w:szCs w:val="24"/>
        </w:rPr>
        <w:t>mL</w:t>
      </w:r>
      <w:proofErr w:type="spellEnd"/>
      <w:r w:rsidRPr="00BB66C4">
        <w:rPr>
          <w:rFonts w:cstheme="minorHAnsi"/>
          <w:sz w:val="24"/>
          <w:szCs w:val="24"/>
        </w:rPr>
        <w:t xml:space="preserve">) lub w przypadku par realizujących procedurę zapłodnienia w ramach dawstwa innego niż partnerskie (dawstwo żeńskich komórek rozrodczych) </w:t>
      </w:r>
      <w:proofErr w:type="spellStart"/>
      <w:r w:rsidRPr="00BB66C4">
        <w:rPr>
          <w:rFonts w:cstheme="minorHAnsi"/>
          <w:sz w:val="24"/>
          <w:szCs w:val="24"/>
        </w:rPr>
        <w:t>ub</w:t>
      </w:r>
      <w:proofErr w:type="spellEnd"/>
      <w:r w:rsidRPr="00BB66C4">
        <w:rPr>
          <w:rFonts w:cstheme="minorHAnsi"/>
          <w:sz w:val="24"/>
          <w:szCs w:val="24"/>
        </w:rPr>
        <w:t xml:space="preserve"> procedury adopcji zarodka, </w:t>
      </w:r>
    </w:p>
    <w:p w:rsidR="00466484" w:rsidRPr="00BB66C4" w:rsidRDefault="00466484" w:rsidP="00BB66C4">
      <w:pPr>
        <w:pStyle w:val="Akapitzlist"/>
        <w:numPr>
          <w:ilvl w:val="0"/>
          <w:numId w:val="14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 xml:space="preserve">w dniu kwalifikacji </w:t>
      </w:r>
      <w:r w:rsidR="005A596B" w:rsidRPr="00BB66C4">
        <w:rPr>
          <w:rFonts w:cstheme="minorHAnsi"/>
          <w:sz w:val="24"/>
          <w:szCs w:val="24"/>
        </w:rPr>
        <w:t xml:space="preserve">do Programu oboje są mieszkańcami Wrocławia i rozliczają podatek dochodowy w Urzędach Skarbowych we Wrocławiu ( z wyłączeniem I Urzędu Skarbowego przy ul. Klimasa 34, 50-515 Wrocław) oraz złożyli wymagane dokumenty. </w:t>
      </w:r>
    </w:p>
    <w:p w:rsidR="005A596B" w:rsidRPr="00BB66C4" w:rsidRDefault="005A596B" w:rsidP="00BB66C4">
      <w:pPr>
        <w:pStyle w:val="Akapitzlist"/>
        <w:spacing w:line="360" w:lineRule="auto"/>
        <w:jc w:val="center"/>
        <w:rPr>
          <w:rFonts w:cstheme="minorHAnsi"/>
          <w:b/>
          <w:sz w:val="24"/>
          <w:szCs w:val="24"/>
        </w:rPr>
      </w:pPr>
      <w:r w:rsidRPr="00BB66C4">
        <w:rPr>
          <w:rFonts w:cstheme="minorHAnsi"/>
          <w:b/>
          <w:sz w:val="24"/>
          <w:szCs w:val="24"/>
        </w:rPr>
        <w:t>III</w:t>
      </w:r>
    </w:p>
    <w:p w:rsidR="005A596B" w:rsidRPr="00BB66C4" w:rsidRDefault="005A596B" w:rsidP="00BB66C4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>Kryteria wykluczenia stanowią:</w:t>
      </w:r>
    </w:p>
    <w:p w:rsidR="005A596B" w:rsidRPr="00BB66C4" w:rsidRDefault="005A596B" w:rsidP="00BB66C4">
      <w:pPr>
        <w:pStyle w:val="Akapitzlist"/>
        <w:numPr>
          <w:ilvl w:val="1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 xml:space="preserve">W przypadku par realizujących procedurę zapłodnienia w ramach dawstwa </w:t>
      </w:r>
      <w:r w:rsidR="00CE5FE0" w:rsidRPr="00BB66C4">
        <w:rPr>
          <w:rFonts w:cstheme="minorHAnsi"/>
          <w:sz w:val="24"/>
          <w:szCs w:val="24"/>
        </w:rPr>
        <w:t>partnerskiego</w:t>
      </w:r>
      <w:r w:rsidRPr="00BB66C4">
        <w:rPr>
          <w:rFonts w:cstheme="minorHAnsi"/>
          <w:sz w:val="24"/>
          <w:szCs w:val="24"/>
        </w:rPr>
        <w:t>:</w:t>
      </w:r>
    </w:p>
    <w:p w:rsidR="005A596B" w:rsidRPr="00BB66C4" w:rsidRDefault="005A596B" w:rsidP="00BB66C4">
      <w:pPr>
        <w:pStyle w:val="Akapitzlist"/>
        <w:numPr>
          <w:ilvl w:val="2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 xml:space="preserve">potencjalne ryzyko braku prawidłowej odpowiedzi na stymulację jajeczkowania : hormon </w:t>
      </w:r>
      <w:proofErr w:type="spellStart"/>
      <w:r w:rsidRPr="00BB66C4">
        <w:rPr>
          <w:rFonts w:cstheme="minorHAnsi"/>
          <w:sz w:val="24"/>
          <w:szCs w:val="24"/>
        </w:rPr>
        <w:t>folikulotropowy</w:t>
      </w:r>
      <w:proofErr w:type="spellEnd"/>
      <w:r w:rsidRPr="00BB66C4">
        <w:rPr>
          <w:rFonts w:cstheme="minorHAnsi"/>
          <w:sz w:val="24"/>
          <w:szCs w:val="24"/>
        </w:rPr>
        <w:t xml:space="preserve"> - FSH powyżej 15 </w:t>
      </w:r>
      <w:proofErr w:type="spellStart"/>
      <w:r w:rsidRPr="00BB66C4">
        <w:rPr>
          <w:rFonts w:cstheme="minorHAnsi"/>
          <w:sz w:val="24"/>
          <w:szCs w:val="24"/>
        </w:rPr>
        <w:t>mU</w:t>
      </w:r>
      <w:proofErr w:type="spellEnd"/>
      <w:r w:rsidRPr="00BB66C4">
        <w:rPr>
          <w:rFonts w:cstheme="minorHAnsi"/>
          <w:sz w:val="24"/>
          <w:szCs w:val="24"/>
        </w:rPr>
        <w:t>/</w:t>
      </w:r>
      <w:proofErr w:type="spellStart"/>
      <w:r w:rsidRPr="00BB66C4">
        <w:rPr>
          <w:rFonts w:cstheme="minorHAnsi"/>
          <w:sz w:val="24"/>
          <w:szCs w:val="24"/>
        </w:rPr>
        <w:t>mL</w:t>
      </w:r>
      <w:proofErr w:type="spellEnd"/>
      <w:r w:rsidRPr="00BB66C4">
        <w:rPr>
          <w:rFonts w:cstheme="minorHAnsi"/>
          <w:sz w:val="24"/>
          <w:szCs w:val="24"/>
        </w:rPr>
        <w:t xml:space="preserve"> w 2-3 dniu cyklu lub hormon </w:t>
      </w:r>
      <w:proofErr w:type="spellStart"/>
      <w:r w:rsidRPr="00BB66C4">
        <w:rPr>
          <w:rFonts w:cstheme="minorHAnsi"/>
          <w:sz w:val="24"/>
          <w:szCs w:val="24"/>
        </w:rPr>
        <w:t>antymullerowski</w:t>
      </w:r>
      <w:proofErr w:type="spellEnd"/>
      <w:r w:rsidRPr="00BB66C4">
        <w:rPr>
          <w:rFonts w:cstheme="minorHAnsi"/>
          <w:sz w:val="24"/>
          <w:szCs w:val="24"/>
        </w:rPr>
        <w:t xml:space="preserve"> AMH poniżej 0,5 </w:t>
      </w:r>
      <w:proofErr w:type="spellStart"/>
      <w:r w:rsidRPr="00BB66C4">
        <w:rPr>
          <w:rFonts w:cstheme="minorHAnsi"/>
          <w:sz w:val="24"/>
          <w:szCs w:val="24"/>
        </w:rPr>
        <w:t>ng</w:t>
      </w:r>
      <w:proofErr w:type="spellEnd"/>
      <w:r w:rsidRPr="00BB66C4">
        <w:rPr>
          <w:rFonts w:cstheme="minorHAnsi"/>
          <w:sz w:val="24"/>
          <w:szCs w:val="24"/>
        </w:rPr>
        <w:t>/Ml,</w:t>
      </w:r>
    </w:p>
    <w:p w:rsidR="005A596B" w:rsidRPr="00BB66C4" w:rsidRDefault="005A596B" w:rsidP="00BB66C4">
      <w:pPr>
        <w:pStyle w:val="Akapitzlist"/>
        <w:numPr>
          <w:ilvl w:val="2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>nawracające utraty ciąż w tym samym związku ( więcej niż trzy udokumentowane poronienia),</w:t>
      </w:r>
    </w:p>
    <w:p w:rsidR="005A596B" w:rsidRPr="00BB66C4" w:rsidRDefault="005A596B" w:rsidP="00BB66C4">
      <w:pPr>
        <w:pStyle w:val="Akapitzlist"/>
        <w:numPr>
          <w:ilvl w:val="2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lastRenderedPageBreak/>
        <w:t xml:space="preserve">nieodpowiednia odpowiedź na </w:t>
      </w:r>
      <w:r w:rsidR="00CE5FE0" w:rsidRPr="00BB66C4">
        <w:rPr>
          <w:rFonts w:cstheme="minorHAnsi"/>
          <w:sz w:val="24"/>
          <w:szCs w:val="24"/>
        </w:rPr>
        <w:t>prawidłowo</w:t>
      </w:r>
      <w:r w:rsidRPr="00BB66C4">
        <w:rPr>
          <w:rFonts w:cstheme="minorHAnsi"/>
          <w:sz w:val="24"/>
          <w:szCs w:val="24"/>
        </w:rPr>
        <w:t xml:space="preserve"> przeprowadzoną stymulację jajeczkowania, czego wyrazem jest brak pozyskania komórek jajowych w dwóch cyklach stymulacji,</w:t>
      </w:r>
    </w:p>
    <w:p w:rsidR="005A596B" w:rsidRPr="00BB66C4" w:rsidRDefault="005A596B" w:rsidP="00BB66C4">
      <w:pPr>
        <w:pStyle w:val="Akapitzlist"/>
        <w:numPr>
          <w:ilvl w:val="2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>wady macicy bezwzględnie uniemożliwiające donoszenie ciąży,</w:t>
      </w:r>
    </w:p>
    <w:p w:rsidR="005A596B" w:rsidRPr="00BB66C4" w:rsidRDefault="005A596B" w:rsidP="00BB66C4">
      <w:pPr>
        <w:pStyle w:val="Akapitzlist"/>
        <w:numPr>
          <w:ilvl w:val="2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 xml:space="preserve">brak macicy. </w:t>
      </w:r>
    </w:p>
    <w:p w:rsidR="005A596B" w:rsidRPr="00BB66C4" w:rsidRDefault="00CE5FE0" w:rsidP="00BB66C4">
      <w:pPr>
        <w:pStyle w:val="Akapitzlist"/>
        <w:numPr>
          <w:ilvl w:val="1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>W przypadku par realizujących procedurę zapłodnienia w ramach dawstwa innego niż partnerskie ( dawstwo męskich komórek rozrodczych):</w:t>
      </w:r>
    </w:p>
    <w:p w:rsidR="00CE5FE0" w:rsidRPr="00BB66C4" w:rsidRDefault="00CE5FE0" w:rsidP="00BB66C4">
      <w:pPr>
        <w:pStyle w:val="Akapitzlist"/>
        <w:numPr>
          <w:ilvl w:val="2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 xml:space="preserve">potencjalne ryzyko braku prawidłowej odpowiedzi na stymulację jajeczkowania: hormon </w:t>
      </w:r>
      <w:proofErr w:type="spellStart"/>
      <w:r w:rsidRPr="00BB66C4">
        <w:rPr>
          <w:rFonts w:cstheme="minorHAnsi"/>
          <w:sz w:val="24"/>
          <w:szCs w:val="24"/>
        </w:rPr>
        <w:t>folikulotropowy</w:t>
      </w:r>
      <w:proofErr w:type="spellEnd"/>
      <w:r w:rsidRPr="00BB66C4">
        <w:rPr>
          <w:rFonts w:cstheme="minorHAnsi"/>
          <w:sz w:val="24"/>
          <w:szCs w:val="24"/>
        </w:rPr>
        <w:t xml:space="preserve"> - FSH powyżej 15 </w:t>
      </w:r>
      <w:proofErr w:type="spellStart"/>
      <w:r w:rsidRPr="00BB66C4">
        <w:rPr>
          <w:rFonts w:cstheme="minorHAnsi"/>
          <w:sz w:val="24"/>
          <w:szCs w:val="24"/>
        </w:rPr>
        <w:t>mU</w:t>
      </w:r>
      <w:proofErr w:type="spellEnd"/>
      <w:r w:rsidRPr="00BB66C4">
        <w:rPr>
          <w:rFonts w:cstheme="minorHAnsi"/>
          <w:sz w:val="24"/>
          <w:szCs w:val="24"/>
        </w:rPr>
        <w:t>/</w:t>
      </w:r>
      <w:proofErr w:type="spellStart"/>
      <w:r w:rsidRPr="00BB66C4">
        <w:rPr>
          <w:rFonts w:cstheme="minorHAnsi"/>
          <w:sz w:val="24"/>
          <w:szCs w:val="24"/>
        </w:rPr>
        <w:t>mL</w:t>
      </w:r>
      <w:proofErr w:type="spellEnd"/>
      <w:r w:rsidRPr="00BB66C4">
        <w:rPr>
          <w:rFonts w:cstheme="minorHAnsi"/>
          <w:sz w:val="24"/>
          <w:szCs w:val="24"/>
        </w:rPr>
        <w:t xml:space="preserve"> w 2-3 dniu cyklu lub hormon </w:t>
      </w:r>
      <w:proofErr w:type="spellStart"/>
      <w:r w:rsidRPr="00BB66C4">
        <w:rPr>
          <w:rFonts w:cstheme="minorHAnsi"/>
          <w:sz w:val="24"/>
          <w:szCs w:val="24"/>
        </w:rPr>
        <w:t>antymullerowski</w:t>
      </w:r>
      <w:proofErr w:type="spellEnd"/>
      <w:r w:rsidRPr="00BB66C4">
        <w:rPr>
          <w:rFonts w:cstheme="minorHAnsi"/>
          <w:sz w:val="24"/>
          <w:szCs w:val="24"/>
        </w:rPr>
        <w:t xml:space="preserve"> AMH poniżej 0,5 </w:t>
      </w:r>
      <w:proofErr w:type="spellStart"/>
      <w:r w:rsidRPr="00BB66C4">
        <w:rPr>
          <w:rFonts w:cstheme="minorHAnsi"/>
          <w:sz w:val="24"/>
          <w:szCs w:val="24"/>
        </w:rPr>
        <w:t>ng</w:t>
      </w:r>
      <w:proofErr w:type="spellEnd"/>
      <w:r w:rsidRPr="00BB66C4">
        <w:rPr>
          <w:rFonts w:cstheme="minorHAnsi"/>
          <w:sz w:val="24"/>
          <w:szCs w:val="24"/>
        </w:rPr>
        <w:t>/Ml,</w:t>
      </w:r>
    </w:p>
    <w:p w:rsidR="00CE5FE0" w:rsidRPr="00BB66C4" w:rsidRDefault="00CE5FE0" w:rsidP="00BB66C4">
      <w:pPr>
        <w:pStyle w:val="Akapitzlist"/>
        <w:numPr>
          <w:ilvl w:val="2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>nieodpowiednia odpowiedź na prawidłowo przeprowadzoną stymulacje jajeczkowania, czego wyrazem był brak pozyskania komórek jajowych w dwóch cyklach stymulacji,</w:t>
      </w:r>
    </w:p>
    <w:p w:rsidR="00CE5FE0" w:rsidRPr="00BB66C4" w:rsidRDefault="00CE5FE0" w:rsidP="00BB66C4">
      <w:pPr>
        <w:pStyle w:val="Akapitzlist"/>
        <w:numPr>
          <w:ilvl w:val="2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 xml:space="preserve">wady macicy bezwzględnie uniemożliwiające donoszenie ciąży, </w:t>
      </w:r>
    </w:p>
    <w:p w:rsidR="00CE5FE0" w:rsidRPr="00BB66C4" w:rsidRDefault="00CE5FE0" w:rsidP="00BB66C4">
      <w:pPr>
        <w:pStyle w:val="Akapitzlist"/>
        <w:numPr>
          <w:ilvl w:val="2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>brak macicy,</w:t>
      </w:r>
    </w:p>
    <w:p w:rsidR="00CE5FE0" w:rsidRPr="00BB66C4" w:rsidRDefault="00CE5FE0" w:rsidP="00BB66C4">
      <w:pPr>
        <w:pStyle w:val="Akapitzlist"/>
        <w:numPr>
          <w:ilvl w:val="2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 xml:space="preserve">negatywna opinia zespołu konsultacyjnego powołanego przez Realizatora, w którego skład powinien wejść przynajmniej jeden psycholog z praktyką w psychologii leczenia niepłodności konsultujących parę na okoliczność gotowości rodzicielstwa niegenetycznego. </w:t>
      </w:r>
    </w:p>
    <w:p w:rsidR="00CE5FE0" w:rsidRPr="00BB66C4" w:rsidRDefault="00CE5FE0" w:rsidP="00BB66C4">
      <w:pPr>
        <w:pStyle w:val="Akapitzlist"/>
        <w:numPr>
          <w:ilvl w:val="1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>W przypadku par realizujących procedurę zapłodnienia w ramach dawstwa innego niż partnerskie ( dawstwo żeńskich komórek rozrodczych) lub procedury adopcji zarodka:</w:t>
      </w:r>
    </w:p>
    <w:p w:rsidR="00CE5FE0" w:rsidRPr="00BB66C4" w:rsidRDefault="00CE5FE0" w:rsidP="00BB66C4">
      <w:pPr>
        <w:pStyle w:val="Akapitzlist"/>
        <w:numPr>
          <w:ilvl w:val="2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 xml:space="preserve">wady macicy bezwzględnie uniemożliwiające donoszenie ciąży, </w:t>
      </w:r>
    </w:p>
    <w:p w:rsidR="00CE5FE0" w:rsidRPr="00BB66C4" w:rsidRDefault="00CE5FE0" w:rsidP="00BB66C4">
      <w:pPr>
        <w:pStyle w:val="Akapitzlist"/>
        <w:numPr>
          <w:ilvl w:val="2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 xml:space="preserve">brak macicy, </w:t>
      </w:r>
    </w:p>
    <w:p w:rsidR="00CE5FE0" w:rsidRPr="00BB66C4" w:rsidRDefault="00CE5FE0" w:rsidP="00BB66C4">
      <w:pPr>
        <w:pStyle w:val="Akapitzlist"/>
        <w:numPr>
          <w:ilvl w:val="2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 xml:space="preserve">negatywna opinia zespołu konsultacyjnego powołanego przez Realizatora, w której skład powinien wejść przynajmniej jeden psycholog z praktyką w psychologii leczenia niepłodności konsultujący parę na okoliczność gotowości rodzicielstwa niegenetycznego. </w:t>
      </w:r>
    </w:p>
    <w:p w:rsidR="00CE5FE0" w:rsidRPr="00BB66C4" w:rsidRDefault="00CE5FE0" w:rsidP="00BB66C4">
      <w:pPr>
        <w:pStyle w:val="Akapitzlist"/>
        <w:numPr>
          <w:ilvl w:val="1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lastRenderedPageBreak/>
        <w:t xml:space="preserve">Brak wymaganych dokumentów określonych w pkt. II niniejszego załącznika.  </w:t>
      </w:r>
    </w:p>
    <w:p w:rsidR="004E384F" w:rsidRPr="00BB66C4" w:rsidRDefault="004E384F" w:rsidP="00BB66C4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BB66C4">
        <w:rPr>
          <w:rFonts w:cstheme="minorHAnsi"/>
          <w:b/>
          <w:sz w:val="24"/>
          <w:szCs w:val="24"/>
        </w:rPr>
        <w:t>IV</w:t>
      </w:r>
    </w:p>
    <w:p w:rsidR="004E384F" w:rsidRPr="00BB66C4" w:rsidRDefault="004E384F" w:rsidP="00BB66C4">
      <w:pPr>
        <w:pStyle w:val="Akapitzlist"/>
        <w:numPr>
          <w:ilvl w:val="0"/>
          <w:numId w:val="9"/>
        </w:numPr>
        <w:spacing w:line="360" w:lineRule="auto"/>
        <w:ind w:left="426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>Warunkiem dofinansowania do procedury procedur jest przeprowadzona przez Realizatora kwalifikacja pary do Programu.</w:t>
      </w:r>
    </w:p>
    <w:p w:rsidR="004E384F" w:rsidRPr="00BB66C4" w:rsidRDefault="004E384F" w:rsidP="00BB66C4">
      <w:pPr>
        <w:pStyle w:val="Akapitzlist"/>
        <w:numPr>
          <w:ilvl w:val="0"/>
          <w:numId w:val="9"/>
        </w:numPr>
        <w:spacing w:line="360" w:lineRule="auto"/>
        <w:ind w:left="426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>W programie każda parama prawo skorzystać z jednej zindywidualizowanej procedury wspomaganego rozrodu, a warunkiem uzyskania dofinansowania do procedury jest zakwalifikowanie pary do Programu przez Realizatora oraz przeprowadzenie, co najmniej jednej z wymienionych poniżej interwencji (w zależności od sytuacji klinicznej pary):</w:t>
      </w:r>
    </w:p>
    <w:p w:rsidR="004E384F" w:rsidRPr="00BB66C4" w:rsidRDefault="004E384F" w:rsidP="00BB66C4">
      <w:pPr>
        <w:pStyle w:val="Akapitzlist"/>
        <w:numPr>
          <w:ilvl w:val="1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>Procedura zapłodnienia  pozaustrojowego z wykorzystaniem własnych gamet pary (dawstwo partnerskie) lub z wykorzystaniem nasienia dawcy (dawstwo inne niż partnerskie) powinna objąć przeprowadzenie przynajmniej następujących elementów:</w:t>
      </w:r>
    </w:p>
    <w:p w:rsidR="004E384F" w:rsidRPr="00BB66C4" w:rsidRDefault="004E384F" w:rsidP="00BB66C4">
      <w:pPr>
        <w:pStyle w:val="Akapitzlist"/>
        <w:numPr>
          <w:ilvl w:val="2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>przeprowadzenie kwalifikacji par do udziału w Programie oraz wykonanie badań, do których obliguje ustawa o leczeniu niepłodności,</w:t>
      </w:r>
    </w:p>
    <w:p w:rsidR="004E384F" w:rsidRPr="00BB66C4" w:rsidRDefault="004E384F" w:rsidP="00BB66C4">
      <w:pPr>
        <w:pStyle w:val="Akapitzlist"/>
        <w:numPr>
          <w:ilvl w:val="2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>kontrolowaną stymulację jajeczkowania prowadzącą do uzyskania komórek jakowych o pełnym potencjalne rozrodczym,</w:t>
      </w:r>
    </w:p>
    <w:p w:rsidR="004E384F" w:rsidRPr="00BB66C4" w:rsidRDefault="004E384F" w:rsidP="00BB66C4">
      <w:pPr>
        <w:pStyle w:val="Akapitzlist"/>
        <w:numPr>
          <w:ilvl w:val="2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>punkcję jajników, tj. pobranie komórek jajowych pod kontrolą ultrasonografii,</w:t>
      </w:r>
    </w:p>
    <w:p w:rsidR="004E384F" w:rsidRPr="00BB66C4" w:rsidRDefault="004E384F" w:rsidP="00BB66C4">
      <w:pPr>
        <w:pStyle w:val="Akapitzlist"/>
        <w:numPr>
          <w:ilvl w:val="2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 xml:space="preserve">znieczulenie ogólne podczas punkcji, </w:t>
      </w:r>
    </w:p>
    <w:p w:rsidR="004E384F" w:rsidRPr="00BB66C4" w:rsidRDefault="004E384F" w:rsidP="00BB66C4">
      <w:pPr>
        <w:pStyle w:val="Akapitzlist"/>
        <w:numPr>
          <w:ilvl w:val="2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 xml:space="preserve">pozaustrojowe zapłodnienie komórki jajowej drogą klasyczną ( samoistne zapłodnieni) lub metodą  </w:t>
      </w:r>
      <w:proofErr w:type="spellStart"/>
      <w:r w:rsidRPr="00BB66C4">
        <w:rPr>
          <w:rFonts w:cstheme="minorHAnsi"/>
          <w:sz w:val="24"/>
          <w:szCs w:val="24"/>
        </w:rPr>
        <w:t>docytoplazmatycznej</w:t>
      </w:r>
      <w:proofErr w:type="spellEnd"/>
      <w:r w:rsidRPr="00BB66C4">
        <w:rPr>
          <w:rFonts w:cstheme="minorHAnsi"/>
          <w:sz w:val="24"/>
          <w:szCs w:val="24"/>
        </w:rPr>
        <w:t xml:space="preserve"> iniekcji plemnika,</w:t>
      </w:r>
    </w:p>
    <w:p w:rsidR="004E384F" w:rsidRPr="00BB66C4" w:rsidRDefault="004E384F" w:rsidP="00BB66C4">
      <w:pPr>
        <w:pStyle w:val="Akapitzlist"/>
        <w:numPr>
          <w:ilvl w:val="2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 xml:space="preserve">hodowlę zarodków, </w:t>
      </w:r>
    </w:p>
    <w:p w:rsidR="004E384F" w:rsidRPr="00BB66C4" w:rsidRDefault="004E384F" w:rsidP="00BB66C4">
      <w:pPr>
        <w:pStyle w:val="Akapitzlist"/>
        <w:numPr>
          <w:ilvl w:val="2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>transfer zarodków do jamy macicy,</w:t>
      </w:r>
    </w:p>
    <w:p w:rsidR="004E384F" w:rsidRPr="00BB66C4" w:rsidRDefault="004E384F" w:rsidP="00BB66C4">
      <w:pPr>
        <w:pStyle w:val="Akapitzlist"/>
        <w:numPr>
          <w:ilvl w:val="2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>przechowywanie zarodków o prawidłowym rozwoju, które nie zostały przeniesione do macicy, do czasu ich wykorzystania.</w:t>
      </w:r>
    </w:p>
    <w:p w:rsidR="004E384F" w:rsidRPr="00BB66C4" w:rsidRDefault="004E384F" w:rsidP="00BB66C4">
      <w:pPr>
        <w:pStyle w:val="Akapitzlist"/>
        <w:numPr>
          <w:ilvl w:val="1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lastRenderedPageBreak/>
        <w:t>Procedura zapłodnienia pozaustrojowego z wykorzystaniem żeńskich komórek rozrodczych (dawstwo inne niż partnerskie) powinna objąć przeprowadzenie przynajmniej następujących elementów:</w:t>
      </w:r>
    </w:p>
    <w:p w:rsidR="004E384F" w:rsidRPr="00BB66C4" w:rsidRDefault="004E384F" w:rsidP="00BB66C4">
      <w:pPr>
        <w:pStyle w:val="Akapitzlist"/>
        <w:numPr>
          <w:ilvl w:val="2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>przeprowadzenie kwalifikacji pary i wykonanie wymaganych ustawowo badań,</w:t>
      </w:r>
    </w:p>
    <w:p w:rsidR="004E384F" w:rsidRPr="00BB66C4" w:rsidRDefault="004E384F" w:rsidP="00BB66C4">
      <w:pPr>
        <w:pStyle w:val="Akapitzlist"/>
        <w:numPr>
          <w:ilvl w:val="2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>przygotowanie biorczyni do transferu zarodka/ów,</w:t>
      </w:r>
    </w:p>
    <w:p w:rsidR="004E384F" w:rsidRPr="00BB66C4" w:rsidRDefault="004E384F" w:rsidP="00BB66C4">
      <w:pPr>
        <w:pStyle w:val="Akapitzlist"/>
        <w:numPr>
          <w:ilvl w:val="2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>pozaustrojowe zapłodnienie komórek jajowych od anonimowej dawczyni i nadzór nad rozwojem zarodków in vitro,</w:t>
      </w:r>
    </w:p>
    <w:p w:rsidR="004E384F" w:rsidRPr="00BB66C4" w:rsidRDefault="004E384F" w:rsidP="00BB66C4">
      <w:pPr>
        <w:pStyle w:val="Akapitzlist"/>
        <w:numPr>
          <w:ilvl w:val="2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>transfer zarodków do jamy macicy w cyklu świeżym jeśli sytuacja kliniczna pacjentki na to pozwala w ocenie lekarza prowadzącego,</w:t>
      </w:r>
    </w:p>
    <w:p w:rsidR="004E384F" w:rsidRPr="00BB66C4" w:rsidRDefault="004E384F" w:rsidP="00BB66C4">
      <w:pPr>
        <w:pStyle w:val="Akapitzlist"/>
        <w:numPr>
          <w:ilvl w:val="2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>zamrożenie zarodków z zachowanym potencjałem rozwojowym i ich przechowywanie w celu późniejszego wykorzystania przez parę w kolejnych cyklach.</w:t>
      </w:r>
    </w:p>
    <w:p w:rsidR="004E384F" w:rsidRPr="00BB66C4" w:rsidRDefault="00115A3E" w:rsidP="00BB66C4">
      <w:pPr>
        <w:pStyle w:val="Akapitzlist"/>
        <w:numPr>
          <w:ilvl w:val="1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>Procedura adopcji zarodka (dawstwo inne niż part</w:t>
      </w:r>
      <w:r w:rsidR="00BB66C4">
        <w:rPr>
          <w:rFonts w:cstheme="minorHAnsi"/>
          <w:sz w:val="24"/>
          <w:szCs w:val="24"/>
        </w:rPr>
        <w:t>n</w:t>
      </w:r>
      <w:r w:rsidRPr="00BB66C4">
        <w:rPr>
          <w:rFonts w:cstheme="minorHAnsi"/>
          <w:sz w:val="24"/>
          <w:szCs w:val="24"/>
        </w:rPr>
        <w:t>erskie) powinna objąć przeprowadzanie przynajmniej następujących elementów:</w:t>
      </w:r>
    </w:p>
    <w:p w:rsidR="00115A3E" w:rsidRPr="00BB66C4" w:rsidRDefault="00115A3E" w:rsidP="00BB66C4">
      <w:pPr>
        <w:pStyle w:val="Akapitzlist"/>
        <w:numPr>
          <w:ilvl w:val="2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>przeprowadzenie kwalifikacji pary i wykonanie wymaganych badań,</w:t>
      </w:r>
    </w:p>
    <w:p w:rsidR="00115A3E" w:rsidRPr="00BB66C4" w:rsidRDefault="00115A3E" w:rsidP="00BB66C4">
      <w:pPr>
        <w:pStyle w:val="Akapitzlist"/>
        <w:numPr>
          <w:ilvl w:val="2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>przygotowanie biorczyni do transferu zarodka/ów,</w:t>
      </w:r>
    </w:p>
    <w:p w:rsidR="00115A3E" w:rsidRPr="00BB66C4" w:rsidRDefault="00115A3E" w:rsidP="00BB66C4">
      <w:pPr>
        <w:pStyle w:val="Akapitzlist"/>
        <w:numPr>
          <w:ilvl w:val="2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>przygotowanie zarodków i transfer zarodków do jamy macicy.</w:t>
      </w:r>
    </w:p>
    <w:p w:rsidR="00115A3E" w:rsidRPr="00BB66C4" w:rsidRDefault="00B76EA2" w:rsidP="00BB66C4">
      <w:pPr>
        <w:pStyle w:val="Akapitzlist"/>
        <w:numPr>
          <w:ilvl w:val="0"/>
          <w:numId w:val="9"/>
        </w:numPr>
        <w:spacing w:line="360" w:lineRule="auto"/>
        <w:ind w:left="426" w:hanging="284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 xml:space="preserve">Z uwagi na ograniczenie ustawowe poddaniu próbie zapłodnienia podlega tylko 6 komórek jajowych. Pacjentki uzyskują do dwóch zarodków, które są transferowane w cyklu świeżym, ok 43% z tych pacjentek posiada dodatkowo 1-2 zamrożonych zarodków metodą </w:t>
      </w:r>
      <w:proofErr w:type="spellStart"/>
      <w:r w:rsidRPr="00BB66C4">
        <w:rPr>
          <w:rFonts w:cstheme="minorHAnsi"/>
          <w:sz w:val="24"/>
          <w:szCs w:val="24"/>
        </w:rPr>
        <w:t>witryfikacji</w:t>
      </w:r>
      <w:proofErr w:type="spellEnd"/>
      <w:r w:rsidRPr="00BB66C4">
        <w:rPr>
          <w:rFonts w:cstheme="minorHAnsi"/>
          <w:sz w:val="24"/>
          <w:szCs w:val="24"/>
        </w:rPr>
        <w:t>. Przeżywalność zarodków po rozmrożeniu wynosi 97-99%.</w:t>
      </w:r>
    </w:p>
    <w:p w:rsidR="00B76EA2" w:rsidRPr="00BB66C4" w:rsidRDefault="00B76EA2" w:rsidP="00BB66C4">
      <w:pPr>
        <w:pStyle w:val="Akapitzlist"/>
        <w:numPr>
          <w:ilvl w:val="0"/>
          <w:numId w:val="9"/>
        </w:numPr>
        <w:spacing w:line="360" w:lineRule="auto"/>
        <w:ind w:left="426" w:hanging="284"/>
        <w:rPr>
          <w:rFonts w:cstheme="minorHAnsi"/>
          <w:sz w:val="24"/>
          <w:szCs w:val="24"/>
        </w:rPr>
      </w:pPr>
      <w:r w:rsidRPr="00BB66C4">
        <w:rPr>
          <w:rFonts w:cstheme="minorHAnsi"/>
          <w:bCs/>
          <w:sz w:val="24"/>
          <w:szCs w:val="24"/>
        </w:rPr>
        <w:t>Program zakłada dofinansowanie kosztów jednego cyklu zapłodnienia pozaustrojowego lub adopcji zarodka dla każdej pary w związku małżeńskim lub partnerskim, zakwalifikowanej do Programu, w wysokości do 100 procent, w maksymalnej kwocie 5000 zł, pod warunkiem przeprowadzenia przynajmniej jednej całej procedury przewidzianej w Programie.</w:t>
      </w:r>
    </w:p>
    <w:p w:rsidR="00B76EA2" w:rsidRPr="00BB66C4" w:rsidRDefault="00B76EA2" w:rsidP="00BB66C4">
      <w:pPr>
        <w:pStyle w:val="Akapitzlist"/>
        <w:numPr>
          <w:ilvl w:val="0"/>
          <w:numId w:val="9"/>
        </w:numPr>
        <w:spacing w:line="360" w:lineRule="auto"/>
        <w:ind w:left="426" w:hanging="284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 xml:space="preserve">Cennik pozostałych procedur powinien być udostępniony przez realizatora Programu na stronie internetowej oraz w widocznym miejscu w siedzibie podmiotu medycznego, a także precyzyjnie określony w czasie pierwszej wizyty. W przypadku, gdy procedura zapłodnienia pozaustrojowego z powodów medycznych zakończy się na wcześniejszym </w:t>
      </w:r>
      <w:r w:rsidRPr="00BB66C4">
        <w:rPr>
          <w:rFonts w:cstheme="minorHAnsi"/>
          <w:sz w:val="24"/>
          <w:szCs w:val="24"/>
        </w:rPr>
        <w:lastRenderedPageBreak/>
        <w:t>etapie, to dofinansowanie obejmuje przeprowadzenie procedur medycznych do tego etapu.</w:t>
      </w:r>
    </w:p>
    <w:p w:rsidR="00B76EA2" w:rsidRPr="00BB66C4" w:rsidRDefault="00B76EA2" w:rsidP="00BB66C4">
      <w:pPr>
        <w:pStyle w:val="Akapitzlist"/>
        <w:numPr>
          <w:ilvl w:val="0"/>
          <w:numId w:val="9"/>
        </w:numPr>
        <w:spacing w:line="360" w:lineRule="auto"/>
        <w:ind w:left="426" w:hanging="284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>Leczenie pary może wymagać zastosowania dodatkowych interwencji, ustalanych przez lekarza prowadzącego w kontekście indywidualnych potrzeb, które będą dodatkowo opłacane przez beneficjentów.</w:t>
      </w:r>
    </w:p>
    <w:p w:rsidR="00B76EA2" w:rsidRPr="00BB66C4" w:rsidRDefault="00B76EA2" w:rsidP="00BB66C4">
      <w:pPr>
        <w:pStyle w:val="Akapitzlist"/>
        <w:numPr>
          <w:ilvl w:val="0"/>
          <w:numId w:val="9"/>
        </w:numPr>
        <w:spacing w:line="360" w:lineRule="auto"/>
        <w:ind w:left="426" w:hanging="284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>W przypadku rezygnacji z udziału w Programie z przyczyn innych niż medyczne – przedterminowego zakończenia leczenia, wszelkie koszty za zrealizowane działania ponosi beneficjent.</w:t>
      </w:r>
    </w:p>
    <w:p w:rsidR="00B76EA2" w:rsidRPr="00BB66C4" w:rsidRDefault="00B76EA2" w:rsidP="00BB66C4">
      <w:pPr>
        <w:pStyle w:val="Akapitzlist"/>
        <w:numPr>
          <w:ilvl w:val="0"/>
          <w:numId w:val="9"/>
        </w:numPr>
        <w:spacing w:line="360" w:lineRule="auto"/>
        <w:ind w:left="426" w:hanging="284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>Pary, które brały udział Programie w 202</w:t>
      </w:r>
      <w:r w:rsidR="00FF5706">
        <w:rPr>
          <w:rFonts w:cstheme="minorHAnsi"/>
          <w:sz w:val="24"/>
          <w:szCs w:val="24"/>
        </w:rPr>
        <w:t>2</w:t>
      </w:r>
      <w:r w:rsidRPr="00BB66C4">
        <w:rPr>
          <w:rFonts w:cstheme="minorHAnsi"/>
          <w:sz w:val="24"/>
          <w:szCs w:val="24"/>
        </w:rPr>
        <w:t xml:space="preserve"> r. a rozpoczęte u nich Interwencje zostały przerwane z powodu terminu zakończenia umowy mogą być kontynuowane u realizatora/realizatorów, wybranych w procedurze konkursowej na 202</w:t>
      </w:r>
      <w:r w:rsidR="00FF5706">
        <w:rPr>
          <w:rFonts w:cstheme="minorHAnsi"/>
          <w:sz w:val="24"/>
          <w:szCs w:val="24"/>
        </w:rPr>
        <w:t>3</w:t>
      </w:r>
      <w:r w:rsidRPr="00BB66C4">
        <w:rPr>
          <w:rFonts w:cstheme="minorHAnsi"/>
          <w:sz w:val="24"/>
          <w:szCs w:val="24"/>
        </w:rPr>
        <w:t xml:space="preserve"> r. </w:t>
      </w:r>
    </w:p>
    <w:p w:rsidR="00B76EA2" w:rsidRPr="00BB66C4" w:rsidRDefault="00B76EA2" w:rsidP="00BB66C4">
      <w:pPr>
        <w:pStyle w:val="Akapitzlist"/>
        <w:numPr>
          <w:ilvl w:val="0"/>
          <w:numId w:val="9"/>
        </w:numPr>
        <w:spacing w:line="360" w:lineRule="auto"/>
        <w:ind w:left="426" w:hanging="284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>W sytuacji opisanej w pkt IV.8 beneficjenci zobowiązują się do pozyskania dokumentacji medycznej i przeniesienia jej z podmiotu, w którym pr</w:t>
      </w:r>
      <w:bookmarkStart w:id="0" w:name="_GoBack"/>
      <w:bookmarkEnd w:id="0"/>
      <w:r w:rsidRPr="00BB66C4">
        <w:rPr>
          <w:rFonts w:cstheme="minorHAnsi"/>
          <w:sz w:val="24"/>
          <w:szCs w:val="24"/>
        </w:rPr>
        <w:t>owadzili leczenie w ramach Programu do podmiotu medycznego, który realizuje Program w 2022 roku.</w:t>
      </w:r>
    </w:p>
    <w:p w:rsidR="00B76EA2" w:rsidRPr="00BB66C4" w:rsidRDefault="00B76EA2" w:rsidP="00BB66C4">
      <w:pPr>
        <w:pStyle w:val="Akapitzlist"/>
        <w:numPr>
          <w:ilvl w:val="0"/>
          <w:numId w:val="9"/>
        </w:numPr>
        <w:spacing w:line="360" w:lineRule="auto"/>
        <w:ind w:left="426" w:hanging="284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 xml:space="preserve">W innych sprawach dotyczących udziału w Programie decyzje podejmuje Wydział Zdrowia i Spraw Społecznych Urzędu Miejskiego Wrocławia po konsultacji z Realizatorami Programu. </w:t>
      </w:r>
    </w:p>
    <w:p w:rsidR="00B76EA2" w:rsidRPr="00BB66C4" w:rsidRDefault="00B76EA2" w:rsidP="00BB66C4">
      <w:pPr>
        <w:pStyle w:val="Akapitzlist"/>
        <w:spacing w:line="360" w:lineRule="auto"/>
        <w:ind w:left="426"/>
        <w:jc w:val="center"/>
        <w:rPr>
          <w:rFonts w:cstheme="minorHAnsi"/>
          <w:b/>
          <w:sz w:val="24"/>
          <w:szCs w:val="24"/>
        </w:rPr>
      </w:pPr>
      <w:r w:rsidRPr="00BB66C4">
        <w:rPr>
          <w:rFonts w:cstheme="minorHAnsi"/>
          <w:b/>
          <w:sz w:val="24"/>
          <w:szCs w:val="24"/>
        </w:rPr>
        <w:t>V</w:t>
      </w:r>
    </w:p>
    <w:p w:rsidR="00B76EA2" w:rsidRPr="00BB66C4" w:rsidRDefault="00B76EA2" w:rsidP="00BB66C4">
      <w:pPr>
        <w:pStyle w:val="Akapitzlist"/>
        <w:numPr>
          <w:ilvl w:val="0"/>
          <w:numId w:val="10"/>
        </w:numPr>
        <w:spacing w:line="360" w:lineRule="auto"/>
        <w:ind w:left="426" w:hanging="284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>Prowadzenie działań medycznych na ludzkich gametach i zarodkach wymaga przestrzegania ściśle określonych zasad praktyk medycznych i laboratoryjnych, stosowania optymalnych, standaryzowanych warunków hodowli, mających na celu uzyskanie jej optymalnych wyników. Zgodnie z warunkami ustawowymi Realizatorami Programu mogą być ośrodki medycznie wspomaganej prokreacji i/lub centra leczenia niepłodności wpisane przez Ministra Zdrowia do rejestru, i/lub zamieszczone w prowadzonym przez Ministra Zdrowia wykazie centrów leczenia niepłodności, a także spełniające warunki określone przepisami Ustawy o leczeniu niepłodności lub działające na podstawie zatwierdzonego przez Ministra Zdrowia Programu Dostosowawczego zgodnie z art. 98 Ustawy o leczeniu niepłodności.</w:t>
      </w:r>
    </w:p>
    <w:p w:rsidR="00B76EA2" w:rsidRPr="00BB66C4" w:rsidRDefault="00B76EA2" w:rsidP="00BB66C4">
      <w:pPr>
        <w:pStyle w:val="Akapitzlist"/>
        <w:numPr>
          <w:ilvl w:val="0"/>
          <w:numId w:val="10"/>
        </w:numPr>
        <w:spacing w:line="360" w:lineRule="auto"/>
        <w:ind w:left="426" w:hanging="284"/>
        <w:rPr>
          <w:rFonts w:cstheme="minorHAnsi"/>
          <w:sz w:val="24"/>
          <w:szCs w:val="24"/>
        </w:rPr>
      </w:pPr>
      <w:proofErr w:type="spellStart"/>
      <w:r w:rsidRPr="00BB66C4">
        <w:rPr>
          <w:rFonts w:cstheme="minorHAnsi"/>
          <w:sz w:val="24"/>
          <w:szCs w:val="24"/>
        </w:rPr>
        <w:t>Krioprezerwacja</w:t>
      </w:r>
      <w:proofErr w:type="spellEnd"/>
      <w:r w:rsidRPr="00BB66C4">
        <w:rPr>
          <w:rFonts w:cstheme="minorHAnsi"/>
          <w:sz w:val="24"/>
          <w:szCs w:val="24"/>
        </w:rPr>
        <w:t xml:space="preserve"> znacznie zwiększa szanse na powodzenie w jednym cyklu, bez konieczności przeprowadzania kolejnej stymulacji, pobrania oocytów i tworzenia zarodków. Ilość ciąż klinicznych i urodzeń z mrożonych zarodków jest porównywalna z uzyskanymi klinicznymi wynikami w przypadku transferu zarodka świeżego. </w:t>
      </w:r>
      <w:proofErr w:type="spellStart"/>
      <w:r w:rsidRPr="00BB66C4">
        <w:rPr>
          <w:rFonts w:cstheme="minorHAnsi"/>
          <w:sz w:val="24"/>
          <w:szCs w:val="24"/>
        </w:rPr>
        <w:lastRenderedPageBreak/>
        <w:t>Krioprezerwację</w:t>
      </w:r>
      <w:proofErr w:type="spellEnd"/>
      <w:r w:rsidRPr="00BB66C4">
        <w:rPr>
          <w:rFonts w:cstheme="minorHAnsi"/>
          <w:sz w:val="24"/>
          <w:szCs w:val="24"/>
        </w:rPr>
        <w:t xml:space="preserve"> zarodków stosuje się także w przypadku, gdy stan kliniczny pacjentki uniemożliwia transfer zarodków świeżych. </w:t>
      </w:r>
      <w:proofErr w:type="spellStart"/>
      <w:r w:rsidRPr="00BB66C4">
        <w:rPr>
          <w:rFonts w:cstheme="minorHAnsi"/>
          <w:sz w:val="24"/>
          <w:szCs w:val="24"/>
        </w:rPr>
        <w:t>Krioprezerwacja</w:t>
      </w:r>
      <w:proofErr w:type="spellEnd"/>
      <w:r w:rsidRPr="00BB66C4">
        <w:rPr>
          <w:rFonts w:cstheme="minorHAnsi"/>
          <w:sz w:val="24"/>
          <w:szCs w:val="24"/>
        </w:rPr>
        <w:t xml:space="preserve"> w takim przypadku nie wpływa na obniżenie szansy uzyskania ciąży.</w:t>
      </w:r>
    </w:p>
    <w:p w:rsidR="00B76EA2" w:rsidRPr="00BB66C4" w:rsidRDefault="00B76EA2" w:rsidP="00BB66C4">
      <w:pPr>
        <w:pStyle w:val="Akapitzlist"/>
        <w:numPr>
          <w:ilvl w:val="0"/>
          <w:numId w:val="10"/>
        </w:numPr>
        <w:spacing w:line="360" w:lineRule="auto"/>
        <w:ind w:left="426" w:hanging="284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 xml:space="preserve">W procedurze IVF w przypadku znacznie obniżonych parametrów nasienia jako metodę zapłodnienia z wyboru stosuje się ICSI. W przypadku </w:t>
      </w:r>
      <w:proofErr w:type="spellStart"/>
      <w:r w:rsidRPr="00BB66C4">
        <w:rPr>
          <w:rFonts w:cstheme="minorHAnsi"/>
          <w:sz w:val="24"/>
          <w:szCs w:val="24"/>
        </w:rPr>
        <w:t>normospermii</w:t>
      </w:r>
      <w:proofErr w:type="spellEnd"/>
      <w:r w:rsidRPr="00BB66C4">
        <w:rPr>
          <w:rFonts w:cstheme="minorHAnsi"/>
          <w:sz w:val="24"/>
          <w:szCs w:val="24"/>
        </w:rPr>
        <w:t xml:space="preserve"> metodą zapłodnienia może być klasyczny IVF jeżeli nie ma przeciwwskazań związanych z czynnikiem żeńskim.</w:t>
      </w:r>
    </w:p>
    <w:p w:rsidR="00B76EA2" w:rsidRPr="00BB66C4" w:rsidRDefault="00B76EA2" w:rsidP="00BB66C4">
      <w:pPr>
        <w:pStyle w:val="Akapitzlist"/>
        <w:numPr>
          <w:ilvl w:val="0"/>
          <w:numId w:val="10"/>
        </w:numPr>
        <w:spacing w:line="360" w:lineRule="auto"/>
        <w:ind w:left="426" w:hanging="284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 xml:space="preserve">Opieka nad ciężarną po leczeniu niepłodności będzie sprawowana w ramach powszechnie dostępnego systemu opieki perinatalnej. W przypadku powikłań np. krwawienia, zespołu </w:t>
      </w:r>
      <w:proofErr w:type="spellStart"/>
      <w:r w:rsidRPr="00BB66C4">
        <w:rPr>
          <w:rFonts w:cstheme="minorHAnsi"/>
          <w:sz w:val="24"/>
          <w:szCs w:val="24"/>
        </w:rPr>
        <w:t>hiperstymulacji</w:t>
      </w:r>
      <w:proofErr w:type="spellEnd"/>
      <w:r w:rsidRPr="00BB66C4">
        <w:rPr>
          <w:rFonts w:cstheme="minorHAnsi"/>
          <w:sz w:val="24"/>
          <w:szCs w:val="24"/>
        </w:rPr>
        <w:t xml:space="preserve"> opiekę przejmuje właściwy oddział, najbliższy miejscu pobytu pacjentki, najlepiej II lub III stopnia referencyjnego.</w:t>
      </w:r>
    </w:p>
    <w:p w:rsidR="00B76EA2" w:rsidRPr="00BB66C4" w:rsidRDefault="00B76EA2" w:rsidP="00BB66C4">
      <w:pPr>
        <w:pStyle w:val="Akapitzlist"/>
        <w:numPr>
          <w:ilvl w:val="0"/>
          <w:numId w:val="10"/>
        </w:numPr>
        <w:spacing w:line="360" w:lineRule="auto"/>
        <w:ind w:left="426" w:hanging="284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>W przypadku ciąży, leczona para będzie zobligowana zgłaszać Realizatorowi Programu wszelkie informacje dotyczące jej przebiegu, ewentualnych powikłań oraz o porodzie i stanie zdrowia dziecka.</w:t>
      </w:r>
    </w:p>
    <w:p w:rsidR="00B76EA2" w:rsidRPr="00BB66C4" w:rsidRDefault="00B76EA2" w:rsidP="00BB66C4">
      <w:pPr>
        <w:spacing w:line="360" w:lineRule="auto"/>
        <w:ind w:left="142"/>
        <w:jc w:val="center"/>
        <w:rPr>
          <w:rFonts w:cstheme="minorHAnsi"/>
          <w:b/>
          <w:sz w:val="24"/>
          <w:szCs w:val="24"/>
        </w:rPr>
      </w:pPr>
      <w:r w:rsidRPr="00BB66C4">
        <w:rPr>
          <w:rFonts w:cstheme="minorHAnsi"/>
          <w:b/>
          <w:sz w:val="24"/>
          <w:szCs w:val="24"/>
        </w:rPr>
        <w:t>VI</w:t>
      </w:r>
    </w:p>
    <w:p w:rsidR="00B76EA2" w:rsidRPr="00BB66C4" w:rsidRDefault="00B76EA2" w:rsidP="00BB66C4">
      <w:pPr>
        <w:pStyle w:val="Akapitzlist"/>
        <w:numPr>
          <w:ilvl w:val="0"/>
          <w:numId w:val="11"/>
        </w:numPr>
        <w:spacing w:line="360" w:lineRule="auto"/>
        <w:ind w:left="426" w:hanging="284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>Do obowiązków Realizatorów wybranych w postępowaniu konkursowym należeć będzie:</w:t>
      </w:r>
    </w:p>
    <w:p w:rsidR="00B76EA2" w:rsidRPr="00BB66C4" w:rsidRDefault="00B76EA2" w:rsidP="00BB66C4">
      <w:pPr>
        <w:pStyle w:val="Akapitzlist"/>
        <w:numPr>
          <w:ilvl w:val="1"/>
          <w:numId w:val="11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bCs/>
          <w:sz w:val="24"/>
          <w:szCs w:val="24"/>
        </w:rPr>
        <w:t>kwalifikacja pary do udziału w Programie zgodnie z opracowanymi kryteriami,</w:t>
      </w:r>
    </w:p>
    <w:p w:rsidR="00B76EA2" w:rsidRPr="00BB66C4" w:rsidRDefault="00B76EA2" w:rsidP="00BB66C4">
      <w:pPr>
        <w:pStyle w:val="Akapitzlist"/>
        <w:numPr>
          <w:ilvl w:val="1"/>
          <w:numId w:val="11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bCs/>
          <w:sz w:val="24"/>
          <w:szCs w:val="24"/>
        </w:rPr>
        <w:t>zapewnienie dostępności do interwencji, o których mowa w Programie (rozdział IV pkt.2),</w:t>
      </w:r>
    </w:p>
    <w:p w:rsidR="00B76EA2" w:rsidRPr="00BB66C4" w:rsidRDefault="00B76EA2" w:rsidP="00BB66C4">
      <w:pPr>
        <w:pStyle w:val="Akapitzlist"/>
        <w:numPr>
          <w:ilvl w:val="1"/>
          <w:numId w:val="11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bCs/>
          <w:sz w:val="24"/>
          <w:szCs w:val="24"/>
        </w:rPr>
        <w:t>realizacja procedur związanych z interwencjami zawartymi w Programie,</w:t>
      </w:r>
    </w:p>
    <w:p w:rsidR="00B76EA2" w:rsidRPr="00BB66C4" w:rsidRDefault="00B76EA2" w:rsidP="00BB66C4">
      <w:pPr>
        <w:pStyle w:val="Akapitzlist"/>
        <w:numPr>
          <w:ilvl w:val="1"/>
          <w:numId w:val="11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bCs/>
          <w:sz w:val="24"/>
          <w:szCs w:val="24"/>
        </w:rPr>
        <w:t xml:space="preserve">zapewnienie systemu przechowywania zarodków niewykorzystanych w trakcie stosowania procedury zapłodnienia pozaustrojowego (zgodnie z zapisami </w:t>
      </w:r>
      <w:r w:rsidRPr="00BB66C4">
        <w:rPr>
          <w:rFonts w:cstheme="minorHAnsi"/>
          <w:sz w:val="24"/>
          <w:szCs w:val="24"/>
        </w:rPr>
        <w:t>ustawy o leczeniu niepłodności</w:t>
      </w:r>
      <w:r w:rsidR="00757FFB" w:rsidRPr="00BB66C4">
        <w:rPr>
          <w:rFonts w:cstheme="minorHAnsi"/>
          <w:sz w:val="24"/>
          <w:szCs w:val="24"/>
        </w:rPr>
        <w:t>),</w:t>
      </w:r>
    </w:p>
    <w:p w:rsidR="00757FFB" w:rsidRPr="00BB66C4" w:rsidRDefault="00757FFB" w:rsidP="00BB66C4">
      <w:pPr>
        <w:pStyle w:val="Akapitzlist"/>
        <w:numPr>
          <w:ilvl w:val="1"/>
          <w:numId w:val="11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bCs/>
          <w:sz w:val="24"/>
          <w:szCs w:val="24"/>
        </w:rPr>
        <w:t>zapewnienie dostępności do interwencji w ramach Programu przez przynajmniej 6 dni w tygodniu z możliwością ich udzielania w razie wskazań także w sobotę i niedzielę w godzinach dostępnych dla beneficjentów Programu,</w:t>
      </w:r>
    </w:p>
    <w:p w:rsidR="00757FFB" w:rsidRPr="00BB66C4" w:rsidRDefault="00757FFB" w:rsidP="00BB66C4">
      <w:pPr>
        <w:pStyle w:val="Akapitzlist"/>
        <w:numPr>
          <w:ilvl w:val="1"/>
          <w:numId w:val="11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bCs/>
          <w:sz w:val="24"/>
          <w:szCs w:val="24"/>
        </w:rPr>
        <w:t xml:space="preserve">zobowiązanie się do </w:t>
      </w:r>
      <w:r w:rsidRPr="00BB66C4">
        <w:rPr>
          <w:rFonts w:cstheme="minorHAnsi"/>
          <w:sz w:val="24"/>
          <w:szCs w:val="24"/>
        </w:rPr>
        <w:t>przestrzegania algorytm</w:t>
      </w:r>
      <w:r w:rsidRPr="00BB66C4">
        <w:rPr>
          <w:rFonts w:cstheme="minorHAnsi"/>
          <w:sz w:val="24"/>
          <w:szCs w:val="24"/>
          <w:lang w:val="es-ES_tradnl"/>
        </w:rPr>
        <w:t>ó</w:t>
      </w:r>
      <w:r w:rsidRPr="00BB66C4">
        <w:rPr>
          <w:rFonts w:cstheme="minorHAnsi"/>
          <w:sz w:val="24"/>
          <w:szCs w:val="24"/>
        </w:rPr>
        <w:t>w diagnostyczno-terapeutycznych Polskiego Towarzystwa Medycyny Rozrodu i Embriologii oraz Polskiego Towarzystwa Ginekologicznego,</w:t>
      </w:r>
    </w:p>
    <w:p w:rsidR="00757FFB" w:rsidRPr="00BB66C4" w:rsidRDefault="00757FFB" w:rsidP="00BB66C4">
      <w:pPr>
        <w:pStyle w:val="Akapitzlist"/>
        <w:numPr>
          <w:ilvl w:val="1"/>
          <w:numId w:val="11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lastRenderedPageBreak/>
        <w:t xml:space="preserve">raportowanie wyników leczenia Europejskiemu Towarzystwu Rozrodu Człowieka i Embriologii (ESHRE - </w:t>
      </w:r>
      <w:proofErr w:type="spellStart"/>
      <w:r w:rsidRPr="00BB66C4">
        <w:rPr>
          <w:rFonts w:cstheme="minorHAnsi"/>
          <w:sz w:val="24"/>
          <w:szCs w:val="24"/>
        </w:rPr>
        <w:t>European</w:t>
      </w:r>
      <w:proofErr w:type="spellEnd"/>
      <w:r w:rsidRPr="00BB66C4">
        <w:rPr>
          <w:rFonts w:cstheme="minorHAnsi"/>
          <w:sz w:val="24"/>
          <w:szCs w:val="24"/>
        </w:rPr>
        <w:t xml:space="preserve"> </w:t>
      </w:r>
      <w:proofErr w:type="spellStart"/>
      <w:r w:rsidRPr="00BB66C4">
        <w:rPr>
          <w:rFonts w:cstheme="minorHAnsi"/>
          <w:sz w:val="24"/>
          <w:szCs w:val="24"/>
        </w:rPr>
        <w:t>Society</w:t>
      </w:r>
      <w:proofErr w:type="spellEnd"/>
      <w:r w:rsidRPr="00BB66C4">
        <w:rPr>
          <w:rFonts w:cstheme="minorHAnsi"/>
          <w:sz w:val="24"/>
          <w:szCs w:val="24"/>
        </w:rPr>
        <w:t xml:space="preserve"> for Human </w:t>
      </w:r>
      <w:proofErr w:type="spellStart"/>
      <w:r w:rsidRPr="00BB66C4">
        <w:rPr>
          <w:rFonts w:cstheme="minorHAnsi"/>
          <w:sz w:val="24"/>
          <w:szCs w:val="24"/>
        </w:rPr>
        <w:t>Reproduction</w:t>
      </w:r>
      <w:proofErr w:type="spellEnd"/>
      <w:r w:rsidRPr="00BB66C4">
        <w:rPr>
          <w:rFonts w:cstheme="minorHAnsi"/>
          <w:sz w:val="24"/>
          <w:szCs w:val="24"/>
        </w:rPr>
        <w:t xml:space="preserve"> and </w:t>
      </w:r>
      <w:proofErr w:type="spellStart"/>
      <w:r w:rsidRPr="00BB66C4">
        <w:rPr>
          <w:rFonts w:cstheme="minorHAnsi"/>
          <w:sz w:val="24"/>
          <w:szCs w:val="24"/>
        </w:rPr>
        <w:t>Embryology</w:t>
      </w:r>
      <w:proofErr w:type="spellEnd"/>
      <w:r w:rsidRPr="00BB66C4">
        <w:rPr>
          <w:rFonts w:cstheme="minorHAnsi"/>
          <w:sz w:val="24"/>
          <w:szCs w:val="24"/>
        </w:rPr>
        <w:t xml:space="preserve">) w ramach programu </w:t>
      </w:r>
      <w:proofErr w:type="spellStart"/>
      <w:r w:rsidRPr="00BB66C4">
        <w:rPr>
          <w:rFonts w:cstheme="minorHAnsi"/>
          <w:sz w:val="24"/>
          <w:szCs w:val="24"/>
        </w:rPr>
        <w:t>European</w:t>
      </w:r>
      <w:proofErr w:type="spellEnd"/>
      <w:r w:rsidRPr="00BB66C4">
        <w:rPr>
          <w:rFonts w:cstheme="minorHAnsi"/>
          <w:sz w:val="24"/>
          <w:szCs w:val="24"/>
        </w:rPr>
        <w:t xml:space="preserve"> IVF Monitoring,</w:t>
      </w:r>
    </w:p>
    <w:p w:rsidR="00757FFB" w:rsidRPr="00BB66C4" w:rsidRDefault="00757FFB" w:rsidP="00BB66C4">
      <w:pPr>
        <w:pStyle w:val="Akapitzlist"/>
        <w:numPr>
          <w:ilvl w:val="1"/>
          <w:numId w:val="11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>zapewnienie pomocy i wsparcia psychologicznego dla uczestników na czas realizacji Programu,</w:t>
      </w:r>
    </w:p>
    <w:p w:rsidR="00757FFB" w:rsidRPr="00BB66C4" w:rsidRDefault="00757FFB" w:rsidP="00BB66C4">
      <w:pPr>
        <w:pStyle w:val="Akapitzlist"/>
        <w:numPr>
          <w:ilvl w:val="1"/>
          <w:numId w:val="11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>współpraca z innymi realizatorami Programu,</w:t>
      </w:r>
    </w:p>
    <w:p w:rsidR="00757FFB" w:rsidRPr="00BB66C4" w:rsidRDefault="00757FFB" w:rsidP="00BB66C4">
      <w:pPr>
        <w:pStyle w:val="Akapitzlist"/>
        <w:numPr>
          <w:ilvl w:val="1"/>
          <w:numId w:val="11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bCs/>
          <w:sz w:val="24"/>
          <w:szCs w:val="24"/>
        </w:rPr>
        <w:t>umieszczanie informacji o realizowanym Programie na stronie internetowej własnej placówki leczniczej, prowadzenie działań promocyjnych oraz informacyjno-edukacyjnych dla beneficjentów Programu,</w:t>
      </w:r>
    </w:p>
    <w:p w:rsidR="00757FFB" w:rsidRPr="00BB66C4" w:rsidRDefault="00757FFB" w:rsidP="00BB66C4">
      <w:pPr>
        <w:pStyle w:val="Akapitzlist"/>
        <w:numPr>
          <w:ilvl w:val="1"/>
          <w:numId w:val="11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bCs/>
          <w:sz w:val="24"/>
          <w:szCs w:val="24"/>
        </w:rPr>
        <w:t>prowadzenie bazy danych beneficjentów biorących udział w Programie wraz z wyszczególnieniem badań oraz procedur u nich wykonywanych,</w:t>
      </w:r>
    </w:p>
    <w:p w:rsidR="00757FFB" w:rsidRPr="00BB66C4" w:rsidRDefault="00757FFB" w:rsidP="00BB66C4">
      <w:pPr>
        <w:pStyle w:val="Akapitzlist"/>
        <w:numPr>
          <w:ilvl w:val="1"/>
          <w:numId w:val="11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bCs/>
          <w:sz w:val="24"/>
          <w:szCs w:val="24"/>
        </w:rPr>
        <w:t>prowadzenie dokumentacji medycznej i finansowo-księgowej z realizacji Programu,</w:t>
      </w:r>
    </w:p>
    <w:p w:rsidR="00757FFB" w:rsidRPr="00BB66C4" w:rsidRDefault="00757FFB" w:rsidP="00BB66C4">
      <w:pPr>
        <w:pStyle w:val="Akapitzlist"/>
        <w:numPr>
          <w:ilvl w:val="1"/>
          <w:numId w:val="11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bCs/>
          <w:sz w:val="24"/>
          <w:szCs w:val="24"/>
        </w:rPr>
        <w:t>archiwizacja i zabezpieczenie dokumentacji z realizacji Programu, zgodnie z przepisami obowiązującymi w tym zakresie,</w:t>
      </w:r>
    </w:p>
    <w:p w:rsidR="00757FFB" w:rsidRPr="00BB66C4" w:rsidRDefault="00757FFB" w:rsidP="00BB66C4">
      <w:pPr>
        <w:pStyle w:val="Akapitzlist"/>
        <w:numPr>
          <w:ilvl w:val="1"/>
          <w:numId w:val="11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bCs/>
          <w:sz w:val="24"/>
          <w:szCs w:val="24"/>
        </w:rPr>
        <w:t>monitorowanie i prowadzenie ewaluacji Programu,</w:t>
      </w:r>
    </w:p>
    <w:p w:rsidR="00757FFB" w:rsidRPr="00BB66C4" w:rsidRDefault="00757FFB" w:rsidP="00BB66C4">
      <w:pPr>
        <w:pStyle w:val="Akapitzlist"/>
        <w:numPr>
          <w:ilvl w:val="1"/>
          <w:numId w:val="11"/>
        </w:numPr>
        <w:spacing w:line="360" w:lineRule="auto"/>
        <w:rPr>
          <w:rFonts w:cstheme="minorHAnsi"/>
          <w:sz w:val="24"/>
          <w:szCs w:val="24"/>
        </w:rPr>
      </w:pPr>
      <w:r w:rsidRPr="00BB66C4">
        <w:rPr>
          <w:rFonts w:cstheme="minorHAnsi"/>
          <w:sz w:val="24"/>
          <w:szCs w:val="24"/>
        </w:rPr>
        <w:t xml:space="preserve">przekazanie Wydziałowi Zdrowia i Spraw Społecznych Urzędu Miasta wyników z monitorowania i ewaluacji Programu do w formie raportu. </w:t>
      </w:r>
    </w:p>
    <w:p w:rsidR="00B76EA2" w:rsidRPr="00BB66C4" w:rsidRDefault="00B76EA2" w:rsidP="00BB66C4">
      <w:pPr>
        <w:pStyle w:val="Akapitzlist"/>
        <w:spacing w:line="360" w:lineRule="auto"/>
        <w:ind w:left="426"/>
        <w:rPr>
          <w:rFonts w:cstheme="minorHAnsi"/>
          <w:sz w:val="24"/>
          <w:szCs w:val="24"/>
        </w:rPr>
      </w:pPr>
    </w:p>
    <w:sectPr w:rsidR="00B76EA2" w:rsidRPr="00BB66C4" w:rsidSect="00CE1E3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326" w:rsidRDefault="00EE2326" w:rsidP="00C55563">
      <w:pPr>
        <w:spacing w:after="0" w:line="240" w:lineRule="auto"/>
      </w:pPr>
      <w:r>
        <w:separator/>
      </w:r>
    </w:p>
  </w:endnote>
  <w:endnote w:type="continuationSeparator" w:id="0">
    <w:p w:rsidR="00EE2326" w:rsidRDefault="00EE2326" w:rsidP="00C55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5361952"/>
      <w:docPartObj>
        <w:docPartGallery w:val="Page Numbers (Bottom of Page)"/>
        <w:docPartUnique/>
      </w:docPartObj>
    </w:sdtPr>
    <w:sdtEndPr/>
    <w:sdtContent>
      <w:p w:rsidR="00BB66C4" w:rsidRDefault="00BB66C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B66C4" w:rsidRDefault="00BB66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326" w:rsidRDefault="00EE2326" w:rsidP="00C55563">
      <w:pPr>
        <w:spacing w:after="0" w:line="240" w:lineRule="auto"/>
      </w:pPr>
      <w:r>
        <w:separator/>
      </w:r>
    </w:p>
  </w:footnote>
  <w:footnote w:type="continuationSeparator" w:id="0">
    <w:p w:rsidR="00EE2326" w:rsidRDefault="00EE2326" w:rsidP="00C55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563" w:rsidRDefault="00C55563">
    <w:pPr>
      <w:pStyle w:val="Nagwek"/>
    </w:pPr>
  </w:p>
  <w:p w:rsidR="00C55563" w:rsidRDefault="00C555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34C71"/>
    <w:multiLevelType w:val="hybridMultilevel"/>
    <w:tmpl w:val="E26AB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F754E"/>
    <w:multiLevelType w:val="hybridMultilevel"/>
    <w:tmpl w:val="4AC830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E13D3"/>
    <w:multiLevelType w:val="multilevel"/>
    <w:tmpl w:val="B472F3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54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1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7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92" w:hanging="2160"/>
      </w:pPr>
      <w:rPr>
        <w:rFonts w:hint="default"/>
      </w:rPr>
    </w:lvl>
  </w:abstractNum>
  <w:abstractNum w:abstractNumId="3" w15:restartNumberingAfterBreak="0">
    <w:nsid w:val="0BFF6464"/>
    <w:multiLevelType w:val="hybridMultilevel"/>
    <w:tmpl w:val="1DCC753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097B59"/>
    <w:multiLevelType w:val="hybridMultilevel"/>
    <w:tmpl w:val="924005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D6549F"/>
    <w:multiLevelType w:val="multilevel"/>
    <w:tmpl w:val="B472F3F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42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0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9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80" w:hanging="2160"/>
      </w:pPr>
      <w:rPr>
        <w:rFonts w:hint="default"/>
      </w:rPr>
    </w:lvl>
  </w:abstractNum>
  <w:abstractNum w:abstractNumId="6" w15:restartNumberingAfterBreak="0">
    <w:nsid w:val="22D047EA"/>
    <w:multiLevelType w:val="multilevel"/>
    <w:tmpl w:val="B472F3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54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1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7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92" w:hanging="2160"/>
      </w:pPr>
      <w:rPr>
        <w:rFonts w:hint="default"/>
      </w:rPr>
    </w:lvl>
  </w:abstractNum>
  <w:abstractNum w:abstractNumId="7" w15:restartNumberingAfterBreak="0">
    <w:nsid w:val="2D636DCD"/>
    <w:multiLevelType w:val="hybridMultilevel"/>
    <w:tmpl w:val="2FF8B1A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07A6DE3"/>
    <w:multiLevelType w:val="hybridMultilevel"/>
    <w:tmpl w:val="B1FCAC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2C5EAC"/>
    <w:multiLevelType w:val="multilevel"/>
    <w:tmpl w:val="B472F3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54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1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7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92" w:hanging="2160"/>
      </w:pPr>
      <w:rPr>
        <w:rFonts w:hint="default"/>
      </w:rPr>
    </w:lvl>
  </w:abstractNum>
  <w:abstractNum w:abstractNumId="10" w15:restartNumberingAfterBreak="0">
    <w:nsid w:val="3A5C0A0C"/>
    <w:multiLevelType w:val="hybridMultilevel"/>
    <w:tmpl w:val="36C6C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D71DD"/>
    <w:multiLevelType w:val="hybridMultilevel"/>
    <w:tmpl w:val="F4DAD5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54714"/>
    <w:multiLevelType w:val="multilevel"/>
    <w:tmpl w:val="842C33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54" w:hanging="72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1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7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92" w:hanging="2160"/>
      </w:pPr>
      <w:rPr>
        <w:rFonts w:hint="default"/>
      </w:rPr>
    </w:lvl>
  </w:abstractNum>
  <w:abstractNum w:abstractNumId="13" w15:restartNumberingAfterBreak="0">
    <w:nsid w:val="7B9E3C0C"/>
    <w:multiLevelType w:val="hybridMultilevel"/>
    <w:tmpl w:val="D2B278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5"/>
  </w:num>
  <w:num w:numId="9">
    <w:abstractNumId w:val="2"/>
  </w:num>
  <w:num w:numId="10">
    <w:abstractNumId w:val="9"/>
  </w:num>
  <w:num w:numId="11">
    <w:abstractNumId w:val="12"/>
  </w:num>
  <w:num w:numId="12">
    <w:abstractNumId w:val="13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D65"/>
    <w:rsid w:val="000320AD"/>
    <w:rsid w:val="00115A3E"/>
    <w:rsid w:val="00194337"/>
    <w:rsid w:val="001B7AD7"/>
    <w:rsid w:val="00231FAC"/>
    <w:rsid w:val="003103F3"/>
    <w:rsid w:val="003162BD"/>
    <w:rsid w:val="00383E88"/>
    <w:rsid w:val="00384AD8"/>
    <w:rsid w:val="00421710"/>
    <w:rsid w:val="00466484"/>
    <w:rsid w:val="00493EAD"/>
    <w:rsid w:val="004E384F"/>
    <w:rsid w:val="005A596B"/>
    <w:rsid w:val="006A451E"/>
    <w:rsid w:val="00702470"/>
    <w:rsid w:val="00757FFB"/>
    <w:rsid w:val="007F277A"/>
    <w:rsid w:val="00882777"/>
    <w:rsid w:val="008E3D65"/>
    <w:rsid w:val="00A37F91"/>
    <w:rsid w:val="00A605A9"/>
    <w:rsid w:val="00B60690"/>
    <w:rsid w:val="00B76EA2"/>
    <w:rsid w:val="00BB66C4"/>
    <w:rsid w:val="00C55563"/>
    <w:rsid w:val="00CE1E30"/>
    <w:rsid w:val="00CE5FE0"/>
    <w:rsid w:val="00E20F12"/>
    <w:rsid w:val="00EE2326"/>
    <w:rsid w:val="00FD03A3"/>
    <w:rsid w:val="00FD268B"/>
    <w:rsid w:val="00FF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5648A"/>
  <w15:docId w15:val="{EC2F1193-DB33-4E08-8DD6-2B033E92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E3D65"/>
    <w:rPr>
      <w:rFonts w:ascii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3D6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55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5563"/>
    <w:rPr>
      <w:rFonts w:asciiTheme="minorHAnsi" w:hAnsiTheme="minorHAnsi" w:cstheme="minorBidi"/>
    </w:rPr>
  </w:style>
  <w:style w:type="paragraph" w:styleId="Stopka">
    <w:name w:val="footer"/>
    <w:basedOn w:val="Normalny"/>
    <w:link w:val="StopkaZnak"/>
    <w:uiPriority w:val="99"/>
    <w:unhideWhenUsed/>
    <w:rsid w:val="00C55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5563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1907</Words>
  <Characters>11443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ummogr03</dc:creator>
  <cp:lastModifiedBy>Gramburg Monika</cp:lastModifiedBy>
  <cp:revision>13</cp:revision>
  <dcterms:created xsi:type="dcterms:W3CDTF">2022-01-18T11:57:00Z</dcterms:created>
  <dcterms:modified xsi:type="dcterms:W3CDTF">2022-12-08T10:15:00Z</dcterms:modified>
</cp:coreProperties>
</file>