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F0" w:rsidRDefault="005F18F0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176, ze zmianami) oraz na podstawie art. 49 § 1 ustawy z dnia 14 czerwca 1960 r. - Kodeks postępowania administracyjnego (tekst jednolity: Dz. U. z 2022 r., poz. 2000)</w:t>
      </w:r>
    </w:p>
    <w:p w:rsidR="005F18F0" w:rsidRDefault="005F18F0">
      <w:pPr>
        <w:rPr>
          <w:sz w:val="18"/>
          <w:szCs w:val="18"/>
          <w:lang w:val="pl-PL"/>
        </w:rPr>
      </w:pPr>
    </w:p>
    <w:p w:rsidR="005F18F0" w:rsidRDefault="005F18F0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5F18F0" w:rsidRDefault="005F18F0">
      <w:pPr>
        <w:rPr>
          <w:rFonts w:ascii="Arial" w:hAnsi="Arial" w:cs="Arial"/>
          <w:sz w:val="18"/>
          <w:szCs w:val="18"/>
          <w:lang w:val="pl-PL"/>
        </w:rPr>
      </w:pPr>
    </w:p>
    <w:p w:rsidR="005F18F0" w:rsidRDefault="005F18F0">
      <w:pPr>
        <w:pStyle w:val="10Szanowny"/>
        <w:spacing w:before="0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0" w:name="OLE_LINK9"/>
      <w:bookmarkStart w:id="1" w:name="OLE_LINK23"/>
      <w:bookmarkStart w:id="2" w:name="OLE_LINK12"/>
      <w:r>
        <w:rPr>
          <w:rFonts w:ascii="Times New Roman" w:hAnsi="Times New Roman" w:cs="Times New Roman"/>
          <w:sz w:val="18"/>
          <w:szCs w:val="18"/>
        </w:rPr>
        <w:t xml:space="preserve">że na wniosek z dnia </w:t>
      </w:r>
      <w:bookmarkStart w:id="3" w:name="OLE_LINK14"/>
      <w:r>
        <w:rPr>
          <w:rFonts w:ascii="Times New Roman" w:hAnsi="Times New Roman" w:cs="Times New Roman"/>
          <w:sz w:val="18"/>
          <w:szCs w:val="18"/>
        </w:rPr>
        <w:t xml:space="preserve">19.08.2022 r. 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Prezydenta Wrocławia zostało wszczęte postępowanie administracyjne w sprawie wydania decyzji </w:t>
      </w:r>
      <w:bookmarkStart w:id="4" w:name="OLE_LINK6"/>
      <w:r>
        <w:rPr>
          <w:rFonts w:ascii="Times New Roman" w:hAnsi="Times New Roman" w:cs="Times New Roman"/>
          <w:sz w:val="18"/>
          <w:szCs w:val="18"/>
        </w:rPr>
        <w:t>o zezwoleniu na realizację inwestycji drogowej</w:t>
      </w:r>
      <w:bookmarkEnd w:id="4"/>
      <w:r>
        <w:rPr>
          <w:rFonts w:ascii="Times New Roman" w:hAnsi="Times New Roman" w:cs="Times New Roman"/>
          <w:sz w:val="18"/>
          <w:szCs w:val="18"/>
        </w:rPr>
        <w:t xml:space="preserve"> dla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rozbudowy ul. Awicenny na odcinku od powstającej zabudowy na działce nr 1/12 AR_21 obręb Oporów do Poczty Polskiej w zakresie budowy chodnika i ścieżki rowerowej wraz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z oświetleniem</w:t>
      </w:r>
      <w:r>
        <w:rPr>
          <w:rFonts w:ascii="Times New Roman" w:hAnsi="Times New Roman" w:cs="Times New Roman"/>
          <w:sz w:val="18"/>
          <w:szCs w:val="18"/>
        </w:rPr>
        <w:t xml:space="preserve">, planowanej we Wrocławiu. </w:t>
      </w:r>
    </w:p>
    <w:bookmarkEnd w:id="0"/>
    <w:bookmarkEnd w:id="1"/>
    <w:bookmarkEnd w:id="2"/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Nieruchomości znajdujące się w liniach rozgraniczających teren, przeznaczone na pas drogowy drogi gminnej: </w:t>
      </w:r>
    </w:p>
    <w:p w:rsidR="005F18F0" w:rsidRDefault="005F18F0">
      <w:pPr>
        <w:pStyle w:val="BodyText2"/>
        <w:suppressAutoHyphens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1559"/>
        <w:gridCol w:w="850"/>
        <w:gridCol w:w="1560"/>
        <w:gridCol w:w="1559"/>
        <w:gridCol w:w="3118"/>
      </w:tblGrid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bookmarkStart w:id="5" w:name="OLE_LINK7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0.1342 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0.5328 </w:t>
            </w:r>
            <w: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(roboty na części - 0.2014 ha)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0.7031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0.0670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0.0557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1.4396 </w:t>
            </w:r>
            <w: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(roboty na części - 0.0291 ha)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0.0020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0.1935 </w:t>
            </w:r>
            <w:r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(roboty na części - 0.0676 ha)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0.2212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0.0488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0.0622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0.0032 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0.0030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0.0631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0.0049 </w:t>
            </w:r>
          </w:p>
        </w:tc>
      </w:tr>
      <w:tr w:rsidR="005F18F0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7/9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0.0134</w:t>
            </w:r>
          </w:p>
        </w:tc>
      </w:tr>
      <w:bookmarkEnd w:id="5"/>
    </w:tbl>
    <w:p w:rsidR="005F18F0" w:rsidRDefault="005F18F0">
      <w:pPr>
        <w:suppressAutoHyphens/>
        <w:rPr>
          <w:rFonts w:ascii="Arial" w:hAnsi="Arial" w:cs="Arial"/>
          <w:sz w:val="18"/>
          <w:szCs w:val="18"/>
          <w:lang w:val="pl-PL"/>
        </w:rPr>
      </w:pPr>
    </w:p>
    <w:p w:rsidR="005F18F0" w:rsidRDefault="005F18F0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złożono oświadczenie o posiadanym prawie do dysponowania nieruchomościami na cele budowlane: </w:t>
      </w:r>
    </w:p>
    <w:p w:rsidR="005F18F0" w:rsidRDefault="005F18F0">
      <w:pPr>
        <w:pStyle w:val="BodyText2"/>
        <w:suppressAutoHyphens/>
        <w:ind w:left="0" w:right="0" w:firstLine="0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1346"/>
        <w:gridCol w:w="1417"/>
        <w:gridCol w:w="2268"/>
        <w:gridCol w:w="2693"/>
      </w:tblGrid>
      <w:tr w:rsidR="005F18F0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5F18F0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0.0027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Budowa sieci oświetlenia ulicznego</w:t>
            </w:r>
          </w:p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F18F0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0.00045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F18F0" w:rsidRDefault="005F18F0">
            <w:pPr>
              <w:pStyle w:val="BodyTextIndent2"/>
              <w:suppressAutoHyphens/>
              <w:ind w:left="0"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5F18F0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3/8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0.00654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Indent2"/>
              <w:suppressAutoHyphens/>
              <w:ind w:left="0"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</w:tbl>
    <w:p w:rsidR="005F18F0" w:rsidRDefault="005F18F0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p w:rsidR="005F18F0" w:rsidRDefault="005F18F0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wystąpiono </w:t>
      </w:r>
      <w:r>
        <w:rPr>
          <w:rFonts w:ascii="Times New Roman" w:hAnsi="Times New Roman" w:cs="Times New Roman"/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:rsidR="005F18F0" w:rsidRDefault="005F18F0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793"/>
        <w:gridCol w:w="766"/>
        <w:gridCol w:w="1276"/>
        <w:gridCol w:w="4889"/>
      </w:tblGrid>
      <w:tr w:rsidR="005F18F0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5F18F0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numPr>
                <w:ilvl w:val="0"/>
                <w:numId w:val="24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Oporów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0.0080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8F0" w:rsidRDefault="005F18F0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Budowa przepustu o rednicy ø 1000 wraz z umocnieniem dna i skarp płytami ażurowymi, budowa ścieżki rowerowej, chodnika, budowa kabla oświetlenia, przebudowa kabli elektroenergetycznych</w:t>
            </w:r>
          </w:p>
        </w:tc>
      </w:tr>
    </w:tbl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rFonts w:ascii="Times New Roman" w:hAnsi="Times New Roman" w:cs="Times New Roman"/>
          <w:b w:val="0"/>
          <w:bCs w:val="0"/>
        </w:rPr>
        <w:br/>
        <w:t xml:space="preserve">z naruszeniem powyższego zakazu jest nieważna. </w:t>
      </w: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49 §2 Kodeksu postępowania administracyjnego dzień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28.10.2022 </w:t>
      </w:r>
      <w:r>
        <w:rPr>
          <w:rFonts w:ascii="Times New Roman" w:hAnsi="Times New Roman" w:cs="Times New Roman"/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rPr>
          <w:rFonts w:ascii="Times New Roman" w:hAnsi="Times New Roman" w:cs="Times New Roman"/>
        </w:rPr>
        <w:t>w terminie 28 dni</w:t>
      </w:r>
      <w:r>
        <w:rPr>
          <w:rFonts w:ascii="Times New Roman" w:hAnsi="Times New Roman" w:cs="Times New Roman"/>
          <w:b w:val="0"/>
          <w:bCs w:val="0"/>
        </w:rPr>
        <w:t xml:space="preserve"> od daty publicznego obwieszczenia. </w:t>
      </w: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5F18F0" w:rsidRDefault="005F18F0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F18F0" w:rsidRDefault="005F18F0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5F18F0" w:rsidRDefault="005F18F0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W-ZRID-21598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2022-ul</w:t>
      </w:r>
      <w:r>
        <w:rPr>
          <w:rFonts w:ascii="Arial" w:hAnsi="Arial" w:cs="Arial"/>
          <w:sz w:val="18"/>
          <w:szCs w:val="18"/>
          <w:lang w:val="pl-PL"/>
        </w:rPr>
        <w:t>.</w:t>
      </w:r>
      <w:r>
        <w:rPr>
          <w:sz w:val="18"/>
          <w:szCs w:val="18"/>
          <w:lang w:val="pl-PL"/>
        </w:rPr>
        <w:t xml:space="preserve"> Ibn Siny Awicenny</w:t>
      </w:r>
    </w:p>
    <w:p w:rsidR="005F18F0" w:rsidRDefault="005F18F0">
      <w:pPr>
        <w:spacing w:line="300" w:lineRule="auto"/>
        <w:jc w:val="left"/>
        <w:rPr>
          <w:sz w:val="18"/>
          <w:szCs w:val="18"/>
          <w:lang w:val="pl-PL"/>
        </w:rPr>
      </w:pPr>
    </w:p>
    <w:p w:rsidR="005F18F0" w:rsidRDefault="005F18F0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5F18F0" w:rsidRDefault="005F18F0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5F18F0" w:rsidRDefault="005F18F0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5F18F0" w:rsidRDefault="005F18F0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p w:rsidR="005F18F0" w:rsidRDefault="005F18F0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</w:p>
    <w:sectPr w:rsidR="005F18F0" w:rsidSect="005F18F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F0" w:rsidRDefault="005F18F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5F18F0" w:rsidRDefault="005F18F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F0" w:rsidRDefault="005F18F0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F0" w:rsidRDefault="005F18F0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F0" w:rsidRDefault="005F18F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5F18F0" w:rsidRDefault="005F18F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F0" w:rsidRDefault="005F18F0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5F18F0" w:rsidRDefault="005F18F0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23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1"/>
  </w:num>
  <w:num w:numId="22">
    <w:abstractNumId w:val="22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8F0"/>
    <w:rsid w:val="005F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628</Words>
  <Characters>3584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3</cp:revision>
  <cp:lastPrinted>2022-04-19T11:54:00Z</cp:lastPrinted>
  <dcterms:created xsi:type="dcterms:W3CDTF">2022-10-20T12:17:00Z</dcterms:created>
  <dcterms:modified xsi:type="dcterms:W3CDTF">2022-10-24T12:31:00Z</dcterms:modified>
</cp:coreProperties>
</file>