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Zawiadomienie o naruszeniu bezpieczeństwa danych osobowych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b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Prezydent Wrocławia, działając jako administrator danych osobowych, zawiadamia, że w związku z publikacją na stronach bip.um.wroc.pl informacji o numerach ksiąg wieczystych nieruchomości gminnych po dokonaniu sprzedaży tych nieruchomości przez Gminę Wrocław zachodzi potencjalne ryzyko, że dane, które można pozyskać w oparciu o numer księgi wieczystej mogą posłużyć w celu identyfikacji osoby fizycznej, która nabyła nieruchomości, w centralnej bazie danych ksiąg wieczystych udostępnionej przez Ministra Sprawiedliwości. 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Administrator danych osobowych podjął decyzję o zgłoszeniu tego naruszenia Prezesowi Urzędu Ochrony Danych Osobowych.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Informacje o numerze ksiąg wieczystych na stronach bip.um.wroc.pl publikowane były w oparciu o art. 35 ust. 1 i 2 ustawy z dnia 21 sierpnia 1997 r. o gospodarce nieruchomościami (Dz. U. z 2021 r. poz. 1899) oraz zgodnie z § 6 ust. 7, w związku z § 13 rozporządzeniem Rady Ministrów z dnia 14 września 2004 r. w sprawie sposobu i trybu przeprowadzania przetargów oraz rokowań na zbycie nieruchomości (Dz. U. z 2022 r. poz. 2213) w związku z podaniem do publicznej wiadomości informacji o wykazie nieruchomości przeznaczonych do sprzedaży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Verdana" w:hAnsi="Verdana"/>
          <w:sz w:val="20"/>
          <w:szCs w:val="20"/>
        </w:rPr>
        <w:t>Zgodnie z art. 36</w:t>
      </w:r>
      <w:r>
        <w:rPr>
          <w:rFonts w:ascii="Verdana" w:hAnsi="Verdana"/>
          <w:sz w:val="20"/>
          <w:szCs w:val="20"/>
          <w:vertAlign w:val="superscript"/>
        </w:rPr>
        <w:t xml:space="preserve">3 </w:t>
      </w:r>
      <w:r>
        <w:rPr>
          <w:rFonts w:ascii="Verdana" w:hAnsi="Verdana"/>
          <w:bCs/>
          <w:sz w:val="20"/>
          <w:szCs w:val="20"/>
        </w:rPr>
        <w:t xml:space="preserve">ustawy </w:t>
      </w:r>
      <w:r>
        <w:rPr>
          <w:rFonts w:ascii="Verdana" w:hAnsi="Verdana"/>
          <w:sz w:val="20"/>
          <w:szCs w:val="20"/>
        </w:rPr>
        <w:t>z dnia 6 lipca 1982 r.</w:t>
      </w:r>
      <w:r>
        <w:rPr>
          <w:rFonts w:ascii="Verdana" w:hAnsi="Verdana"/>
          <w:bCs/>
          <w:sz w:val="20"/>
          <w:szCs w:val="20"/>
        </w:rPr>
        <w:t xml:space="preserve"> o księgach wieczystych i hipotece </w:t>
      </w:r>
      <w:r>
        <w:rPr>
          <w:rFonts w:ascii="Verdana" w:hAnsi="Verdana"/>
          <w:sz w:val="20"/>
          <w:szCs w:val="20"/>
        </w:rPr>
        <w:t>Minister Sprawiedliwości utrzymuje centralną bazę danych ksiąg wieczystych stanowiącą ogólnokrajowy zbiór ksiąg wieczystych prowadzonych w systemie teleinformatycznym oraz zapewnia bezpieczeństwo centralnej bazy danych ksiąg wieczystych, w szczególności ochronę przed nieuprawnionym dostępem osób trzecich, zniszczeniem oraz utratą danych.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Urzędzie Miejskim Wrocławia do ochrony danych osobowych przykładamy szczególną wagę dlatego też administrator danych osobowych uznał za konieczne wskazać Państwu potencjalne ryzyka związane z niniejszym incydentem, których nie można całkowicie wykluczyć w związku z możliwością pozyskania w oparciu o numer księgi wieczystej danych osobowych z rejestrów udostępnionych publicznie przez Ministra Sprawiedliwości.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Potencjalne możliwe konsekwencje oraz informacje, jak się przed nimi ustrzec: 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426" w:right="0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wykorzystanie danych osobowych pozyskanych z centralnej bazy danych ksiąg wieczystych, w celu podszycia się pod osobę fizyczną (tzw. „kradzież tożsamości”), a w konsekwencji tego: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993" w:right="0" w:hanging="567"/>
        <w:jc w:val="both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uzyskanie przez osoby trzecie kredytów na szkodę osoby, której dane pozyskano w instytucjach pozabankowych, które umożliwiają realizację procedury uzyskania kredytu przez Internet lub telefonicznie i wymagają jedynie podania podstawowych danych identyfikacyjnych bez okazywania innych dokumentów potwierdzających tożsamość.</w:t>
      </w:r>
    </w:p>
    <w:p>
      <w:pPr>
        <w:pStyle w:val="Normal"/>
        <w:spacing w:lineRule="auto" w:line="240" w:before="0" w:after="0"/>
        <w:ind w:left="993" w:right="0" w:hanging="0"/>
        <w:jc w:val="both"/>
        <w:rPr/>
      </w:pPr>
      <w:r>
        <w:rPr>
          <w:rFonts w:eastAsia="Times New Roman" w:cs="Times New Roman" w:ascii="Verdana" w:hAnsi="Verdana"/>
          <w:b/>
          <w:bCs/>
          <w:iCs/>
          <w:color w:val="000000"/>
          <w:sz w:val="20"/>
          <w:szCs w:val="20"/>
          <w:lang w:eastAsia="pl-PL"/>
        </w:rPr>
        <w:t>Środek zaradczy:</w:t>
      </w:r>
      <w:r>
        <w:rPr>
          <w:rFonts w:eastAsia="Times New Roman" w:cs="Times New Roman" w:ascii="Verdana" w:hAnsi="Verdana"/>
          <w:iCs/>
          <w:color w:val="000000"/>
          <w:sz w:val="20"/>
          <w:szCs w:val="20"/>
          <w:lang w:eastAsia="pl-PL"/>
        </w:rPr>
        <w:t xml:space="preserve"> weryfikacja danych w systemie BIK (Biurze Informacji Kredytowej);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993" w:right="0" w:hanging="567"/>
        <w:jc w:val="both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wygenerowanie innego niż kredyt zadłużenia w przypadku nieopłacania przez nieuczciwe osoby nabytych przez nie usług lub towarów, np. tytułem zakupu usług telewizji kablowej, telefonicznych, Internetu, wynajęcia samochodu, wynajęcia pokoju hotelowego lub mieszkania.</w:t>
      </w:r>
    </w:p>
    <w:p>
      <w:pPr>
        <w:pStyle w:val="Normal"/>
        <w:spacing w:lineRule="auto" w:line="240" w:before="0" w:after="0"/>
        <w:ind w:left="993" w:right="0" w:hanging="0"/>
        <w:jc w:val="both"/>
        <w:rPr/>
      </w:pPr>
      <w:r>
        <w:rPr>
          <w:rFonts w:eastAsia="Times New Roman" w:cs="Times New Roman" w:ascii="Verdana" w:hAnsi="Verdana"/>
          <w:b/>
          <w:bCs/>
          <w:iCs/>
          <w:color w:val="000000"/>
          <w:sz w:val="20"/>
          <w:szCs w:val="20"/>
          <w:lang w:eastAsia="pl-PL"/>
        </w:rPr>
        <w:t>Środek zaradczy:</w:t>
      </w:r>
      <w:r>
        <w:rPr>
          <w:rFonts w:eastAsia="Times New Roman" w:cs="Times New Roman" w:ascii="Verdana" w:hAnsi="Verdana"/>
          <w:i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Times New Roman" w:ascii="Verdana" w:hAnsi="Verdana"/>
          <w:iCs/>
          <w:color w:val="000000"/>
          <w:sz w:val="20"/>
          <w:szCs w:val="20"/>
          <w:lang w:eastAsia="pl-PL"/>
        </w:rPr>
        <w:t>obserwacja korespondencji, która może wzbudzić wątpliwości (np. korespondencja z przygotowanymi do podpisu umowami, informacjami marketingowymi, powiadomieniami o braku terminowego uiszczenia należności) od firm telekomunikacyjnych, telewizji kablowych lub innych podmiotów, z którymi nie zawierano umów;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993" w:right="0" w:hanging="567"/>
        <w:jc w:val="both"/>
        <w:rPr/>
      </w:pPr>
      <w:r>
        <w:rPr>
          <w:rFonts w:eastAsia="Times New Roman" w:cs="Times New Roman" w:ascii="Verdana" w:hAnsi="Verdana"/>
          <w:iCs/>
          <w:sz w:val="20"/>
          <w:szCs w:val="20"/>
          <w:lang w:eastAsia="pl-PL"/>
        </w:rPr>
        <w:t>przypisanie oszustwa w postaci wyłudzenia odszkodowania od ubezpieczyciela. Istnieją firmy ubezpieczeniowe, które wydają polisy ubezpieczeniowe, a także wypłacają odszkodowania z ubezpieczenia bez weryfikacji dokumentów</w:t>
      </w:r>
      <w:r>
        <w:rPr>
          <w:rFonts w:eastAsia="Times New Roman" w:cs="Times New Roman" w:ascii="Verdana" w:hAnsi="Verdana"/>
          <w:sz w:val="20"/>
          <w:szCs w:val="20"/>
          <w:lang w:eastAsia="pl-PL"/>
        </w:rPr>
        <w:t xml:space="preserve"> tożsamości ubezpieczonego. </w:t>
      </w:r>
    </w:p>
    <w:p>
      <w:pPr>
        <w:pStyle w:val="Normal"/>
        <w:spacing w:lineRule="auto" w:line="240" w:before="0" w:after="0"/>
        <w:ind w:left="993" w:right="0" w:hanging="0"/>
        <w:jc w:val="both"/>
        <w:rPr/>
      </w:pPr>
      <w:r>
        <w:rPr>
          <w:rFonts w:eastAsia="Times New Roman" w:cs="Times New Roman" w:ascii="Verdana" w:hAnsi="Verdana"/>
          <w:b/>
          <w:bCs/>
          <w:iCs/>
          <w:color w:val="000000"/>
          <w:sz w:val="20"/>
          <w:szCs w:val="20"/>
          <w:lang w:eastAsia="pl-PL"/>
        </w:rPr>
        <w:t>Środek zaradczy:</w:t>
      </w:r>
      <w:r>
        <w:rPr>
          <w:rFonts w:eastAsia="Times New Roman" w:cs="Times New Roman" w:ascii="Verdana" w:hAnsi="Verdana"/>
          <w:i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Times New Roman" w:ascii="Verdana" w:hAnsi="Verdana"/>
          <w:sz w:val="20"/>
          <w:szCs w:val="20"/>
          <w:lang w:eastAsia="pl-PL"/>
        </w:rPr>
        <w:t xml:space="preserve">obserwacja przychodzącej 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korespondencji od firm ubezpieczeniowych, a w razie wątpliwości kontakt z firmą w celu wyjaśnienia niezgodności;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993" w:right="0" w:hanging="567"/>
        <w:jc w:val="both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ograniczenie możliwości korzystania z praw obywatelskich i usług kierowanych do ogółu obywateli (np. głosowanie w ramach budżetu obywatelskiego, internetowa rejestracja wizyt w urzędach) lub ujawnienie danych z centralnych rejestrów publicznych w związku z wykorzystaniem numeru PESEL, w tym celu.</w:t>
      </w:r>
    </w:p>
    <w:p>
      <w:pPr>
        <w:pStyle w:val="Normal"/>
        <w:spacing w:lineRule="auto" w:line="240" w:before="0" w:after="0"/>
        <w:ind w:left="993" w:right="0" w:hanging="0"/>
        <w:jc w:val="both"/>
        <w:rPr/>
      </w:pPr>
      <w:r>
        <w:rPr>
          <w:rFonts w:eastAsia="Times New Roman" w:cs="Times New Roman" w:ascii="Verdana" w:hAnsi="Verdana"/>
          <w:b/>
          <w:bCs/>
          <w:iCs/>
          <w:color w:val="000000"/>
          <w:sz w:val="20"/>
          <w:szCs w:val="20"/>
          <w:lang w:eastAsia="pl-PL"/>
        </w:rPr>
        <w:t>Środek zaradczy:</w:t>
      </w:r>
      <w:r>
        <w:rPr>
          <w:rFonts w:eastAsia="Times New Roman" w:cs="Times New Roman" w:ascii="Verdana" w:hAnsi="Verdana"/>
          <w:iCs/>
          <w:color w:val="000000"/>
          <w:sz w:val="20"/>
          <w:szCs w:val="20"/>
          <w:lang w:eastAsia="pl-PL"/>
        </w:rPr>
        <w:t xml:space="preserve"> uważność na wszelkie ograniczenia podczas elektronicznych rejestracji (np. komunikat o tym, że nie można założyć konta, bo już istnieje) lub prób korzystania z usług. Ograniczenia lub nieprawidłowości te mogą być sygnałem, że osoba niepowołana korzystała z możliwości elektronicznej obsługi w kontaktach z urzędami lub używając danych skorzystała z oferowanych usług. W przypadku stwierdzenia anomalii wskazany jest kontakt z właściwym urzędem;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left="993" w:right="0" w:hanging="567"/>
        <w:jc w:val="both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uzyskanie dostępu do świadczeń z opieki zdrowotnej oraz do danych o stanie zdrowia w oparciu o numer PESEL. Potwierdzonym niebezpieczeństwem, które może dotyczyć tej sytuacji jest zmiana przypisania pacjenta do innej przychodni NFZ oraz innego lekarza pierwszego kontaktu. </w:t>
      </w:r>
    </w:p>
    <w:p>
      <w:pPr>
        <w:pStyle w:val="Normal"/>
        <w:spacing w:lineRule="auto" w:line="240" w:before="0" w:after="0"/>
        <w:ind w:left="993" w:right="0" w:hanging="0"/>
        <w:jc w:val="both"/>
        <w:rPr/>
      </w:pPr>
      <w:r>
        <w:rPr>
          <w:rFonts w:eastAsia="Times New Roman" w:cs="Times New Roman" w:ascii="Verdana" w:hAnsi="Verdana"/>
          <w:b/>
          <w:bCs/>
          <w:iCs/>
          <w:color w:val="000000"/>
          <w:sz w:val="20"/>
          <w:szCs w:val="20"/>
          <w:lang w:eastAsia="pl-PL"/>
        </w:rPr>
        <w:t>Środek zaradczy:</w:t>
      </w:r>
      <w:r>
        <w:rPr>
          <w:rFonts w:eastAsia="Times New Roman" w:cs="Times New Roman" w:ascii="Verdana" w:hAnsi="Verdana"/>
          <w:i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Times New Roman" w:ascii="Verdana" w:hAnsi="Verdana"/>
          <w:iCs/>
          <w:sz w:val="20"/>
          <w:szCs w:val="20"/>
          <w:lang w:eastAsia="pl-PL"/>
        </w:rPr>
        <w:t xml:space="preserve">śledzenie historii medycznej np. na rządowym portalu </w:t>
      </w:r>
      <w:hyperlink r:id="rId2">
        <w:r>
          <w:rPr>
            <w:rStyle w:val="Czeinternetowe"/>
            <w:rFonts w:eastAsia="Times New Roman" w:cs="Times New Roman" w:ascii="Verdana" w:hAnsi="Verdana"/>
            <w:iCs/>
            <w:color w:val="0563C1"/>
            <w:sz w:val="20"/>
            <w:szCs w:val="20"/>
            <w:u w:val="single"/>
            <w:lang w:eastAsia="pl-PL"/>
          </w:rPr>
          <w:t>https://pacjent.gov.pl</w:t>
        </w:r>
      </w:hyperlink>
      <w:r>
        <w:rPr>
          <w:rFonts w:eastAsia="Times New Roman" w:cs="Times New Roman" w:ascii="Verdana" w:hAnsi="Verdana"/>
          <w:iCs/>
          <w:sz w:val="20"/>
          <w:szCs w:val="20"/>
          <w:lang w:eastAsia="pl-PL"/>
        </w:rPr>
        <w:t xml:space="preserve">. 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Przy najbliższym kontakcie z pracownikiem przychodni, wskazane jest zwrócenie uwagi na wszelkie informacje w zakresie zmian </w:t>
        <w:br/>
        <w:t xml:space="preserve">w przypisaniu do lekarza pierwszego kontaktu. 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426" w:right="0" w:hanging="426"/>
        <w:jc w:val="both"/>
        <w:rPr>
          <w:rFonts w:ascii="Verdana" w:hAnsi="Verdana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sz w:val="20"/>
          <w:szCs w:val="20"/>
          <w:lang w:eastAsia="pl-PL"/>
        </w:rPr>
        <w:t>dyskomfort z powodu tego, że potencjalnie z informacjami o osobie może zapoznać się osoba postronna.</w:t>
      </w:r>
    </w:p>
    <w:p>
      <w:pPr>
        <w:pStyle w:val="Normal"/>
        <w:spacing w:lineRule="auto" w:line="240" w:before="0" w:after="0"/>
        <w:ind w:left="0" w:right="0" w:firstLine="426"/>
        <w:jc w:val="both"/>
        <w:rPr/>
      </w:pPr>
      <w:r>
        <w:rPr>
          <w:rFonts w:eastAsia="Times New Roman" w:cs="Times New Roman" w:ascii="Verdana" w:hAnsi="Verdana"/>
          <w:b/>
          <w:bCs/>
          <w:iCs/>
          <w:sz w:val="20"/>
          <w:szCs w:val="20"/>
          <w:lang w:eastAsia="pl-PL"/>
        </w:rPr>
        <w:t xml:space="preserve">Środki zaradcze, 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które można </w:t>
      </w:r>
      <w:r>
        <w:rPr>
          <w:rFonts w:eastAsia="Times New Roman" w:cs="Times New Roman" w:ascii="Verdana" w:hAnsi="Verdana"/>
          <w:sz w:val="20"/>
          <w:szCs w:val="20"/>
          <w:lang w:eastAsia="pl-PL"/>
        </w:rPr>
        <w:t>zastosować to: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993" w:right="0" w:hanging="567"/>
        <w:jc w:val="both"/>
        <w:rPr>
          <w:rFonts w:ascii="Verdana" w:hAnsi="Verdana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sz w:val="20"/>
          <w:szCs w:val="20"/>
          <w:lang w:eastAsia="pl-PL"/>
        </w:rPr>
        <w:t>zachowanie ostrożności przy podawaniu danych osobowych innym osobom, zwłaszcza za pośrednictwem Internetu czy telefonu;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993" w:right="0" w:hanging="567"/>
        <w:jc w:val="both"/>
        <w:rPr>
          <w:rFonts w:ascii="Verdana" w:hAnsi="Verdana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sz w:val="20"/>
          <w:szCs w:val="20"/>
          <w:lang w:eastAsia="pl-PL"/>
        </w:rPr>
        <w:t>zgłoszenie możliwości „kradzieży tożsamości” właściwym organom w celu zapobieżenia wszelkim negatywnym skutkom zdarzenia;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993" w:right="0" w:hanging="567"/>
        <w:jc w:val="both"/>
        <w:rPr>
          <w:rFonts w:ascii="Verdana" w:hAnsi="Verdana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sz w:val="20"/>
          <w:szCs w:val="20"/>
          <w:lang w:eastAsia="pl-PL"/>
        </w:rPr>
        <w:t>w przypadku stwierdzenia próby dyskryminacji, szantażu, zgłoszenie tego faktu właściwym organom;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993" w:right="0" w:hanging="567"/>
        <w:jc w:val="both"/>
        <w:rPr>
          <w:rFonts w:ascii="Verdana" w:hAnsi="Verdana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sz w:val="20"/>
          <w:szCs w:val="20"/>
          <w:lang w:eastAsia="pl-PL"/>
        </w:rPr>
        <w:t>skorzystanie ze środków ochrony dóbr osobistych wskazanych w przepisach ustawy Kodeks cywilny;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left="993" w:right="0" w:hanging="567"/>
        <w:jc w:val="both"/>
        <w:rPr/>
      </w:pPr>
      <w:r>
        <w:rPr>
          <w:rFonts w:eastAsia="Times New Roman" w:cs="Times New Roman" w:ascii="Verdana" w:hAnsi="Verdana"/>
          <w:sz w:val="20"/>
          <w:szCs w:val="20"/>
          <w:lang w:eastAsia="pl-PL"/>
        </w:rPr>
        <w:t>zwracanie uwagi na wszelkie nieprawidłowości lub nietypowe reakcje systemów informatycznych ponieważ kradzież tożsamości może dotyczyć również sfery funkcjonowania osoby w Internecie (media społecznościowe, fora dyskusyjne, blogi, sklepy, platformy aukcyjne, usługi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 podmiotów publicznych).</w:t>
      </w:r>
    </w:p>
    <w:p>
      <w:pPr>
        <w:pStyle w:val="Normal"/>
        <w:spacing w:lineRule="auto" w:line="240" w:before="0" w:after="0"/>
        <w:jc w:val="both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Źródłem dodatkowych informacji w zakresie przeciwdziałania oraz reakcji na niepożądane zdarzenia – naruszenia ochrony danych osobowych –</w:t>
      </w:r>
      <w:r>
        <w:rPr>
          <w:rFonts w:eastAsia="Times New Roman" w:cs="Times New Roman" w:ascii="Verdana" w:hAnsi="Verdana"/>
          <w:sz w:val="20"/>
          <w:szCs w:val="20"/>
          <w:lang w:eastAsia="pl-PL"/>
        </w:rPr>
        <w:t xml:space="preserve"> 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są również informacje publikowane przez Urząd Ochrony Danych Osobowych.</w:t>
      </w:r>
    </w:p>
    <w:p>
      <w:pPr>
        <w:pStyle w:val="Normal"/>
        <w:spacing w:lineRule="auto" w:line="240" w:before="0" w:after="0"/>
        <w:jc w:val="both"/>
        <w:rPr/>
      </w:pPr>
      <w:hyperlink r:id="rId3">
        <w:r>
          <w:rPr>
            <w:rStyle w:val="Czeinternetowe"/>
            <w:rFonts w:eastAsia="Times New Roman" w:cs="Times New Roman" w:ascii="Verdana" w:hAnsi="Verdana"/>
            <w:color w:val="0563C1"/>
            <w:sz w:val="20"/>
            <w:szCs w:val="20"/>
            <w:u w:val="single"/>
            <w:lang w:eastAsia="pl-PL"/>
          </w:rPr>
          <w:t>https://uodo.gov.pl/pl/138/1222</w:t>
        </w:r>
      </w:hyperlink>
      <w:r>
        <w:rPr>
          <w:rFonts w:eastAsia="Times New Roman" w:cs="Times New Roman" w:ascii="Verdana" w:hAnsi="Verdana"/>
          <w:sz w:val="20"/>
          <w:szCs w:val="20"/>
          <w:lang w:eastAsia="pl-PL"/>
        </w:rPr>
        <w:t xml:space="preserve"> (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Co zrobić w przypadku kradzieży tożsamości?)</w:t>
      </w:r>
    </w:p>
    <w:p>
      <w:pPr>
        <w:pStyle w:val="Normal"/>
        <w:spacing w:lineRule="auto" w:line="240" w:before="0" w:after="0"/>
        <w:jc w:val="both"/>
        <w:rPr/>
      </w:pPr>
      <w:hyperlink r:id="rId4">
        <w:r>
          <w:rPr>
            <w:rStyle w:val="Czeinternetowe"/>
            <w:rFonts w:eastAsia="Times New Roman" w:cs="Times New Roman" w:ascii="Verdana" w:hAnsi="Verdana"/>
            <w:color w:val="0563C1"/>
            <w:sz w:val="20"/>
            <w:szCs w:val="20"/>
            <w:u w:val="single"/>
            <w:lang w:eastAsia="pl-PL"/>
          </w:rPr>
          <w:t>https://www.uodo.gov.pl/pl/138/1267</w:t>
        </w:r>
      </w:hyperlink>
      <w:r>
        <w:rPr>
          <w:rFonts w:eastAsia="Times New Roman" w:cs="Times New Roman" w:ascii="Verdana" w:hAnsi="Verdana"/>
          <w:sz w:val="20"/>
          <w:szCs w:val="20"/>
          <w:lang w:eastAsia="pl-PL"/>
        </w:rPr>
        <w:t xml:space="preserve"> (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Warto wiedzieć, jak minimalizować ryzyko kradzieży tożsamości)</w:t>
      </w:r>
    </w:p>
    <w:p>
      <w:pPr>
        <w:pStyle w:val="Normal"/>
        <w:spacing w:lineRule="auto" w:line="240" w:before="0" w:after="0"/>
        <w:jc w:val="both"/>
        <w:rPr/>
      </w:pPr>
      <w:hyperlink r:id="rId5">
        <w:r>
          <w:rPr>
            <w:rStyle w:val="Czeinternetowe"/>
            <w:rFonts w:eastAsia="Times New Roman" w:cs="Times New Roman" w:ascii="Verdana" w:hAnsi="Verdana"/>
            <w:color w:val="0563C1"/>
            <w:sz w:val="20"/>
            <w:szCs w:val="20"/>
            <w:u w:val="single"/>
            <w:lang w:eastAsia="pl-PL"/>
          </w:rPr>
          <w:t>https://uodo.gov.pl/pl/138/1221</w:t>
        </w:r>
      </w:hyperlink>
      <w:r>
        <w:rPr>
          <w:rFonts w:eastAsia="Times New Roman" w:cs="Times New Roman" w:ascii="Verdana" w:hAnsi="Verdana"/>
          <w:sz w:val="20"/>
          <w:szCs w:val="20"/>
          <w:lang w:eastAsia="pl-PL"/>
        </w:rPr>
        <w:t xml:space="preserve"> (</w:t>
      </w: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>Jak chronić swoje dane osobowe?)</w:t>
      </w:r>
    </w:p>
    <w:p>
      <w:pPr>
        <w:pStyle w:val="Normal"/>
        <w:spacing w:lineRule="auto" w:line="240" w:before="0" w:after="0"/>
        <w:jc w:val="both"/>
        <w:rPr/>
      </w:pPr>
      <w:hyperlink r:id="rId6">
        <w:r>
          <w:rPr>
            <w:rStyle w:val="Czeinternetowe"/>
            <w:rFonts w:eastAsia="Times New Roman" w:cs="Times New Roman" w:ascii="Verdana" w:hAnsi="Verdana"/>
            <w:color w:val="0563C1"/>
            <w:sz w:val="20"/>
            <w:szCs w:val="20"/>
            <w:u w:val="single"/>
            <w:lang w:eastAsia="pl-PL"/>
          </w:rPr>
          <w:t>https://www.uodo.gov.pl/pl/file/2463</w:t>
        </w:r>
      </w:hyperlink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 (Chroń swoje dane)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W przypadku jakichkolwiek pytań, wątpliwości w związku zaistniałym zdarzeniem, </w:t>
        <w:br/>
        <w:t>w szczególności o sposobach zapobiegania jego negatywnym skutkom, prosimy o kontakt z inspektorem ochrony danych Urzędu Miejskiego Wrocławia na dane jak poniżej: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Sebastian Sobecki, Biuro ds. Bezpieczeństwa Informacji, ul. Gabrieli Zapolskiej 4, pok. 512, 50-032 Wrocław, e-mail: </w:t>
      </w:r>
      <w:hyperlink r:id="rId7">
        <w:r>
          <w:rPr>
            <w:rStyle w:val="Czeinternetowe"/>
            <w:rFonts w:eastAsia="Times New Roman" w:cs="Times New Roman" w:ascii="Verdana" w:hAnsi="Verdana"/>
            <w:sz w:val="20"/>
            <w:szCs w:val="20"/>
            <w:lang w:eastAsia="pl-PL"/>
          </w:rPr>
          <w:t>iod@um.wroc.pl</w:t>
        </w:r>
      </w:hyperlink>
      <w:r>
        <w:rPr>
          <w:rFonts w:eastAsia="Times New Roman" w:cs="Times New Roman" w:ascii="Verdana" w:hAnsi="Verdana"/>
          <w:color w:val="000000"/>
          <w:sz w:val="20"/>
          <w:szCs w:val="20"/>
          <w:lang w:eastAsia="pl-PL"/>
        </w:rPr>
        <w:t xml:space="preserve">, </w:t>
      </w:r>
      <w:r>
        <w:rPr>
          <w:rFonts w:eastAsia="Times New Roman" w:cs="Times New Roman" w:ascii="Verdana" w:hAnsi="Verdana"/>
          <w:color w:val="000000"/>
          <w:sz w:val="20"/>
          <w:szCs w:val="20"/>
          <w:lang w:val="en-US" w:eastAsia="pl-PL"/>
        </w:rPr>
        <w:t>tel.: +48 71 777 77 24</w:t>
      </w:r>
    </w:p>
    <w:p>
      <w:pPr>
        <w:pStyle w:val="Normal"/>
        <w:spacing w:lineRule="auto" w:line="240" w:before="0" w:after="0"/>
        <w:jc w:val="center"/>
        <w:rPr>
          <w:rFonts w:ascii="Verdana" w:hAnsi="Verdana" w:eastAsia="Times New Roman" w:cs="Times New Roman"/>
          <w:color w:val="000000"/>
          <w:sz w:val="20"/>
          <w:szCs w:val="20"/>
          <w:lang w:val="en-US" w:eastAsia="pl-PL"/>
        </w:rPr>
      </w:pPr>
      <w:r>
        <w:rPr>
          <w:rFonts w:eastAsia="Times New Roman" w:cs="Times New Roman" w:ascii="Verdana" w:hAnsi="Verdana"/>
          <w:color w:val="000000"/>
          <w:sz w:val="20"/>
          <w:szCs w:val="20"/>
          <w:lang w:val="en-US" w:eastAsia="pl-PL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Prawdopodobieństwo wystąpienia poniżej wskazanych konsekwencji dla ochrony danych osobowych w związku z wystąpieniem niniejszego incydentu jest ograniczone ze względu na poniższe okoliczności: </w:t>
      </w:r>
    </w:p>
    <w:p>
      <w:pPr>
        <w:pStyle w:val="Normal"/>
        <w:numPr>
          <w:ilvl w:val="0"/>
          <w:numId w:val="5"/>
        </w:numPr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jest mało prawdopodobne, by osoba, która chciałaby ukraść tożsamość przypadkowej osoby korzystałaby w tym celu akurat z ksiąg wieczystych byłych nieruchomości Gminy Wrocław, skoro równie dobrze może skorzystać z dowolnej innej księgi wieczystej, a ryzyko takiego naruszenia (tj. nieuprawnionego, czy wręcz przestępczego, wykorzystania danych osobowych z przypadkowych ksiąg wieczystych) jest przez polskiego ustawodawcę akceptowane (przyjmuje </w:t>
        <w:br/>
        <w:t>on jawność tych ksiąg i udostępnia w nich numery PESEL).</w:t>
      </w:r>
    </w:p>
    <w:p>
      <w:pPr>
        <w:pStyle w:val="Normal"/>
        <w:numPr>
          <w:ilvl w:val="0"/>
          <w:numId w:val="5"/>
        </w:numPr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ani na stronie bip.um.wroc.pl, ani w innych publicznych rejestrach będących </w:t>
        <w:br/>
        <w:t xml:space="preserve">we władaniu Prezydenta Wrocławia nie jest możliwe pozyskiwanie danych o osobie fizycznej w oparciu o numer księgi wieczystej. </w:t>
      </w:r>
    </w:p>
    <w:p>
      <w:pPr>
        <w:pStyle w:val="Normal"/>
        <w:numPr>
          <w:ilvl w:val="0"/>
          <w:numId w:val="5"/>
        </w:numPr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nie jest też możliwe wyszukiwanie na stronie bip,um.wroc.pl informacji </w:t>
        <w:br/>
        <w:t xml:space="preserve">o nieruchomościach w oparciu o numer księgi wieczystej. 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Administrator danych osobowych zapewnia, że dokłada wszelkich starań, aby Państwa dane były przetwarzane w sposób gwarantujący ich bezpieczeństwo. 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niniejszej sytuacji nie doszło do naruszenia ochrony danych w rozumieniu art. 4 pkt 12 RODO, nie doszło bowiem do naruszenia bezpieczeństwa, które miałoby spowodować nieuprawnione udostępnienie danych osobowych. W związku z zaistniałym zdarzeniem nastąpiło usunięcie z publicznej dostępności na stronach BIP dokumentów/informacji zawierających numer ksiąg wieczystych za wyjątkiem tych, co do których postępowania nie zostały jeszcze zakończone. 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Aby podobne zdarzenia nie miało więcej miejsca wdrożyliśmy mechanizmy w celu uniemożliwienie zamieszczania na stronie BIP Urzędu dokumentów zawierających informacje o numerze księgi wieczystej po wygaśnięciu czasu jego publikacji wskazanego w przepisach prawa.</w:t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Niniejsze zawiadomienie będzie na bieżąco aktualizowane.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swiss"/>
    <w:pitch w:val="variable"/>
  </w:font>
  <w:font w:name="Verdana">
    <w:charset w:val="ee"/>
    <w:family w:val="roman"/>
    <w:pitch w:val="variable"/>
  </w:font>
  <w:font w:name="Courier New">
    <w:charset w:val="ee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pStyle w:val="Nagwek2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0"/>
        <w:spacing w:val="-20"/>
        <w:szCs w:val="20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">
    <w:lvl w:ilvl="0">
      <w:start w:val="1"/>
      <w:numFmt w:val="lowerLetter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5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Tahoma"/>
        <w:sz w:val="22"/>
        <w:szCs w:val="22"/>
        <w:lang w:val="pl-PL" w:eastAsia="en-US" w:bidi="ar-SA"/>
      </w:rPr>
    </w:rPrDefault>
    <w:pPrDefault>
      <w:pPr>
        <w:spacing w:lineRule="auto" w:line="259"/>
      </w:pPr>
    </w:pPrDefault>
  </w:docDefaults>
  <w:style w:type="paragraph" w:styleId="Normal">
    <w:name w:val="Normal"/>
    <w:qFormat/>
    <w:pPr>
      <w:widowControl/>
      <w:numPr>
        <w:ilvl w:val="0"/>
        <w:numId w:val="0"/>
      </w:numPr>
      <w:kinsoku w:val="true"/>
      <w:overflowPunct w:val="true"/>
      <w:autoSpaceDE w:val="true"/>
      <w:bidi w:val="0"/>
      <w:spacing w:lineRule="auto" w:line="259" w:before="0" w:after="160"/>
    </w:pPr>
    <w:rPr>
      <w:rFonts w:ascii="Calibri" w:hAnsi="Calibri" w:eastAsia="SimSun" w:cs="Tahoma"/>
      <w:color w:val="auto"/>
      <w:sz w:val="22"/>
      <w:szCs w:val="22"/>
      <w:lang w:val="pl-PL" w:eastAsia="en-US" w:bidi="ar-SA"/>
    </w:rPr>
  </w:style>
  <w:style w:type="paragraph" w:styleId="Nagwek2">
    <w:name w:val="Heading 2"/>
    <w:basedOn w:val="Normal"/>
    <w:next w:val="Tretekstu"/>
    <w:qFormat/>
    <w:pPr>
      <w:keepNext w:val="true"/>
      <w:keepLines/>
      <w:numPr>
        <w:ilvl w:val="1"/>
        <w:numId w:val="1"/>
      </w:numPr>
      <w:spacing w:before="40" w:after="0"/>
      <w:outlineLvl w:val="1"/>
    </w:pPr>
    <w:rPr>
      <w:rFonts w:ascii="Calibri Light" w:hAnsi="Calibri Light"/>
      <w:color w:val="2E74B5"/>
      <w:sz w:val="26"/>
      <w:szCs w:val="26"/>
    </w:rPr>
  </w:style>
  <w:style w:type="character" w:styleId="DefaultParagraphFont">
    <w:name w:val="Default Paragraph Font"/>
    <w:qFormat/>
    <w:rPr/>
  </w:style>
  <w:style w:type="character" w:styleId="Czeinternetowe">
    <w:name w:val="Łącze internetowe"/>
    <w:basedOn w:val="DefaultParagraphFont"/>
    <w:rPr>
      <w:color w:val="0563C1"/>
      <w:u w:val="single"/>
      <w:lang w:val="zxx" w:eastAsia="zxx" w:bidi="zxx"/>
    </w:rPr>
  </w:style>
  <w:style w:type="character" w:styleId="Nagwek2Znak">
    <w:name w:val="Nagłówek 2 Znak"/>
    <w:basedOn w:val="DefaultParagraphFont"/>
    <w:qFormat/>
    <w:rPr>
      <w:rFonts w:ascii="Calibri Light" w:hAnsi="Calibri Light"/>
      <w:color w:val="2E74B5"/>
      <w:sz w:val="26"/>
      <w:szCs w:val="26"/>
    </w:rPr>
  </w:style>
  <w:style w:type="character" w:styleId="TekstdymkaZnak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kstkomentarzaZnak">
    <w:name w:val="Tekst komentarza Znak"/>
    <w:basedOn w:val="DefaultParagraphFont"/>
    <w:qFormat/>
    <w:rPr>
      <w:sz w:val="20"/>
      <w:szCs w:val="20"/>
    </w:rPr>
  </w:style>
  <w:style w:type="character" w:styleId="TematkomentarzaZnak">
    <w:name w:val="Temat komentarza Znak"/>
    <w:basedOn w:val="TekstkomentarzaZnak"/>
    <w:qFormat/>
    <w:rPr>
      <w:b/>
      <w:bCs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ind w:left="720" w:right="0" w:hanging="0"/>
    </w:pPr>
    <w:rPr/>
  </w:style>
  <w:style w:type="paragraph" w:styleId="BalloonText">
    <w:name w:val="Balloon Text"/>
    <w:basedOn w:val="Normal"/>
    <w:qFormat/>
    <w:pPr>
      <w:numPr>
        <w:ilvl w:val="0"/>
        <w:numId w:val="0"/>
      </w:num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Revision">
    <w:name w:val="Revision"/>
    <w:qFormat/>
    <w:pPr>
      <w:widowControl/>
      <w:numPr>
        <w:ilvl w:val="0"/>
        <w:numId w:val="0"/>
      </w:numPr>
      <w:kinsoku w:val="true"/>
      <w:overflowPunct w:val="true"/>
      <w:autoSpaceDE w:val="true"/>
      <w:bidi w:val="0"/>
      <w:spacing w:lineRule="auto" w:line="240" w:before="0" w:after="0"/>
    </w:pPr>
    <w:rPr>
      <w:rFonts w:ascii="Calibri" w:hAnsi="Calibri" w:eastAsia="SimSun" w:cs="Tahoma"/>
      <w:color w:val="auto"/>
      <w:sz w:val="22"/>
      <w:szCs w:val="22"/>
      <w:lang w:val="pl-PL" w:eastAsia="en-US" w:bidi="ar-SA"/>
    </w:rPr>
  </w:style>
  <w:style w:type="paragraph" w:styleId="Annotationtext">
    <w:name w:val="annotation text"/>
    <w:basedOn w:val="Normal"/>
    <w:qFormat/>
    <w:pPr>
      <w:numPr>
        <w:ilvl w:val="0"/>
        <w:numId w:val="0"/>
      </w:num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qFormat/>
    <w:pPr>
      <w:numPr>
        <w:ilvl w:val="0"/>
        <w:numId w:val="0"/>
      </w:numPr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acjent.gov.pl/" TargetMode="External"/><Relationship Id="rId3" Type="http://schemas.openxmlformats.org/officeDocument/2006/relationships/hyperlink" Target="https://uodo.gov.pl/pl/138/1222" TargetMode="External"/><Relationship Id="rId4" Type="http://schemas.openxmlformats.org/officeDocument/2006/relationships/hyperlink" Target="https://www.uodo.gov.pl/pl/138/1267" TargetMode="External"/><Relationship Id="rId5" Type="http://schemas.openxmlformats.org/officeDocument/2006/relationships/hyperlink" Target="https://uodo.gov.pl/pl/138/1221" TargetMode="External"/><Relationship Id="rId6" Type="http://schemas.openxmlformats.org/officeDocument/2006/relationships/hyperlink" Target="https://www.uodo.gov.pl/pl/file/2463" TargetMode="External"/><Relationship Id="rId7" Type="http://schemas.openxmlformats.org/officeDocument/2006/relationships/hyperlink" Target="mailto:iod@um.wroc.pl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LibreOffice/6.4.1.2$Windows_X86_64 LibreOffice_project/4d224e95b98b138af42a64d84056446d09082932</Application>
  <Pages>3</Pages>
  <Words>1114</Words>
  <CharactersWithSpaces>8733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2022-09-13T13:08:00Z</dcterms:created>
  <dc:creator>Gajer Katarzyna</dc:creator>
  <dc:description/>
  <dc:language>pl-PL</dc:language>
  <cp:lastModifiedBy>Marta Kolibska</cp:lastModifiedBy>
  <cp:lastPrinted>2022-09-12T10:19:00Z</cp:lastPrinted>
  <dcterms:modified xsi:type="dcterms:W3CDTF">2022-09-13T15:30:56Z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