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922D36">
        <w:rPr>
          <w:rFonts w:ascii="TimesNewRoman,Bold" w:hAnsi="TimesNewRoman,Bold" w:cs="TimesNewRoman,Bold"/>
          <w:b/>
          <w:bCs/>
        </w:rPr>
        <w:t>Uzasadnienie</w:t>
      </w:r>
    </w:p>
    <w:p w:rsidR="00073641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W 20</w:t>
      </w:r>
      <w:r>
        <w:rPr>
          <w:rFonts w:ascii="TimesNewRoman" w:hAnsi="TimesNewRoman" w:cs="TimesNewRoman"/>
        </w:rPr>
        <w:t>22</w:t>
      </w:r>
      <w:r w:rsidRPr="00922D36">
        <w:rPr>
          <w:rFonts w:ascii="TimesNewRoman" w:hAnsi="TimesNewRoman" w:cs="TimesNewRoman"/>
        </w:rPr>
        <w:t xml:space="preserve"> roku upływa termin, na jaki został uchwalony Wrocławski Program Działań na Rzecz Osób</w:t>
      </w:r>
      <w:r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Niepełnosprawnych „Bez barier” na lata 20</w:t>
      </w:r>
      <w:r>
        <w:rPr>
          <w:rFonts w:ascii="TimesNewRoman" w:hAnsi="TimesNewRoman" w:cs="TimesNewRoman"/>
        </w:rPr>
        <w:t>18</w:t>
      </w:r>
      <w:r w:rsidRPr="00922D36">
        <w:rPr>
          <w:rFonts w:ascii="TimesNewRoman" w:hAnsi="TimesNewRoman" w:cs="TimesNewRoman"/>
        </w:rPr>
        <w:t>-20</w:t>
      </w:r>
      <w:r>
        <w:rPr>
          <w:rFonts w:ascii="TimesNewRoman" w:hAnsi="TimesNewRoman" w:cs="TimesNewRoman"/>
        </w:rPr>
        <w:t>22</w:t>
      </w:r>
      <w:r w:rsidRPr="00922D36">
        <w:rPr>
          <w:rFonts w:ascii="TimesNewRoman" w:hAnsi="TimesNewRoman" w:cs="TimesNewRoman"/>
        </w:rPr>
        <w:t xml:space="preserve">, przyjęty uchwałą </w:t>
      </w:r>
      <w:r>
        <w:rPr>
          <w:rFonts w:ascii="TimesNewRoman" w:hAnsi="TimesNewRoman" w:cs="TimesNewRoman"/>
        </w:rPr>
        <w:t>nr</w:t>
      </w:r>
      <w:r w:rsidRPr="00073641">
        <w:rPr>
          <w:rFonts w:ascii="TimesNewRoman" w:hAnsi="TimesNewRoman" w:cs="TimesNewRoman"/>
        </w:rPr>
        <w:t xml:space="preserve"> XLVIII/1129/17</w:t>
      </w:r>
      <w:r>
        <w:rPr>
          <w:rFonts w:ascii="TimesNewRoman" w:hAnsi="TimesNewRoman" w:cs="TimesNewRoman"/>
        </w:rPr>
        <w:t xml:space="preserve"> </w:t>
      </w:r>
      <w:r w:rsidRPr="00073641">
        <w:rPr>
          <w:rFonts w:ascii="TimesNewRoman" w:hAnsi="TimesNewRoman" w:cs="TimesNewRoman"/>
        </w:rPr>
        <w:t>RADY MIEJSKIEJ WROCŁAWIA</w:t>
      </w:r>
      <w:r>
        <w:rPr>
          <w:rFonts w:ascii="TimesNewRoman" w:hAnsi="TimesNewRoman" w:cs="TimesNewRoman"/>
        </w:rPr>
        <w:t xml:space="preserve"> </w:t>
      </w:r>
      <w:r w:rsidRPr="00073641">
        <w:rPr>
          <w:rFonts w:ascii="TimesNewRoman" w:hAnsi="TimesNewRoman" w:cs="TimesNewRoman"/>
        </w:rPr>
        <w:t>z dnia 23 listopada 2017 r.</w:t>
      </w:r>
    </w:p>
    <w:p w:rsidR="00073641" w:rsidRPr="00922D36" w:rsidRDefault="003A6F30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Art. 35a ust. </w:t>
      </w:r>
      <w:r w:rsidR="00073641" w:rsidRPr="00922D36">
        <w:rPr>
          <w:rFonts w:ascii="TimesNewRoman" w:hAnsi="TimesNewRoman" w:cs="TimesNewRoman"/>
        </w:rPr>
        <w:t xml:space="preserve">1 </w:t>
      </w:r>
      <w:proofErr w:type="spellStart"/>
      <w:r w:rsidR="00073641" w:rsidRPr="00922D36">
        <w:rPr>
          <w:rFonts w:ascii="TimesNewRoman" w:hAnsi="TimesNewRoman" w:cs="TimesNewRoman"/>
        </w:rPr>
        <w:t>pkt</w:t>
      </w:r>
      <w:proofErr w:type="spellEnd"/>
      <w:r w:rsidR="00073641" w:rsidRPr="00922D36">
        <w:rPr>
          <w:rFonts w:ascii="TimesNewRoman" w:hAnsi="TimesNewRoman" w:cs="TimesNewRoman"/>
        </w:rPr>
        <w:t xml:space="preserve"> 1 ustawy z dnia 27 sierpnia 1997 r. o rehabilitacji zawodowej i społecznej oraz</w:t>
      </w:r>
      <w:r w:rsidR="00820815">
        <w:rPr>
          <w:rFonts w:ascii="TimesNewRoman" w:hAnsi="TimesNewRoman" w:cs="TimesNewRoman"/>
        </w:rPr>
        <w:t xml:space="preserve"> </w:t>
      </w:r>
      <w:r w:rsidR="00073641" w:rsidRPr="00922D36">
        <w:rPr>
          <w:rFonts w:ascii="TimesNewRoman" w:hAnsi="TimesNewRoman" w:cs="TimesNewRoman"/>
        </w:rPr>
        <w:t>zatrudnianiu osób niepełnosprawnych stanowi, iż do zadań powiatu należy m</w:t>
      </w:r>
      <w:r w:rsidR="006B0084">
        <w:rPr>
          <w:rFonts w:ascii="TimesNewRoman" w:hAnsi="TimesNewRoman" w:cs="TimesNewRoman"/>
        </w:rPr>
        <w:t xml:space="preserve">iędzy </w:t>
      </w:r>
      <w:r w:rsidR="00073641" w:rsidRPr="00922D36">
        <w:rPr>
          <w:rFonts w:ascii="TimesNewRoman" w:hAnsi="TimesNewRoman" w:cs="TimesNewRoman"/>
        </w:rPr>
        <w:t>in</w:t>
      </w:r>
      <w:r w:rsidR="006B0084">
        <w:rPr>
          <w:rFonts w:ascii="TimesNewRoman" w:hAnsi="TimesNewRoman" w:cs="TimesNewRoman"/>
        </w:rPr>
        <w:t>nymi</w:t>
      </w:r>
      <w:r w:rsidR="00073641" w:rsidRPr="00922D36">
        <w:rPr>
          <w:rFonts w:ascii="TimesNewRoman" w:hAnsi="TimesNewRoman" w:cs="TimesNewRoman"/>
        </w:rPr>
        <w:t xml:space="preserve"> opracowywanie i realizacja,</w:t>
      </w:r>
      <w:r w:rsidR="00820815">
        <w:rPr>
          <w:rFonts w:ascii="TimesNewRoman" w:hAnsi="TimesNewRoman" w:cs="TimesNewRoman"/>
        </w:rPr>
        <w:t xml:space="preserve"> </w:t>
      </w:r>
      <w:r w:rsidR="00073641" w:rsidRPr="00922D36">
        <w:rPr>
          <w:rFonts w:ascii="TimesNewRoman" w:hAnsi="TimesNewRoman" w:cs="TimesNewRoman"/>
        </w:rPr>
        <w:t>zgodnych z powiatową strategią dotyczącą rozwiązywania problemów społecznych, powiatowych programów</w:t>
      </w:r>
      <w:r w:rsidR="00820815">
        <w:rPr>
          <w:rFonts w:ascii="TimesNewRoman" w:hAnsi="TimesNewRoman" w:cs="TimesNewRoman"/>
        </w:rPr>
        <w:t xml:space="preserve"> </w:t>
      </w:r>
      <w:r w:rsidR="00073641" w:rsidRPr="00922D36">
        <w:rPr>
          <w:rFonts w:ascii="TimesNewRoman" w:hAnsi="TimesNewRoman" w:cs="TimesNewRoman"/>
        </w:rPr>
        <w:t>działań na rzecz osób niepełnosprawnych w zakresie:</w:t>
      </w:r>
    </w:p>
    <w:p w:rsidR="00073641" w:rsidRPr="006B0084" w:rsidRDefault="00073641" w:rsidP="006B00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6B0084">
        <w:rPr>
          <w:rFonts w:ascii="TimesNewRoman" w:hAnsi="TimesNewRoman" w:cs="TimesNewRoman"/>
        </w:rPr>
        <w:t>rehabilitacji społecznej,</w:t>
      </w:r>
    </w:p>
    <w:p w:rsidR="00073641" w:rsidRPr="006B0084" w:rsidRDefault="00073641" w:rsidP="006B00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6B0084">
        <w:rPr>
          <w:rFonts w:ascii="TimesNewRoman" w:hAnsi="TimesNewRoman" w:cs="TimesNewRoman"/>
        </w:rPr>
        <w:t>rehabilitacji zawodowej i zatrudniania,</w:t>
      </w:r>
    </w:p>
    <w:p w:rsidR="00073641" w:rsidRPr="006B0084" w:rsidRDefault="00073641" w:rsidP="006B00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6B0084">
        <w:rPr>
          <w:rFonts w:ascii="TimesNewRoman" w:hAnsi="TimesNewRoman" w:cs="TimesNewRoman"/>
        </w:rPr>
        <w:t>przestrzegania praw osób niepełnosprawnych.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Przed władzami samorządowymi na poziomie lokalnym stoją do rozwiązania trudne problemy społeczne.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Pogłębiające się dysproporcje dochodowe rodzin, zjawiska związane ze sferą ubóstwa, niedostatek materialny,</w:t>
      </w:r>
      <w:r w:rsidR="00820815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problemy egzystencji osób niepełnosprawnych - tworzą powiązany ze sobą konglomerat problemów</w:t>
      </w:r>
      <w:r w:rsidR="00820815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społecznych, które decydują w istocie o sposobie odczuwania jakości życia przez społeczność lokalną.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W środowisku osób</w:t>
      </w:r>
      <w:r w:rsidR="00820815">
        <w:rPr>
          <w:rFonts w:ascii="TimesNewRoman" w:hAnsi="TimesNewRoman" w:cs="TimesNewRoman"/>
        </w:rPr>
        <w:t xml:space="preserve"> z</w:t>
      </w:r>
      <w:r w:rsidRPr="00922D36">
        <w:rPr>
          <w:rFonts w:ascii="TimesNewRoman" w:hAnsi="TimesNewRoman" w:cs="TimesNewRoman"/>
        </w:rPr>
        <w:t xml:space="preserve"> niepełnosprawn</w:t>
      </w:r>
      <w:r w:rsidR="00820815">
        <w:rPr>
          <w:rFonts w:ascii="TimesNewRoman" w:hAnsi="TimesNewRoman" w:cs="TimesNewRoman"/>
        </w:rPr>
        <w:t>ościami</w:t>
      </w:r>
      <w:r w:rsidRPr="00922D36">
        <w:rPr>
          <w:rFonts w:ascii="TimesNewRoman" w:hAnsi="TimesNewRoman" w:cs="TimesNewRoman"/>
        </w:rPr>
        <w:t xml:space="preserve"> i ich rodzin kumulują się różne czynniki ekonomiczne</w:t>
      </w:r>
      <w:r w:rsidR="00820815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i pozaekonomiczne, będące przyczyną wykluczenia.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Ustalenie faktycznej liczby osób niepełnosprawnych, będących mieszkańcami Wrocławia, nie jest możliwe</w:t>
      </w:r>
      <w:r w:rsidR="00820815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z uwagi na brak takich danych w instytucjach publicznych, zajmujących się problemami osób</w:t>
      </w:r>
      <w:r w:rsidR="00820815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niepełnosprawnych. Wynika to wynika m.in. z następujących okoliczności:</w:t>
      </w:r>
    </w:p>
    <w:p w:rsidR="00073641" w:rsidRPr="00820815" w:rsidRDefault="00073641" w:rsidP="00820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20815">
        <w:rPr>
          <w:rFonts w:ascii="TimesNewRoman" w:hAnsi="TimesNewRoman" w:cs="TimesNewRoman"/>
        </w:rPr>
        <w:t>zróżnicowanego systemu orzecznictwa i równoważności orzeczeń (ZUS, komisje powiatowe, orzeczenia</w:t>
      </w:r>
      <w:r w:rsidR="00820815" w:rsidRPr="00820815">
        <w:rPr>
          <w:rFonts w:ascii="TimesNewRoman" w:hAnsi="TimesNewRoman" w:cs="TimesNewRoman"/>
        </w:rPr>
        <w:t xml:space="preserve"> </w:t>
      </w:r>
      <w:r w:rsidRPr="00820815">
        <w:rPr>
          <w:rFonts w:ascii="TimesNewRoman" w:hAnsi="TimesNewRoman" w:cs="TimesNewRoman"/>
        </w:rPr>
        <w:t>wydane przed rokiem 1998),</w:t>
      </w:r>
    </w:p>
    <w:p w:rsidR="00073641" w:rsidRPr="00922D36" w:rsidRDefault="00073641" w:rsidP="00073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20815">
        <w:rPr>
          <w:rFonts w:ascii="TimesNewRoman" w:hAnsi="TimesNewRoman" w:cs="TimesNewRoman"/>
        </w:rPr>
        <w:t>braku statystyki dotyczącej osób niepełnosprawnych; prowadzone są wyłącznie statystyki w zakresie</w:t>
      </w:r>
      <w:r w:rsidR="00820815" w:rsidRPr="00820815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wydanych orzeczeń, które mogą dotyczyć tych samych osób,</w:t>
      </w:r>
    </w:p>
    <w:p w:rsidR="00073641" w:rsidRPr="00922D36" w:rsidRDefault="00073641" w:rsidP="00073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20815">
        <w:rPr>
          <w:rFonts w:ascii="TimesNewRoman" w:hAnsi="TimesNewRoman" w:cs="TimesNewRoman"/>
        </w:rPr>
        <w:t>orzeczeń czasowych i powrotu do systemu orzecznictwa osób, którym wydane wcześniej orzeczenie</w:t>
      </w:r>
      <w:r w:rsidR="00820815" w:rsidRPr="00820815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wygasło,</w:t>
      </w:r>
    </w:p>
    <w:p w:rsidR="00073641" w:rsidRPr="00922D36" w:rsidRDefault="00073641" w:rsidP="00073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20815">
        <w:rPr>
          <w:rFonts w:ascii="TimesNewRoman" w:hAnsi="TimesNewRoman" w:cs="TimesNewRoman"/>
        </w:rPr>
        <w:t>ponownych orzeczeń, wydawanych przed upływem terminu ważności orzeczeń wydanych wcześniej (np.</w:t>
      </w:r>
      <w:r w:rsidR="00820815" w:rsidRPr="00820815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w związku z pogorszeniem stanu zdrowia osoby niepełnosprawnej),</w:t>
      </w:r>
    </w:p>
    <w:p w:rsidR="00073641" w:rsidRPr="00820815" w:rsidRDefault="00073641" w:rsidP="00820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20815">
        <w:rPr>
          <w:rFonts w:ascii="TimesNewRoman" w:hAnsi="TimesNewRoman" w:cs="TimesNewRoman"/>
        </w:rPr>
        <w:t>zgonów osób posiadających orzeczenia,</w:t>
      </w:r>
    </w:p>
    <w:p w:rsidR="00073641" w:rsidRDefault="00073641" w:rsidP="00820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20815">
        <w:rPr>
          <w:rFonts w:ascii="TimesNewRoman" w:hAnsi="TimesNewRoman" w:cs="TimesNewRoman"/>
        </w:rPr>
        <w:t>trwających postępowań odwoławczych.</w:t>
      </w:r>
    </w:p>
    <w:p w:rsidR="00036DA4" w:rsidRDefault="00073641" w:rsidP="00CD6CCC">
      <w:pPr>
        <w:autoSpaceDE w:val="0"/>
        <w:autoSpaceDN w:val="0"/>
        <w:adjustRightInd w:val="0"/>
        <w:spacing w:before="240"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Wobec powyższego zasadniczymi danymi w tym zakresie pozostają badania prowadzone przez Główny</w:t>
      </w:r>
      <w:r w:rsidR="00820815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 xml:space="preserve">Urząd Statystyczny, tj. </w:t>
      </w:r>
      <w:r w:rsidR="00820815">
        <w:rPr>
          <w:rFonts w:ascii="TimesNewRoman" w:hAnsi="TimesNewRoman" w:cs="TimesNewRoman"/>
        </w:rPr>
        <w:t>Narodowy Spis</w:t>
      </w:r>
      <w:r w:rsidR="00820815" w:rsidRPr="00820815">
        <w:rPr>
          <w:rFonts w:ascii="TimesNewRoman" w:hAnsi="TimesNewRoman" w:cs="TimesNewRoman"/>
        </w:rPr>
        <w:t xml:space="preserve"> Ludności i Mieszkań 2021 (NSP 2021)</w:t>
      </w:r>
      <w:r w:rsidR="00036DA4">
        <w:rPr>
          <w:rFonts w:ascii="TimesNewRoman" w:hAnsi="TimesNewRoman" w:cs="TimesNewRoman"/>
        </w:rPr>
        <w:t>. Na dzień przygotowywania uzasadnienia dane z NSP nie zostały jeszcze przygotowane przez GUS. Szacuje się, że około 14% populacji ludności kraju są to osoby z niepełnosprawnością.</w:t>
      </w:r>
    </w:p>
    <w:p w:rsidR="00073641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Biorąc więc pod uwagę</w:t>
      </w:r>
      <w:r w:rsidR="00036DA4">
        <w:rPr>
          <w:rFonts w:ascii="TimesNewRoman" w:hAnsi="TimesNewRoman" w:cs="TimesNewRoman"/>
        </w:rPr>
        <w:t xml:space="preserve"> dostępne dane </w:t>
      </w:r>
      <w:r w:rsidR="00B6297F">
        <w:rPr>
          <w:rFonts w:ascii="TimesNewRoman" w:hAnsi="TimesNewRoman" w:cs="TimesNewRoman"/>
        </w:rPr>
        <w:t>szacuje się, że</w:t>
      </w:r>
      <w:r w:rsidRPr="00922D36">
        <w:rPr>
          <w:rFonts w:ascii="TimesNewRoman" w:hAnsi="TimesNewRoman" w:cs="TimesNewRoman"/>
        </w:rPr>
        <w:t xml:space="preserve"> liczba osób niepełnosprawnych na terenie Miasta</w:t>
      </w:r>
      <w:r w:rsidR="00036DA4">
        <w:rPr>
          <w:rFonts w:ascii="TimesNewRoman" w:hAnsi="TimesNewRoman" w:cs="TimesNewRoman"/>
        </w:rPr>
        <w:t xml:space="preserve"> </w:t>
      </w:r>
      <w:r w:rsidR="00B6297F">
        <w:rPr>
          <w:rFonts w:ascii="TimesNewRoman" w:hAnsi="TimesNewRoman" w:cs="TimesNewRoman"/>
        </w:rPr>
        <w:t xml:space="preserve">w kolejnych latach </w:t>
      </w:r>
      <w:r w:rsidRPr="00922D36">
        <w:rPr>
          <w:rFonts w:ascii="TimesNewRoman" w:hAnsi="TimesNewRoman" w:cs="TimesNewRoman"/>
        </w:rPr>
        <w:t>kształtowała się następująco:</w:t>
      </w:r>
    </w:p>
    <w:p w:rsidR="00036DA4" w:rsidRDefault="00036DA4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br w:type="page"/>
      </w:r>
    </w:p>
    <w:p w:rsidR="00036DA4" w:rsidRPr="00B32251" w:rsidRDefault="00036DA4" w:rsidP="00036DA4">
      <w:pPr>
        <w:pStyle w:val="Legenda"/>
        <w:rPr>
          <w:rFonts w:ascii="Arial" w:hAnsi="Arial" w:cs="Arial"/>
          <w:color w:val="auto"/>
          <w:sz w:val="22"/>
          <w:szCs w:val="22"/>
        </w:rPr>
      </w:pPr>
      <w:bookmarkStart w:id="0" w:name="_Toc99537956"/>
      <w:r w:rsidRPr="00B32251">
        <w:rPr>
          <w:rFonts w:ascii="Arial" w:hAnsi="Arial" w:cs="Arial"/>
          <w:color w:val="auto"/>
          <w:sz w:val="22"/>
          <w:szCs w:val="22"/>
        </w:rPr>
        <w:lastRenderedPageBreak/>
        <w:t xml:space="preserve">Tabela </w:t>
      </w:r>
      <w:r w:rsidR="00AA242C" w:rsidRPr="00B32251">
        <w:rPr>
          <w:rFonts w:ascii="Arial" w:hAnsi="Arial" w:cs="Arial"/>
          <w:color w:val="auto"/>
          <w:sz w:val="22"/>
          <w:szCs w:val="22"/>
        </w:rPr>
        <w:fldChar w:fldCharType="begin"/>
      </w:r>
      <w:r w:rsidRPr="00B32251">
        <w:rPr>
          <w:rFonts w:ascii="Arial" w:hAnsi="Arial" w:cs="Arial"/>
          <w:color w:val="auto"/>
          <w:sz w:val="22"/>
          <w:szCs w:val="22"/>
        </w:rPr>
        <w:instrText xml:space="preserve"> SEQ Tabela \* ARABIC </w:instrText>
      </w:r>
      <w:r w:rsidR="00AA242C" w:rsidRPr="00B32251">
        <w:rPr>
          <w:rFonts w:ascii="Arial" w:hAnsi="Arial" w:cs="Arial"/>
          <w:color w:val="auto"/>
          <w:sz w:val="22"/>
          <w:szCs w:val="22"/>
        </w:rPr>
        <w:fldChar w:fldCharType="separate"/>
      </w:r>
      <w:r w:rsidR="00872739">
        <w:rPr>
          <w:rFonts w:ascii="Arial" w:hAnsi="Arial" w:cs="Arial"/>
          <w:noProof/>
          <w:color w:val="auto"/>
          <w:sz w:val="22"/>
          <w:szCs w:val="22"/>
        </w:rPr>
        <w:t>1</w:t>
      </w:r>
      <w:r w:rsidR="00AA242C" w:rsidRPr="00B32251">
        <w:rPr>
          <w:rFonts w:ascii="Arial" w:hAnsi="Arial" w:cs="Arial"/>
          <w:color w:val="auto"/>
          <w:sz w:val="22"/>
          <w:szCs w:val="22"/>
        </w:rPr>
        <w:fldChar w:fldCharType="end"/>
      </w:r>
      <w:r w:rsidRPr="00B32251">
        <w:rPr>
          <w:rFonts w:ascii="Arial" w:hAnsi="Arial" w:cs="Arial"/>
          <w:color w:val="auto"/>
          <w:sz w:val="22"/>
          <w:szCs w:val="22"/>
        </w:rPr>
        <w:t xml:space="preserve"> </w:t>
      </w:r>
      <w:r w:rsidRPr="00B3225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Liczba osób 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z </w:t>
      </w:r>
      <w:r w:rsidRPr="00B32251">
        <w:rPr>
          <w:rFonts w:ascii="Arial" w:hAnsi="Arial" w:cs="Arial"/>
          <w:b w:val="0"/>
          <w:bCs w:val="0"/>
          <w:color w:val="auto"/>
          <w:sz w:val="22"/>
          <w:szCs w:val="22"/>
        </w:rPr>
        <w:t>niepełnosprawn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ościami</w:t>
      </w:r>
      <w:r w:rsidRPr="00B32251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we Wrocławiu</w:t>
      </w:r>
      <w:bookmarkEnd w:id="0"/>
    </w:p>
    <w:p w:rsidR="00036DA4" w:rsidRDefault="00036DA4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14"/>
        <w:gridCol w:w="1180"/>
        <w:gridCol w:w="1259"/>
        <w:gridCol w:w="1109"/>
        <w:gridCol w:w="1108"/>
        <w:gridCol w:w="1095"/>
        <w:gridCol w:w="1102"/>
        <w:gridCol w:w="1095"/>
      </w:tblGrid>
      <w:tr w:rsidR="00036DA4" w:rsidRPr="00036DA4" w:rsidTr="00BB79B5">
        <w:trPr>
          <w:trHeight w:val="539"/>
        </w:trPr>
        <w:tc>
          <w:tcPr>
            <w:tcW w:w="1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left="113" w:right="113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 xml:space="preserve">Wg stanu </w:t>
            </w:r>
            <w:r w:rsidRPr="00036DA4">
              <w:rPr>
                <w:rFonts w:cstheme="minorHAnsi"/>
                <w:sz w:val="20"/>
                <w:szCs w:val="20"/>
              </w:rPr>
              <w:br/>
              <w:t>na dzień 31 grudnia</w:t>
            </w:r>
          </w:p>
        </w:tc>
        <w:tc>
          <w:tcPr>
            <w:tcW w:w="11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left="113" w:right="113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 xml:space="preserve">Liczba </w:t>
            </w:r>
            <w:proofErr w:type="spellStart"/>
            <w:r w:rsidRPr="00036DA4">
              <w:rPr>
                <w:rFonts w:cstheme="minorHAnsi"/>
                <w:sz w:val="20"/>
                <w:szCs w:val="20"/>
              </w:rPr>
              <w:t>mieszkańc</w:t>
            </w:r>
            <w:r w:rsidRPr="00036DA4">
              <w:rPr>
                <w:rFonts w:cstheme="minorHAnsi"/>
                <w:sz w:val="20"/>
                <w:szCs w:val="20"/>
                <w:lang w:val="en-US"/>
              </w:rPr>
              <w:t>ów</w:t>
            </w:r>
            <w:proofErr w:type="spellEnd"/>
          </w:p>
        </w:tc>
        <w:tc>
          <w:tcPr>
            <w:tcW w:w="67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Liczba osób niepełnosprawnych</w:t>
            </w:r>
          </w:p>
        </w:tc>
      </w:tr>
      <w:tr w:rsidR="00036DA4" w:rsidRPr="00036DA4" w:rsidTr="00BB79B5">
        <w:trPr>
          <w:trHeight w:val="518"/>
        </w:trPr>
        <w:tc>
          <w:tcPr>
            <w:tcW w:w="1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keepNext/>
              <w:widowControl w:val="0"/>
              <w:tabs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keepNext/>
              <w:widowControl w:val="0"/>
              <w:tabs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left="113" w:right="113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 xml:space="preserve">prawnie i biologicznie ogółem </w:t>
            </w:r>
            <w:r w:rsidRPr="00036DA4">
              <w:rPr>
                <w:rFonts w:cstheme="minorHAnsi"/>
                <w:sz w:val="20"/>
                <w:szCs w:val="20"/>
              </w:rPr>
              <w:br/>
              <w:t>(12% liczby mieszkańców)</w:t>
            </w:r>
          </w:p>
        </w:tc>
        <w:tc>
          <w:tcPr>
            <w:tcW w:w="55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legitymujących się orzeczeniem</w:t>
            </w:r>
          </w:p>
        </w:tc>
      </w:tr>
      <w:tr w:rsidR="00036DA4" w:rsidRPr="00036DA4" w:rsidTr="00BB79B5">
        <w:trPr>
          <w:trHeight w:val="3545"/>
        </w:trPr>
        <w:tc>
          <w:tcPr>
            <w:tcW w:w="1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keepNext/>
              <w:widowControl w:val="0"/>
              <w:tabs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keepNext/>
              <w:widowControl w:val="0"/>
              <w:tabs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keepNext/>
              <w:widowControl w:val="0"/>
              <w:tabs>
                <w:tab w:val="left" w:pos="36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left="113" w:right="113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 xml:space="preserve">ogółem </w:t>
            </w:r>
            <w:r w:rsidRPr="00036DA4">
              <w:rPr>
                <w:rFonts w:cstheme="minorHAnsi"/>
                <w:sz w:val="20"/>
                <w:szCs w:val="20"/>
              </w:rPr>
              <w:br/>
              <w:t>(60% liczby osób niepełnosprawnych prawnie i biologicznie)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left="113" w:right="113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stopień znaczny</w:t>
            </w:r>
            <w:r w:rsidRPr="00036DA4">
              <w:rPr>
                <w:rFonts w:cstheme="minorHAnsi"/>
                <w:sz w:val="20"/>
                <w:szCs w:val="20"/>
              </w:rPr>
              <w:br/>
              <w:t>(29% liczby osób niepełnosprawnych prawnie)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left="113" w:right="113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stopień umiarkowany (35% liczby osób niepełnosprawnych prawnie)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left="113" w:right="113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stopień lekki (29% liczby osób niepełnosprawnych prawnie)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ind w:left="113" w:right="113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pozostałe (7% liczby osób niepełnosprawnych prawnie)</w:t>
            </w:r>
          </w:p>
        </w:tc>
      </w:tr>
      <w:tr w:rsidR="00036DA4" w:rsidRPr="00036DA4" w:rsidTr="00BB79B5">
        <w:trPr>
          <w:trHeight w:val="390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631</w:t>
            </w:r>
            <w:r w:rsidR="00CD6CCC">
              <w:rPr>
                <w:rFonts w:cstheme="minorHAnsi"/>
                <w:sz w:val="20"/>
                <w:szCs w:val="20"/>
              </w:rPr>
              <w:t> </w:t>
            </w:r>
            <w:r w:rsidRPr="00036DA4">
              <w:rPr>
                <w:rFonts w:cstheme="minorHAnsi"/>
                <w:sz w:val="20"/>
                <w:szCs w:val="20"/>
              </w:rPr>
              <w:t>235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75</w:t>
            </w:r>
            <w:r w:rsidR="00CD6CCC">
              <w:rPr>
                <w:rFonts w:cstheme="minorHAnsi"/>
                <w:sz w:val="20"/>
                <w:szCs w:val="20"/>
              </w:rPr>
              <w:t> </w:t>
            </w:r>
            <w:r w:rsidRPr="00036DA4">
              <w:rPr>
                <w:rFonts w:cstheme="minorHAnsi"/>
                <w:sz w:val="20"/>
                <w:szCs w:val="20"/>
              </w:rPr>
              <w:t>748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="00CD6CCC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036DA4">
              <w:rPr>
                <w:rFonts w:cstheme="minorHAnsi"/>
                <w:b/>
                <w:bCs/>
                <w:sz w:val="20"/>
                <w:szCs w:val="20"/>
              </w:rPr>
              <w:t>449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</w:t>
            </w:r>
            <w:r w:rsidR="00CD6CCC">
              <w:rPr>
                <w:rFonts w:cstheme="minorHAnsi"/>
                <w:sz w:val="20"/>
                <w:szCs w:val="20"/>
              </w:rPr>
              <w:t> </w:t>
            </w:r>
            <w:r w:rsidRPr="00036DA4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15</w:t>
            </w:r>
            <w:r w:rsidR="00CD6CCC">
              <w:rPr>
                <w:rFonts w:cstheme="minorHAnsi"/>
                <w:sz w:val="20"/>
                <w:szCs w:val="20"/>
              </w:rPr>
              <w:t> </w:t>
            </w:r>
            <w:r w:rsidRPr="00036DA4">
              <w:rPr>
                <w:rFonts w:cstheme="minorHAnsi"/>
                <w:sz w:val="20"/>
                <w:szCs w:val="20"/>
              </w:rPr>
              <w:t>907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</w:t>
            </w:r>
            <w:r w:rsidR="00CD6CCC">
              <w:rPr>
                <w:rFonts w:cstheme="minorHAnsi"/>
                <w:sz w:val="20"/>
                <w:szCs w:val="20"/>
              </w:rPr>
              <w:t> </w:t>
            </w:r>
            <w:r w:rsidRPr="00036DA4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3 181</w:t>
            </w:r>
          </w:p>
        </w:tc>
      </w:tr>
      <w:tr w:rsidR="00036DA4" w:rsidRPr="00036DA4" w:rsidTr="00BB79B5">
        <w:trPr>
          <w:trHeight w:val="344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631 188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75 743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45 446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13 179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15 906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13 179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3 181</w:t>
            </w:r>
          </w:p>
        </w:tc>
      </w:tr>
      <w:tr w:rsidR="00036DA4" w:rsidRPr="00036DA4" w:rsidTr="00BB79B5">
        <w:trPr>
          <w:trHeight w:val="340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632 067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75 848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45 509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13 198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15 928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13 198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3 186</w:t>
            </w:r>
          </w:p>
        </w:tc>
      </w:tr>
      <w:tr w:rsidR="00036DA4" w:rsidRPr="00036DA4" w:rsidTr="00BB79B5">
        <w:trPr>
          <w:trHeight w:val="340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634 487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76 138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45 683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13 248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15 989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13 248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3 198</w:t>
            </w:r>
          </w:p>
        </w:tc>
      </w:tr>
      <w:tr w:rsidR="00036DA4" w:rsidRPr="00036DA4" w:rsidTr="00BB79B5">
        <w:trPr>
          <w:trHeight w:val="340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635 759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76 291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45 775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13 275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16 021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13 275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3 204</w:t>
            </w:r>
          </w:p>
        </w:tc>
      </w:tr>
      <w:tr w:rsidR="00036DA4" w:rsidRPr="00036DA4" w:rsidTr="00BB79B5">
        <w:trPr>
          <w:trHeight w:val="340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637 683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76 521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45 912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13 314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16 069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13 314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3 213</w:t>
            </w:r>
          </w:p>
        </w:tc>
      </w:tr>
      <w:tr w:rsidR="00036DA4" w:rsidRPr="00036DA4" w:rsidTr="00BB79B5">
        <w:trPr>
          <w:trHeight w:val="340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638 586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76 630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45 978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13 333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16 092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13 333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3 218</w:t>
            </w:r>
          </w:p>
        </w:tc>
      </w:tr>
      <w:tr w:rsidR="00036DA4" w:rsidRPr="00036DA4" w:rsidTr="00BB79B5">
        <w:trPr>
          <w:trHeight w:val="340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640 648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76 877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46 126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13 376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16 144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13 376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3 228</w:t>
            </w:r>
          </w:p>
        </w:tc>
      </w:tr>
      <w:tr w:rsidR="00036DA4" w:rsidRPr="00036DA4" w:rsidTr="00BB79B5">
        <w:trPr>
          <w:trHeight w:val="340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642 869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77 144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46 286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13 423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16 200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13 423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3 240</w:t>
            </w:r>
          </w:p>
        </w:tc>
      </w:tr>
      <w:tr w:rsidR="00036DA4" w:rsidRPr="00036DA4" w:rsidTr="00BB79B5">
        <w:trPr>
          <w:trHeight w:val="340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643 782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77 254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46 352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13 442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16 223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13 442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3 245</w:t>
            </w:r>
          </w:p>
        </w:tc>
      </w:tr>
      <w:tr w:rsidR="00036DA4" w:rsidRPr="00036DA4" w:rsidTr="00BB79B5">
        <w:trPr>
          <w:trHeight w:val="340"/>
        </w:trPr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641</w:t>
            </w:r>
            <w:r w:rsidR="00CD6CCC">
              <w:rPr>
                <w:rFonts w:cstheme="minorHAnsi"/>
                <w:sz w:val="20"/>
                <w:szCs w:val="20"/>
              </w:rPr>
              <w:t> </w:t>
            </w:r>
            <w:r w:rsidRPr="00036DA4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76</w:t>
            </w:r>
            <w:r w:rsidR="00CD6CCC">
              <w:rPr>
                <w:rFonts w:cstheme="minorHAnsi"/>
                <w:sz w:val="20"/>
                <w:szCs w:val="20"/>
              </w:rPr>
              <w:t> </w:t>
            </w:r>
            <w:r w:rsidRPr="00036DA4">
              <w:rPr>
                <w:rFonts w:cstheme="minorHAnsi"/>
                <w:sz w:val="20"/>
                <w:szCs w:val="20"/>
              </w:rPr>
              <w:t>944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6DA4">
              <w:rPr>
                <w:rFonts w:cstheme="minorHAnsi"/>
                <w:b/>
                <w:bCs/>
                <w:sz w:val="20"/>
                <w:szCs w:val="20"/>
              </w:rPr>
              <w:t>46</w:t>
            </w:r>
            <w:r w:rsidR="00CD6CCC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036DA4">
              <w:rPr>
                <w:rFonts w:cstheme="minorHAnsi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</w:t>
            </w:r>
            <w:r w:rsidR="00CD6CCC">
              <w:rPr>
                <w:rFonts w:cstheme="minorHAnsi"/>
                <w:sz w:val="20"/>
                <w:szCs w:val="20"/>
              </w:rPr>
              <w:t> </w:t>
            </w:r>
            <w:r w:rsidRPr="00036DA4">
              <w:rPr>
                <w:rFonts w:cstheme="minorHAnsi"/>
                <w:sz w:val="20"/>
                <w:szCs w:val="20"/>
              </w:rPr>
              <w:t>388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16</w:t>
            </w:r>
            <w:r w:rsidR="00CD6CCC">
              <w:rPr>
                <w:rFonts w:cstheme="minorHAnsi"/>
                <w:sz w:val="20"/>
                <w:szCs w:val="20"/>
              </w:rPr>
              <w:t> </w:t>
            </w:r>
            <w:r w:rsidRPr="00036DA4">
              <w:rPr>
                <w:rFonts w:cstheme="minorHAnsi"/>
                <w:sz w:val="20"/>
                <w:szCs w:val="20"/>
              </w:rPr>
              <w:t>158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13</w:t>
            </w:r>
            <w:r w:rsidR="00CD6CCC">
              <w:rPr>
                <w:rFonts w:cstheme="minorHAnsi"/>
                <w:sz w:val="20"/>
                <w:szCs w:val="20"/>
              </w:rPr>
              <w:t> </w:t>
            </w:r>
            <w:r w:rsidRPr="00036DA4">
              <w:rPr>
                <w:rFonts w:cstheme="minorHAnsi"/>
                <w:sz w:val="20"/>
                <w:szCs w:val="20"/>
              </w:rPr>
              <w:t>388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36DA4">
              <w:rPr>
                <w:rFonts w:cstheme="minorHAnsi"/>
                <w:sz w:val="20"/>
                <w:szCs w:val="20"/>
              </w:rPr>
              <w:t>3 231</w:t>
            </w:r>
          </w:p>
        </w:tc>
      </w:tr>
      <w:tr w:rsidR="00036DA4" w:rsidRPr="00036DA4" w:rsidTr="00BB79B5">
        <w:trPr>
          <w:trHeight w:val="1"/>
        </w:trPr>
        <w:tc>
          <w:tcPr>
            <w:tcW w:w="90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97F7E" w:rsidRPr="00922D36" w:rsidRDefault="00C97F7E" w:rsidP="00C9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6"/>
                <w:szCs w:val="16"/>
              </w:rPr>
            </w:pPr>
            <w:r w:rsidRPr="00922D36">
              <w:rPr>
                <w:rFonts w:ascii="TimesNewRoman" w:hAnsi="TimesNewRoman" w:cs="TimesNewRoman"/>
                <w:sz w:val="16"/>
                <w:szCs w:val="16"/>
              </w:rPr>
              <w:t>UWAGA:</w:t>
            </w:r>
          </w:p>
          <w:p w:rsidR="00C97F7E" w:rsidRPr="00922D36" w:rsidRDefault="00C97F7E" w:rsidP="00C9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6"/>
                <w:szCs w:val="16"/>
              </w:rPr>
            </w:pPr>
            <w:r w:rsidRPr="00922D36">
              <w:rPr>
                <w:rFonts w:ascii="TimesNewRoman" w:hAnsi="TimesNewRoman" w:cs="TimesNewRoman"/>
                <w:sz w:val="16"/>
                <w:szCs w:val="16"/>
              </w:rPr>
              <w:t>Dla potrzeb prowadzonych badań Urząd Statystyczny za osobę niepełnosprawną uznaje osobę, która posiada odpowiednie orzeczenie wydane przez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 </w:t>
            </w:r>
            <w:r w:rsidRPr="00922D36">
              <w:rPr>
                <w:rFonts w:ascii="TimesNewRoman" w:hAnsi="TimesNewRoman" w:cs="TimesNewRoman"/>
                <w:sz w:val="16"/>
                <w:szCs w:val="16"/>
              </w:rPr>
              <w:t>organ do tego uprawniony lub osobę, która takiego orzeczenia nie posiada, lecz odczuwa ograniczenie sprawności w wykonywaniu podstawowych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 </w:t>
            </w:r>
            <w:r w:rsidRPr="00922D36">
              <w:rPr>
                <w:rFonts w:ascii="TimesNewRoman" w:hAnsi="TimesNewRoman" w:cs="TimesNewRoman"/>
                <w:sz w:val="16"/>
                <w:szCs w:val="16"/>
              </w:rPr>
              <w:t>czynności dla swojego wieku (samoobsługa, praca, nauka, zabawa).</w:t>
            </w:r>
          </w:p>
          <w:p w:rsidR="00036DA4" w:rsidRPr="00036DA4" w:rsidRDefault="00036DA4" w:rsidP="00BB79B5">
            <w:pPr>
              <w:widowControl w:val="0"/>
              <w:autoSpaceDE w:val="0"/>
              <w:autoSpaceDN w:val="0"/>
              <w:adjustRightInd w:val="0"/>
              <w:spacing w:after="160" w:line="259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:rsidR="00C97F7E" w:rsidRPr="00C97F7E" w:rsidRDefault="00C97F7E" w:rsidP="00C97F7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proofErr w:type="spellStart"/>
      <w:r w:rsidRPr="00C97F7E">
        <w:rPr>
          <w:rFonts w:cstheme="minorHAnsi"/>
          <w:sz w:val="20"/>
          <w:szCs w:val="20"/>
          <w:lang w:val="en-US"/>
        </w:rPr>
        <w:t>Opracowanie</w:t>
      </w:r>
      <w:proofErr w:type="spellEnd"/>
      <w:r w:rsidRPr="00C97F7E">
        <w:rPr>
          <w:rFonts w:cstheme="minorHAnsi"/>
          <w:sz w:val="20"/>
          <w:szCs w:val="20"/>
          <w:lang w:val="en-US"/>
        </w:rPr>
        <w:t xml:space="preserve"> BWB </w:t>
      </w:r>
      <w:proofErr w:type="spellStart"/>
      <w:r w:rsidRPr="00C97F7E">
        <w:rPr>
          <w:rFonts w:cstheme="minorHAnsi"/>
          <w:sz w:val="20"/>
          <w:szCs w:val="20"/>
          <w:lang w:val="en-US"/>
        </w:rPr>
        <w:t>na</w:t>
      </w:r>
      <w:proofErr w:type="spellEnd"/>
      <w:r w:rsidRPr="00C97F7E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po</w:t>
      </w:r>
      <w:r w:rsidRPr="00C97F7E">
        <w:rPr>
          <w:rFonts w:cstheme="minorHAnsi"/>
          <w:sz w:val="20"/>
          <w:szCs w:val="20"/>
        </w:rPr>
        <w:t>dstawie</w:t>
      </w:r>
      <w:r w:rsidRPr="00C97F7E">
        <w:rPr>
          <w:rFonts w:cstheme="minorHAnsi"/>
          <w:sz w:val="20"/>
          <w:szCs w:val="20"/>
          <w:lang w:val="en-US"/>
        </w:rPr>
        <w:t xml:space="preserve"> - </w:t>
      </w:r>
      <w:proofErr w:type="spellStart"/>
      <w:r w:rsidRPr="00C97F7E">
        <w:rPr>
          <w:rFonts w:cstheme="minorHAnsi"/>
          <w:sz w:val="20"/>
          <w:szCs w:val="20"/>
          <w:lang w:val="en-US"/>
        </w:rPr>
        <w:t>dane</w:t>
      </w:r>
      <w:proofErr w:type="spellEnd"/>
      <w:r w:rsidRPr="00C97F7E">
        <w:rPr>
          <w:rFonts w:cstheme="minorHAnsi"/>
          <w:sz w:val="20"/>
          <w:szCs w:val="20"/>
          <w:lang w:val="en-US"/>
        </w:rPr>
        <w:t xml:space="preserve"> GUS</w:t>
      </w:r>
      <w:r w:rsidRPr="00C97F7E">
        <w:rPr>
          <w:rFonts w:ascii="TimesNewRoman" w:hAnsi="TimesNewRoman" w:cs="TimesNewRoman"/>
          <w:sz w:val="16"/>
          <w:szCs w:val="16"/>
        </w:rPr>
        <w:t xml:space="preserve"> </w:t>
      </w:r>
    </w:p>
    <w:p w:rsidR="00036DA4" w:rsidRDefault="00036DA4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036DA4" w:rsidRDefault="00036DA4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036DA4" w:rsidRDefault="00036DA4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036DA4" w:rsidRDefault="00036DA4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036DA4" w:rsidRDefault="00036DA4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036DA4" w:rsidRDefault="00036DA4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C97F7E" w:rsidRDefault="00C97F7E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Obok dostępnych danych statystycznych podstawę opracowania </w:t>
      </w:r>
      <w:r w:rsidR="00073641" w:rsidRPr="00922D36">
        <w:rPr>
          <w:rFonts w:ascii="TimesNewRoman" w:hAnsi="TimesNewRoman" w:cs="TimesNewRoman"/>
        </w:rPr>
        <w:t xml:space="preserve">programu stanowiły: </w:t>
      </w:r>
    </w:p>
    <w:p w:rsidR="00C97F7E" w:rsidRDefault="00073641" w:rsidP="00C97F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C97F7E">
        <w:rPr>
          <w:rFonts w:ascii="TimesNewRoman" w:hAnsi="TimesNewRoman" w:cs="TimesNewRoman"/>
        </w:rPr>
        <w:t xml:space="preserve">obowiązujące akty prawne, </w:t>
      </w:r>
    </w:p>
    <w:p w:rsidR="00C97F7E" w:rsidRDefault="00073641" w:rsidP="000736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C97F7E">
        <w:rPr>
          <w:rFonts w:ascii="TimesNewRoman" w:hAnsi="TimesNewRoman" w:cs="TimesNewRoman"/>
        </w:rPr>
        <w:t>strategie przyjęte na poziomie kraju i województwa,</w:t>
      </w:r>
    </w:p>
    <w:p w:rsidR="00073641" w:rsidRPr="00922D36" w:rsidRDefault="00073641" w:rsidP="000736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C97F7E">
        <w:rPr>
          <w:rFonts w:ascii="TimesNewRoman" w:hAnsi="TimesNewRoman" w:cs="TimesNewRoman"/>
        </w:rPr>
        <w:t xml:space="preserve">konsultacje prowadzone ze środowiskiem osób </w:t>
      </w:r>
      <w:r w:rsidR="00C97F7E">
        <w:rPr>
          <w:rFonts w:ascii="TimesNewRoman" w:hAnsi="TimesNewRoman" w:cs="TimesNewRoman"/>
        </w:rPr>
        <w:t xml:space="preserve">z </w:t>
      </w:r>
      <w:r w:rsidRPr="00C97F7E">
        <w:rPr>
          <w:rFonts w:ascii="TimesNewRoman" w:hAnsi="TimesNewRoman" w:cs="TimesNewRoman"/>
        </w:rPr>
        <w:t>niepełnosprawn</w:t>
      </w:r>
      <w:r w:rsidR="00C97F7E">
        <w:rPr>
          <w:rFonts w:ascii="TimesNewRoman" w:hAnsi="TimesNewRoman" w:cs="TimesNewRoman"/>
        </w:rPr>
        <w:t>ościami w ramach prac Grupy Zadaniowej</w:t>
      </w:r>
      <w:r w:rsidRPr="00C97F7E">
        <w:rPr>
          <w:rFonts w:ascii="TimesNewRoman" w:hAnsi="TimesNewRoman" w:cs="TimesNewRoman"/>
        </w:rPr>
        <w:t xml:space="preserve"> oraz analiza potrzeb i zasobów tego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środowiska, a także sposób i efekty realizacji programu obowiązującego aktualnie, tj. Wrocławskiego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lastRenderedPageBreak/>
        <w:t>Programu Działań na Rzecz Osób Niepełnosprawnych „Bez barier” na lata 2018 – 2022.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W wyniku doświadczeń, wynikających z realizacji programów w latach ubiegłych oraz w związku</w:t>
      </w:r>
      <w:r w:rsid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z opiniami środowiska osób niepełnosprawnych przedstawiony projekt przewiduje regulacje dotyczące projektowania uniwersalnego oraz</w:t>
      </w:r>
      <w:r w:rsid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powszechnej dostępności przestrzeni publicznej i usług.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Ma to na celu podkreślenie obowiązującej reguły, że każdy człowiek powinien mieć równy dostęp do</w:t>
      </w:r>
      <w:r w:rsid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wszystkich elementów środowiska: przestrzeni, przedmiotów, budynków, ulic, chodników, szpitali, szkół,</w:t>
      </w:r>
      <w:r w:rsid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środków transportu. Stosowanie tej reguły powinno prowadzić do takiego planowania przestrzeni, aby</w:t>
      </w:r>
      <w:r w:rsid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 xml:space="preserve">nie wymagała ona dodatkowych udogodnień dla osób </w:t>
      </w:r>
      <w:r w:rsidR="00C97F7E">
        <w:rPr>
          <w:rFonts w:ascii="TimesNewRoman" w:hAnsi="TimesNewRoman" w:cs="TimesNewRoman"/>
        </w:rPr>
        <w:t xml:space="preserve">z </w:t>
      </w:r>
      <w:r w:rsidRPr="00922D36">
        <w:rPr>
          <w:rFonts w:ascii="TimesNewRoman" w:hAnsi="TimesNewRoman" w:cs="TimesNewRoman"/>
        </w:rPr>
        <w:t>niepełnosprawn</w:t>
      </w:r>
      <w:r w:rsidR="00C97F7E">
        <w:rPr>
          <w:rFonts w:ascii="TimesNewRoman" w:hAnsi="TimesNewRoman" w:cs="TimesNewRoman"/>
        </w:rPr>
        <w:t>ościami</w:t>
      </w:r>
      <w:r w:rsidRPr="00922D36">
        <w:rPr>
          <w:rFonts w:ascii="TimesNewRoman" w:hAnsi="TimesNewRoman" w:cs="TimesNewRoman"/>
        </w:rPr>
        <w:t>, seniorów czy rodziców z dziećmi</w:t>
      </w:r>
      <w:r w:rsid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w wózkach.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 xml:space="preserve">Podsumowując dokonane analizy można stwierdzić, iż potrzeby osób </w:t>
      </w:r>
      <w:r w:rsidR="00C97F7E">
        <w:rPr>
          <w:rFonts w:ascii="TimesNewRoman" w:hAnsi="TimesNewRoman" w:cs="TimesNewRoman"/>
        </w:rPr>
        <w:t xml:space="preserve">z </w:t>
      </w:r>
      <w:r w:rsidRPr="00922D36">
        <w:rPr>
          <w:rFonts w:ascii="TimesNewRoman" w:hAnsi="TimesNewRoman" w:cs="TimesNewRoman"/>
        </w:rPr>
        <w:t>niepełnosprawn</w:t>
      </w:r>
      <w:r w:rsidR="00C97F7E">
        <w:rPr>
          <w:rFonts w:ascii="TimesNewRoman" w:hAnsi="TimesNewRoman" w:cs="TimesNewRoman"/>
        </w:rPr>
        <w:t>ościami</w:t>
      </w:r>
      <w:r w:rsidRPr="00922D36">
        <w:rPr>
          <w:rFonts w:ascii="TimesNewRoman" w:hAnsi="TimesNewRoman" w:cs="TimesNewRoman"/>
        </w:rPr>
        <w:t xml:space="preserve"> i ich rodzin</w:t>
      </w:r>
      <w:r w:rsid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uwzględniają w szczególności: potrzeby ekonomiczne (w tym aktywizację zawodową), zdrowotne</w:t>
      </w:r>
      <w:r w:rsid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i edukacyjne, rozwoju infrastruktury społecznej, bezpieczeństwa oraz uczestnictwa w życiu społecznym.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Przy opracowywaniu projektu programu na lata 2018-2022 przyjęto następujące założenia:</w:t>
      </w:r>
    </w:p>
    <w:p w:rsidR="00073641" w:rsidRPr="00922D36" w:rsidRDefault="00073641" w:rsidP="000736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C97F7E">
        <w:rPr>
          <w:rFonts w:ascii="TimesNewRoman" w:hAnsi="TimesNewRoman" w:cs="TimesNewRoman"/>
        </w:rPr>
        <w:t xml:space="preserve">osoby </w:t>
      </w:r>
      <w:r w:rsidR="00C97F7E" w:rsidRPr="00C97F7E">
        <w:rPr>
          <w:rFonts w:ascii="TimesNewRoman" w:hAnsi="TimesNewRoman" w:cs="TimesNewRoman"/>
        </w:rPr>
        <w:t xml:space="preserve">z </w:t>
      </w:r>
      <w:r w:rsidRPr="00C97F7E">
        <w:rPr>
          <w:rFonts w:ascii="TimesNewRoman" w:hAnsi="TimesNewRoman" w:cs="TimesNewRoman"/>
        </w:rPr>
        <w:t>niepełnosprawn</w:t>
      </w:r>
      <w:r w:rsidR="00C97F7E" w:rsidRPr="00C97F7E">
        <w:rPr>
          <w:rFonts w:ascii="TimesNewRoman" w:hAnsi="TimesNewRoman" w:cs="TimesNewRoman"/>
        </w:rPr>
        <w:t>ościami</w:t>
      </w:r>
      <w:r w:rsidRPr="00C97F7E">
        <w:rPr>
          <w:rFonts w:ascii="TimesNewRoman" w:hAnsi="TimesNewRoman" w:cs="TimesNewRoman"/>
        </w:rPr>
        <w:t xml:space="preserve"> mają prawo do niezależnego, samodzielnego i aktywnego życia oraz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do korzystania, na zasadzie równości, z praw i obowiązków ustanowionych dla ogółu obywateli – bez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względu na rodzaj, przyczynę i stopień niepełnosprawności;</w:t>
      </w:r>
    </w:p>
    <w:p w:rsidR="00073641" w:rsidRPr="00922D36" w:rsidRDefault="00073641" w:rsidP="000736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C97F7E">
        <w:rPr>
          <w:rFonts w:ascii="TimesNewRoman" w:hAnsi="TimesNewRoman" w:cs="TimesNewRoman"/>
        </w:rPr>
        <w:t>osoby niepełnosprawne mają prawo do uzyskania niezbędnych środków umożliwiających wyrównywanie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– zmniejszonych wskutek niepełnosprawności – szans w korzystaniu z przysługujących im praw oraz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wypełnianiu obowiązków;</w:t>
      </w:r>
    </w:p>
    <w:p w:rsidR="00073641" w:rsidRPr="00922D36" w:rsidRDefault="00073641" w:rsidP="000736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C97F7E">
        <w:rPr>
          <w:rFonts w:ascii="TimesNewRoman" w:hAnsi="TimesNewRoman" w:cs="TimesNewRoman"/>
        </w:rPr>
        <w:t>wszelkie działania na rzecz osób niepełnosprawnych powinny być podejmowane z poszanowaniem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suwerenności jednostki i jej prawa do dokonywania samodzielnych wyborów życiowych;</w:t>
      </w:r>
    </w:p>
    <w:p w:rsidR="00073641" w:rsidRPr="00922D36" w:rsidRDefault="00073641" w:rsidP="000736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C97F7E">
        <w:rPr>
          <w:rFonts w:ascii="TimesNewRoman" w:hAnsi="TimesNewRoman" w:cs="TimesNewRoman"/>
        </w:rPr>
        <w:t>w odniesieniu do wielu zapisów programu kompetencje i środki samorządowej administracji Miasta są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w oczywisty sposób niewystarczające, dlatego konieczne jest partnerstwo strategiczne między różnymi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podmiotami, działającymi w Mieście i jego otoczeniu. Musi ono obejmować administrację państwową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i samorządową, kręgi biznesowe, środowiska naukowe i profesjonalne, organizacje społeczne oraz związane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z Wrocławiem autorytety. Przedmiotem partnerstwa winna być zarówno współpraca przy realizacji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poszczególnych zadań programu, jak i całościowe harmonizowanie przedsięwzięć w różnych sferach</w:t>
      </w:r>
      <w:r w:rsidR="00C97F7E" w:rsidRP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aktywności Miasta;</w:t>
      </w:r>
    </w:p>
    <w:p w:rsidR="00073641" w:rsidRPr="00C97F7E" w:rsidRDefault="00073641" w:rsidP="00C97F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C97F7E">
        <w:rPr>
          <w:rFonts w:ascii="TimesNewRoman" w:hAnsi="TimesNewRoman" w:cs="TimesNewRoman"/>
        </w:rPr>
        <w:t>program ma charakter otwarty na wprowadzanie zmian oraz uzupełnienia o nowe propozycje rozwiązań.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Wymienione w programie zadania nie stanowią katalogu zamkniętego. W przypadku zaistnienia okoliczności</w:t>
      </w:r>
      <w:r w:rsid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uzasadniających podjęcie zadań, które nie zostały wymienione w programie, podejmowane będą działania</w:t>
      </w:r>
      <w:r w:rsidR="00C97F7E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w celu rozszerzenia ich katalogu;</w:t>
      </w:r>
    </w:p>
    <w:p w:rsidR="00073641" w:rsidRPr="00922D36" w:rsidRDefault="00073641" w:rsidP="000736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4C38A6">
        <w:rPr>
          <w:rFonts w:ascii="TimesNewRoman" w:hAnsi="TimesNewRoman" w:cs="TimesNewRoman"/>
        </w:rPr>
        <w:t>program stanowi podstawę do powstawania projektów, mających na celu realizację ujętych w nim zadań</w:t>
      </w:r>
      <w:r w:rsidR="004C38A6" w:rsidRPr="004C38A6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oraz pozyskiwania środków zewnętrznych (np.: z PFRON i EFS) przez samorząd terytorialny i organizacje</w:t>
      </w:r>
      <w:r w:rsidR="004C38A6" w:rsidRPr="004C38A6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pozarządowe.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Niepełnosprawność nie powinna wyróżniać negatywnie ani pozytywnie. Rolą samorządu lokalnego jest</w:t>
      </w:r>
      <w:r w:rsidR="004C38A6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stworzenie takich warunków, aby ograniczenia wynikające z niepełnosprawności, nie wpływały ujemnie na</w:t>
      </w:r>
      <w:r w:rsidR="004C38A6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możliwość uczestniczenia w wydarzeniach, kierowanych do ogółu społeczeństwa. Realizacja programu będzie</w:t>
      </w:r>
      <w:r w:rsidR="004C38A6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miała wpływ na systematyczną poprawę jakości życia osób niepełnosprawnych, tworzenie warunków do</w:t>
      </w:r>
      <w:r w:rsidR="004C38A6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pełnego ich uczestnictwa w życiu społecznym i zawodowym oraz przeciwdziałanie ich wykluczeniu</w:t>
      </w:r>
      <w:r w:rsidR="004C38A6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społecznemu.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Projekt programu przewiduje realizację następujących celów:</w:t>
      </w:r>
    </w:p>
    <w:p w:rsidR="00073641" w:rsidRPr="004C38A6" w:rsidRDefault="00073641" w:rsidP="004C38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4C38A6">
        <w:rPr>
          <w:rFonts w:ascii="TimesNewRoman" w:hAnsi="TimesNewRoman" w:cs="TimesNewRoman"/>
        </w:rPr>
        <w:t>ograniczanie barier społecznych;</w:t>
      </w:r>
    </w:p>
    <w:p w:rsidR="00073641" w:rsidRPr="004C38A6" w:rsidRDefault="00073641" w:rsidP="004C38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4C38A6">
        <w:rPr>
          <w:rFonts w:ascii="TimesNewRoman" w:hAnsi="TimesNewRoman" w:cs="TimesNewRoman"/>
        </w:rPr>
        <w:t xml:space="preserve">tworzenie warunków do zachowania samodzielności i niezależności osób </w:t>
      </w:r>
      <w:r w:rsidR="004C38A6">
        <w:rPr>
          <w:rFonts w:ascii="TimesNewRoman" w:hAnsi="TimesNewRoman" w:cs="TimesNewRoman"/>
        </w:rPr>
        <w:t xml:space="preserve">z </w:t>
      </w:r>
      <w:r w:rsidRPr="004C38A6">
        <w:rPr>
          <w:rFonts w:ascii="TimesNewRoman" w:hAnsi="TimesNewRoman" w:cs="TimesNewRoman"/>
        </w:rPr>
        <w:t>niepełnosprawn</w:t>
      </w:r>
      <w:r w:rsidR="004C38A6">
        <w:rPr>
          <w:rFonts w:ascii="TimesNewRoman" w:hAnsi="TimesNewRoman" w:cs="TimesNewRoman"/>
        </w:rPr>
        <w:t>ościami</w:t>
      </w:r>
      <w:r w:rsidRPr="004C38A6">
        <w:rPr>
          <w:rFonts w:ascii="TimesNewRoman" w:hAnsi="TimesNewRoman" w:cs="TimesNewRoman"/>
        </w:rPr>
        <w:t>;</w:t>
      </w:r>
    </w:p>
    <w:p w:rsidR="00073641" w:rsidRPr="004C38A6" w:rsidRDefault="00073641" w:rsidP="004C38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4C38A6">
        <w:rPr>
          <w:rFonts w:ascii="TimesNewRoman" w:hAnsi="TimesNewRoman" w:cs="TimesNewRoman"/>
        </w:rPr>
        <w:t xml:space="preserve">aktywizację społeczną i zawodową osób </w:t>
      </w:r>
      <w:r w:rsidR="004C38A6">
        <w:rPr>
          <w:rFonts w:ascii="TimesNewRoman" w:hAnsi="TimesNewRoman" w:cs="TimesNewRoman"/>
        </w:rPr>
        <w:t>z niepełnosprawnościami</w:t>
      </w:r>
      <w:r w:rsidRPr="004C38A6">
        <w:rPr>
          <w:rFonts w:ascii="TimesNewRoman" w:hAnsi="TimesNewRoman" w:cs="TimesNewRoman"/>
        </w:rPr>
        <w:t>;</w:t>
      </w:r>
    </w:p>
    <w:p w:rsidR="00073641" w:rsidRPr="004C38A6" w:rsidRDefault="00073641" w:rsidP="004C38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4C38A6">
        <w:rPr>
          <w:rFonts w:ascii="TimesNewRoman" w:hAnsi="TimesNewRoman" w:cs="TimesNewRoman"/>
        </w:rPr>
        <w:lastRenderedPageBreak/>
        <w:t>inicjowanie i podejmowanie działań profilaktycznych, promocji zdrowia i rehabilitacji leczniczej.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 xml:space="preserve">Efektem działań podjętych w tym zakresie będzie równoprawne uczestnictwo osób </w:t>
      </w:r>
      <w:r w:rsidR="004C38A6">
        <w:rPr>
          <w:rFonts w:ascii="TimesNewRoman" w:hAnsi="TimesNewRoman" w:cs="TimesNewRoman"/>
        </w:rPr>
        <w:t xml:space="preserve">z niepełnosprawnościami </w:t>
      </w:r>
      <w:r w:rsidRPr="00922D36">
        <w:rPr>
          <w:rFonts w:ascii="TimesNewRoman" w:hAnsi="TimesNewRoman" w:cs="TimesNewRoman"/>
        </w:rPr>
        <w:t>w życiu społecznym miasta oraz uwrażliwienie świadomości społecznej na potrzeby środowiska</w:t>
      </w:r>
      <w:r w:rsidR="004C38A6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niepełnosprawnych wrocławian.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 xml:space="preserve">Zarówno program, jak i konkretne działania podejmowane we Wrocławiu na rzecz osób </w:t>
      </w:r>
      <w:r w:rsidR="004C38A6">
        <w:rPr>
          <w:rFonts w:ascii="TimesNewRoman" w:hAnsi="TimesNewRoman" w:cs="TimesNewRoman"/>
        </w:rPr>
        <w:t xml:space="preserve">z </w:t>
      </w:r>
      <w:r w:rsidRPr="00922D36">
        <w:rPr>
          <w:rFonts w:ascii="TimesNewRoman" w:hAnsi="TimesNewRoman" w:cs="TimesNewRoman"/>
        </w:rPr>
        <w:t>niepełnosprawn</w:t>
      </w:r>
      <w:r w:rsidR="004C38A6">
        <w:rPr>
          <w:rFonts w:ascii="TimesNewRoman" w:hAnsi="TimesNewRoman" w:cs="TimesNewRoman"/>
        </w:rPr>
        <w:t>ościami</w:t>
      </w:r>
      <w:r w:rsidRPr="00922D36">
        <w:rPr>
          <w:rFonts w:ascii="TimesNewRoman" w:hAnsi="TimesNewRoman" w:cs="TimesNewRoman"/>
        </w:rPr>
        <w:t>,</w:t>
      </w:r>
      <w:r w:rsidR="004C38A6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wynikają wprost z Konwencji ONZ z dnia 13 grudnia 2006 r. o prawach osób niepełnosprawnych,</w:t>
      </w:r>
      <w:r w:rsidR="004C38A6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ratyfikowanej przez Polskę dnia 6 września 2012r.</w:t>
      </w:r>
    </w:p>
    <w:p w:rsidR="00073641" w:rsidRPr="00922D36" w:rsidRDefault="00073641" w:rsidP="0007364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22D36">
        <w:rPr>
          <w:rFonts w:ascii="TimesNewRoman" w:hAnsi="TimesNewRoman" w:cs="TimesNewRoman"/>
        </w:rPr>
        <w:t>Przyjmowany program jest dokumentem, którego zadaniem jest wytyczenie celów do realizacji oraz</w:t>
      </w:r>
      <w:r w:rsidR="004C38A6">
        <w:rPr>
          <w:rFonts w:ascii="TimesNewRoman" w:hAnsi="TimesNewRoman" w:cs="TimesNewRoman"/>
        </w:rPr>
        <w:t xml:space="preserve"> </w:t>
      </w:r>
      <w:r w:rsidRPr="00922D36">
        <w:rPr>
          <w:rFonts w:ascii="TimesNewRoman" w:hAnsi="TimesNewRoman" w:cs="TimesNewRoman"/>
        </w:rPr>
        <w:t>obszarów, będących przedmiotem szczególnej troski władz lokalnych.</w:t>
      </w:r>
    </w:p>
    <w:p w:rsidR="007E220B" w:rsidRDefault="007E220B"/>
    <w:sectPr w:rsidR="007E220B" w:rsidSect="007E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7206"/>
    <w:multiLevelType w:val="hybridMultilevel"/>
    <w:tmpl w:val="591275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E11E4"/>
    <w:multiLevelType w:val="hybridMultilevel"/>
    <w:tmpl w:val="3B44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65DB5"/>
    <w:multiLevelType w:val="hybridMultilevel"/>
    <w:tmpl w:val="AE58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50302"/>
    <w:multiLevelType w:val="hybridMultilevel"/>
    <w:tmpl w:val="CF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579DC"/>
    <w:multiLevelType w:val="hybridMultilevel"/>
    <w:tmpl w:val="F8C2D5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80538"/>
    <w:multiLevelType w:val="hybridMultilevel"/>
    <w:tmpl w:val="AFA0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3641"/>
    <w:rsid w:val="000217FB"/>
    <w:rsid w:val="00036DA4"/>
    <w:rsid w:val="00073641"/>
    <w:rsid w:val="000C1D55"/>
    <w:rsid w:val="00221D62"/>
    <w:rsid w:val="002F63B4"/>
    <w:rsid w:val="00364714"/>
    <w:rsid w:val="003A6F30"/>
    <w:rsid w:val="004C38A6"/>
    <w:rsid w:val="00587EB2"/>
    <w:rsid w:val="005A1534"/>
    <w:rsid w:val="006B0084"/>
    <w:rsid w:val="007E1BE5"/>
    <w:rsid w:val="007E220B"/>
    <w:rsid w:val="00820815"/>
    <w:rsid w:val="00872739"/>
    <w:rsid w:val="00AA242C"/>
    <w:rsid w:val="00B6297F"/>
    <w:rsid w:val="00C97F7E"/>
    <w:rsid w:val="00CA71F8"/>
    <w:rsid w:val="00CD6CCC"/>
    <w:rsid w:val="00F0247A"/>
    <w:rsid w:val="00F4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815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36DA4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66C7D-9111-4CB1-96C3-7EA1A45A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umdasz06</dc:creator>
  <cp:lastModifiedBy>umdogo02</cp:lastModifiedBy>
  <cp:revision>2</cp:revision>
  <cp:lastPrinted>2022-09-02T06:07:00Z</cp:lastPrinted>
  <dcterms:created xsi:type="dcterms:W3CDTF">2022-09-05T13:07:00Z</dcterms:created>
  <dcterms:modified xsi:type="dcterms:W3CDTF">2022-09-05T13:07:00Z</dcterms:modified>
</cp:coreProperties>
</file>