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E01D838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792952">
        <w:rPr>
          <w:rFonts w:ascii="Verdana" w:hAnsi="Verdana"/>
          <w:b/>
          <w:sz w:val="32"/>
          <w:szCs w:val="32"/>
        </w:rPr>
        <w:t>30</w:t>
      </w:r>
      <w:r w:rsidR="00E10212">
        <w:rPr>
          <w:rFonts w:ascii="Verdana" w:hAnsi="Verdana"/>
          <w:b/>
          <w:sz w:val="32"/>
          <w:szCs w:val="32"/>
        </w:rPr>
        <w:t>.08.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1E1885D2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43E1F9C3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164A8D">
        <w:rPr>
          <w:rStyle w:val="Nagwek3Znak"/>
          <w:rFonts w:ascii="Verdana" w:hAnsi="Verdana" w:cstheme="minorHAnsi"/>
          <w:color w:val="auto"/>
        </w:rPr>
        <w:t>Z</w:t>
      </w:r>
      <w:r w:rsidR="00EC740F" w:rsidRPr="00EC740F">
        <w:rPr>
          <w:rStyle w:val="Nagwek3Znak"/>
          <w:rFonts w:ascii="Verdana" w:hAnsi="Verdana" w:cstheme="minorHAnsi"/>
          <w:color w:val="auto"/>
        </w:rPr>
        <w:t>apobiegani</w:t>
      </w:r>
      <w:r w:rsidR="00164A8D">
        <w:rPr>
          <w:rStyle w:val="Nagwek3Znak"/>
          <w:rFonts w:ascii="Verdana" w:hAnsi="Verdana" w:cstheme="minorHAnsi"/>
          <w:color w:val="auto"/>
        </w:rPr>
        <w:t>e</w:t>
      </w:r>
      <w:r w:rsidR="00EC740F" w:rsidRPr="00EC740F">
        <w:rPr>
          <w:rStyle w:val="Nagwek3Znak"/>
          <w:rFonts w:ascii="Verdana" w:hAnsi="Verdana" w:cstheme="minorHAnsi"/>
          <w:color w:val="auto"/>
        </w:rPr>
        <w:t xml:space="preserve"> konfliktom i wzmacniani</w:t>
      </w:r>
      <w:r w:rsidR="00164A8D">
        <w:rPr>
          <w:rStyle w:val="Nagwek3Znak"/>
          <w:rFonts w:ascii="Verdana" w:hAnsi="Verdana" w:cstheme="minorHAnsi"/>
          <w:color w:val="auto"/>
        </w:rPr>
        <w:t>e</w:t>
      </w:r>
      <w:r w:rsidR="00EC740F" w:rsidRPr="00EC740F">
        <w:rPr>
          <w:rStyle w:val="Nagwek3Znak"/>
          <w:rFonts w:ascii="Verdana" w:hAnsi="Verdana" w:cstheme="minorHAnsi"/>
          <w:color w:val="auto"/>
        </w:rPr>
        <w:t xml:space="preserve"> kompetencji międzykulturowych w środowisku szkolnym i lokalnym.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22345AAD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0F0219">
        <w:rPr>
          <w:rFonts w:ascii="Verdana" w:hAnsi="Verdana"/>
          <w:bCs/>
          <w:color w:val="auto"/>
        </w:rPr>
        <w:t>1</w:t>
      </w:r>
      <w:r w:rsidR="00164A8D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.09.2022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5ABB304C" w:rsidR="00D700D6" w:rsidRDefault="00D700D6" w:rsidP="00257F14">
      <w:pPr>
        <w:spacing w:before="240" w:after="0" w:line="360" w:lineRule="auto"/>
        <w:jc w:val="both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4D1687">
        <w:rPr>
          <w:rFonts w:ascii="Verdana" w:hAnsi="Verdana"/>
          <w:sz w:val="24"/>
          <w:szCs w:val="24"/>
        </w:rPr>
        <w:t>,</w:t>
      </w:r>
      <w:r w:rsidR="00425428" w:rsidRPr="00D700D6"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>obejmująca</w:t>
      </w:r>
      <w:r w:rsidR="00792952">
        <w:rPr>
          <w:rFonts w:ascii="Verdana" w:hAnsi="Verdana"/>
          <w:sz w:val="24"/>
          <w:szCs w:val="24"/>
        </w:rPr>
        <w:t xml:space="preserve"> co najmniej jedno zadanie z poniższych</w:t>
      </w:r>
      <w:r w:rsidRPr="00D700D6">
        <w:rPr>
          <w:rFonts w:ascii="Verdana" w:hAnsi="Verdana"/>
          <w:sz w:val="24"/>
          <w:szCs w:val="24"/>
        </w:rPr>
        <w:t>:</w:t>
      </w:r>
    </w:p>
    <w:p w14:paraId="679FEF59" w14:textId="00A4567A" w:rsidR="009C1BA5" w:rsidRDefault="00164A8D" w:rsidP="009C1BA5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>zkolenia, warsztaty,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 xml:space="preserve"> działania </w:t>
      </w:r>
      <w:proofErr w:type="spellStart"/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psychoedukacyjne</w:t>
      </w:r>
      <w:proofErr w:type="spellEnd"/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,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spotkania dla dzieci i młodzieży, liderów, wolontariuszy, 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grup środowiskowych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podnoszące kompetencje międzykulturowe, wspierające procesy integracyjno-adaptacyjne</w:t>
      </w:r>
      <w:r w:rsidR="00D70F29">
        <w:rPr>
          <w:rFonts w:ascii="Verdana" w:eastAsia="Times New Roman" w:hAnsi="Verdana" w:cs="Times New Roman"/>
          <w:color w:val="2C363A"/>
          <w:sz w:val="24"/>
          <w:szCs w:val="24"/>
        </w:rPr>
        <w:t>, przeciwdział</w:t>
      </w:r>
      <w:r w:rsidR="00B307F9">
        <w:rPr>
          <w:rFonts w:ascii="Verdana" w:eastAsia="Times New Roman" w:hAnsi="Verdana" w:cs="Times New Roman"/>
          <w:color w:val="2C363A"/>
          <w:sz w:val="24"/>
          <w:szCs w:val="24"/>
        </w:rPr>
        <w:t>a</w:t>
      </w:r>
      <w:r w:rsidR="00D70F29">
        <w:rPr>
          <w:rFonts w:ascii="Verdana" w:eastAsia="Times New Roman" w:hAnsi="Verdana" w:cs="Times New Roman"/>
          <w:color w:val="2C363A"/>
          <w:sz w:val="24"/>
          <w:szCs w:val="24"/>
        </w:rPr>
        <w:t xml:space="preserve">jące konfliktom, 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w środowisku szkolnym i lokalnym w formie stacjonarnej </w:t>
      </w:r>
      <w:r w:rsidR="00013A97">
        <w:rPr>
          <w:rFonts w:ascii="Verdana" w:eastAsia="Times New Roman" w:hAnsi="Verdana" w:cs="Times New Roman"/>
          <w:color w:val="2C363A"/>
          <w:sz w:val="24"/>
          <w:szCs w:val="24"/>
        </w:rPr>
        <w:t>lub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online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;</w:t>
      </w:r>
    </w:p>
    <w:p w14:paraId="1273EE0F" w14:textId="77777777" w:rsidR="00B307F9" w:rsidRDefault="000F0219" w:rsidP="00B307F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zkolenia (stacjonarnie lub online) dla kadry pedagogicznej z zakresu zapobiegania konfliktom, w szczególności dotyczące</w:t>
      </w:r>
      <w:r w:rsidR="0094131E">
        <w:rPr>
          <w:rFonts w:ascii="Verdana" w:eastAsia="Times New Roman" w:hAnsi="Verdana" w:cs="Times New Roman"/>
          <w:color w:val="2C363A"/>
          <w:sz w:val="24"/>
          <w:szCs w:val="24"/>
        </w:rPr>
        <w:t xml:space="preserve"> przygotowania kadry do prowadzenia działań edukacyjno-informacyjnych wśród dzieci i młodzieży szkolnej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;</w:t>
      </w:r>
      <w:r w:rsidR="00B307F9" w:rsidRPr="00B307F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6413316C" w14:textId="1244ADB0" w:rsidR="00B307F9" w:rsidRPr="00013A97" w:rsidRDefault="00B307F9" w:rsidP="00B307F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013A97">
        <w:rPr>
          <w:rFonts w:ascii="Verdana" w:eastAsia="Times New Roman" w:hAnsi="Verdana" w:cs="Times New Roman"/>
          <w:color w:val="2C363A"/>
          <w:sz w:val="24"/>
          <w:szCs w:val="24"/>
        </w:rPr>
        <w:t>przygotowanie materiałów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i narzędzi </w:t>
      </w:r>
      <w:proofErr w:type="spellStart"/>
      <w:r>
        <w:rPr>
          <w:rFonts w:ascii="Verdana" w:eastAsia="Times New Roman" w:hAnsi="Verdana" w:cs="Times New Roman"/>
          <w:color w:val="2C363A"/>
          <w:sz w:val="24"/>
          <w:szCs w:val="24"/>
        </w:rPr>
        <w:t>edukacyjno</w:t>
      </w:r>
      <w:proofErr w:type="spellEnd"/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-</w:t>
      </w:r>
      <w:r w:rsidR="008A17F0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informacyjnych wspierających realizację wyżej wymienionych działań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;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728D1A38" w14:textId="458DEFC3" w:rsidR="003659E9" w:rsidRDefault="000F0219" w:rsidP="000F021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k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onsultacje (</w:t>
      </w:r>
      <w:r w:rsidR="0094131E">
        <w:rPr>
          <w:rFonts w:ascii="Verdana" w:eastAsia="Times New Roman" w:hAnsi="Verdana" w:cs="Times New Roman"/>
          <w:color w:val="2C363A"/>
          <w:sz w:val="24"/>
          <w:szCs w:val="24"/>
        </w:rPr>
        <w:t xml:space="preserve">osobiste, 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telefoniczne, online, mailowe) w zakresie zapobiegania konfliktom w szkołach</w:t>
      </w:r>
      <w:r w:rsidR="00B307F9">
        <w:rPr>
          <w:rFonts w:ascii="Verdana" w:eastAsia="Times New Roman" w:hAnsi="Verdana" w:cs="Times New Roman"/>
          <w:color w:val="2C363A"/>
          <w:sz w:val="24"/>
          <w:szCs w:val="24"/>
        </w:rPr>
        <w:t xml:space="preserve"> i środowiskach lokalnych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3951E93A" w14:textId="623E599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lastRenderedPageBreak/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27366F0A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 xml:space="preserve">. Możliwe jest </w:t>
      </w:r>
      <w:r w:rsidR="00B66CF9" w:rsidRPr="005C4F78">
        <w:rPr>
          <w:rFonts w:ascii="Verdana" w:hAnsi="Verdana"/>
        </w:rPr>
        <w:lastRenderedPageBreak/>
        <w:t>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610B4D0F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10.01.2023 roku, 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2ADCE8BA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614494D8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15934">
        <w:rPr>
          <w:rFonts w:ascii="Verdana" w:hAnsi="Verdana"/>
          <w:sz w:val="24"/>
          <w:szCs w:val="24"/>
        </w:rPr>
        <w:t>.</w:t>
      </w:r>
      <w:bookmarkStart w:id="1" w:name="_GoBack"/>
      <w:bookmarkEnd w:id="1"/>
    </w:p>
    <w:p w14:paraId="0A001077" w14:textId="5C57420C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17483D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64DE7533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3659E9">
        <w:rPr>
          <w:rFonts w:ascii="Verdana" w:hAnsi="Verdana"/>
          <w:b/>
          <w:bCs/>
          <w:color w:val="auto"/>
        </w:rPr>
        <w:t>2</w:t>
      </w:r>
      <w:r w:rsidR="009801D2">
        <w:rPr>
          <w:rFonts w:ascii="Verdana" w:hAnsi="Verdana"/>
          <w:b/>
          <w:bCs/>
          <w:color w:val="auto"/>
        </w:rPr>
        <w:t>5</w:t>
      </w:r>
      <w:r w:rsidR="00C70C51" w:rsidRPr="00C70C51">
        <w:rPr>
          <w:rFonts w:ascii="Verdana" w:hAnsi="Verdana"/>
          <w:b/>
          <w:bCs/>
          <w:color w:val="auto"/>
        </w:rPr>
        <w:t>0</w:t>
      </w:r>
      <w:r w:rsidR="000E330F">
        <w:rPr>
          <w:rFonts w:ascii="Verdana" w:hAnsi="Verdana"/>
          <w:b/>
          <w:bCs/>
          <w:color w:val="auto"/>
        </w:rPr>
        <w:t> 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5DBA97D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lastRenderedPageBreak/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17483D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0EECA728" w14:textId="77777777" w:rsidR="00B26C4A" w:rsidRPr="0017483D" w:rsidRDefault="00B26C4A" w:rsidP="0017483D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ascii="Verdana" w:eastAsia="Verdana" w:hAnsi="Verdana" w:cs="Verdana"/>
          <w:b/>
          <w:sz w:val="24"/>
          <w:szCs w:val="24"/>
        </w:rPr>
      </w:pP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17483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17483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233B186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 xml:space="preserve">związku z konfliktem zbrojnym na terytorium tego </w:t>
      </w:r>
      <w:r w:rsidR="001029B0" w:rsidRPr="001029B0">
        <w:rPr>
          <w:rFonts w:ascii="Verdana" w:hAnsi="Verdana"/>
          <w:sz w:val="24"/>
          <w:szCs w:val="24"/>
        </w:rPr>
        <w:lastRenderedPageBreak/>
        <w:t>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58BB995F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529CD24D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1564A0">
        <w:rPr>
          <w:rFonts w:ascii="Verdana" w:hAnsi="Verdana"/>
          <w:sz w:val="24"/>
          <w:szCs w:val="24"/>
        </w:rPr>
        <w:t xml:space="preserve">w formie papierowe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164A8D">
        <w:rPr>
          <w:rFonts w:ascii="Verdana" w:hAnsi="Verdana"/>
          <w:b/>
          <w:bCs/>
          <w:sz w:val="24"/>
          <w:szCs w:val="24"/>
        </w:rPr>
        <w:t>05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164A8D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 xml:space="preserve">data jej wpływu do </w:t>
      </w:r>
      <w:r w:rsidRPr="00C82FD7">
        <w:rPr>
          <w:rFonts w:ascii="Verdana" w:eastAsia="Verdana" w:hAnsi="Verdana" w:cs="Verdana"/>
          <w:b/>
          <w:sz w:val="24"/>
          <w:szCs w:val="24"/>
        </w:rPr>
        <w:lastRenderedPageBreak/>
        <w:t>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EC28758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 xml:space="preserve">w sprawie określenia </w:t>
      </w:r>
      <w:r w:rsidR="001029B0" w:rsidRPr="001029B0">
        <w:rPr>
          <w:rFonts w:ascii="Verdana" w:hAnsi="Verdana" w:cstheme="minorHAnsi"/>
          <w:bCs/>
          <w:sz w:val="24"/>
          <w:szCs w:val="24"/>
        </w:rPr>
        <w:lastRenderedPageBreak/>
        <w:t>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4D069391" w14:textId="3A0B3A13" w:rsidR="00792952" w:rsidRPr="007F0640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92952" w:rsidRPr="007F0640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215C" w16cex:dateUtc="2022-08-29T09:28:00Z"/>
  <w16cex:commentExtensible w16cex:durableId="26B72211" w16cex:dateUtc="2022-08-29T09:31:00Z"/>
  <w16cex:commentExtensible w16cex:durableId="26B72226" w16cex:dateUtc="2022-08-29T09:31:00Z"/>
  <w16cex:commentExtensible w16cex:durableId="26B72240" w16cex:dateUtc="2022-08-29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FD1D" w14:textId="77777777" w:rsidR="00356671" w:rsidRDefault="00356671" w:rsidP="00E27BFE">
      <w:pPr>
        <w:spacing w:after="0" w:line="240" w:lineRule="auto"/>
      </w:pPr>
      <w:r>
        <w:separator/>
      </w:r>
    </w:p>
  </w:endnote>
  <w:endnote w:type="continuationSeparator" w:id="0">
    <w:p w14:paraId="478EA34A" w14:textId="77777777" w:rsidR="00356671" w:rsidRDefault="00356671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9687" w14:textId="77777777" w:rsidR="0074665F" w:rsidRDefault="00746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07400001" w:rsidR="003E393F" w:rsidRDefault="00792952">
    <w:pPr>
      <w:pStyle w:val="Stopka"/>
    </w:pPr>
    <w:r>
      <w:rPr>
        <w:noProof/>
      </w:rPr>
      <w:drawing>
        <wp:inline distT="0" distB="0" distL="0" distR="0" wp14:anchorId="3D4CCB4E" wp14:editId="626FDA9C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308B" w14:textId="77777777" w:rsidR="0074665F" w:rsidRDefault="0074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B04F" w14:textId="77777777" w:rsidR="00356671" w:rsidRDefault="00356671" w:rsidP="00E27BFE">
      <w:pPr>
        <w:spacing w:after="0" w:line="240" w:lineRule="auto"/>
      </w:pPr>
      <w:r>
        <w:separator/>
      </w:r>
    </w:p>
  </w:footnote>
  <w:footnote w:type="continuationSeparator" w:id="0">
    <w:p w14:paraId="337414E3" w14:textId="77777777" w:rsidR="00356671" w:rsidRDefault="00356671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A69F" w14:textId="77777777" w:rsidR="0074665F" w:rsidRDefault="00746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2847" w14:textId="77777777" w:rsidR="0074665F" w:rsidRDefault="007466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E134" w14:textId="77777777" w:rsidR="0074665F" w:rsidRDefault="00746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3A97"/>
    <w:rsid w:val="000240F9"/>
    <w:rsid w:val="000830FB"/>
    <w:rsid w:val="000922A7"/>
    <w:rsid w:val="000B0956"/>
    <w:rsid w:val="000E08FB"/>
    <w:rsid w:val="000E330F"/>
    <w:rsid w:val="000F0219"/>
    <w:rsid w:val="00100CB4"/>
    <w:rsid w:val="00101FB4"/>
    <w:rsid w:val="001029B0"/>
    <w:rsid w:val="00105A2D"/>
    <w:rsid w:val="00117C91"/>
    <w:rsid w:val="001500EC"/>
    <w:rsid w:val="001564A0"/>
    <w:rsid w:val="00164A8D"/>
    <w:rsid w:val="0017483D"/>
    <w:rsid w:val="001854F0"/>
    <w:rsid w:val="00193175"/>
    <w:rsid w:val="001A1016"/>
    <w:rsid w:val="001F6F47"/>
    <w:rsid w:val="002049BA"/>
    <w:rsid w:val="0020718A"/>
    <w:rsid w:val="002333DD"/>
    <w:rsid w:val="00234DBC"/>
    <w:rsid w:val="00250190"/>
    <w:rsid w:val="00257F14"/>
    <w:rsid w:val="00260D8B"/>
    <w:rsid w:val="00263AF8"/>
    <w:rsid w:val="00293A24"/>
    <w:rsid w:val="002A60C3"/>
    <w:rsid w:val="002B2204"/>
    <w:rsid w:val="002B3867"/>
    <w:rsid w:val="002B4011"/>
    <w:rsid w:val="002E097F"/>
    <w:rsid w:val="00304FF8"/>
    <w:rsid w:val="00320D77"/>
    <w:rsid w:val="00325581"/>
    <w:rsid w:val="00341757"/>
    <w:rsid w:val="00343F54"/>
    <w:rsid w:val="00356671"/>
    <w:rsid w:val="003659E9"/>
    <w:rsid w:val="0038436B"/>
    <w:rsid w:val="003873AB"/>
    <w:rsid w:val="0038753C"/>
    <w:rsid w:val="003C4A6D"/>
    <w:rsid w:val="003D5DD2"/>
    <w:rsid w:val="003D7E68"/>
    <w:rsid w:val="003E315F"/>
    <w:rsid w:val="003E393F"/>
    <w:rsid w:val="003E453C"/>
    <w:rsid w:val="00400496"/>
    <w:rsid w:val="004103E1"/>
    <w:rsid w:val="004145DC"/>
    <w:rsid w:val="004160A2"/>
    <w:rsid w:val="00425428"/>
    <w:rsid w:val="00427719"/>
    <w:rsid w:val="004348DE"/>
    <w:rsid w:val="00451F15"/>
    <w:rsid w:val="00486676"/>
    <w:rsid w:val="0049293E"/>
    <w:rsid w:val="00497B54"/>
    <w:rsid w:val="004B13C3"/>
    <w:rsid w:val="004B56B1"/>
    <w:rsid w:val="004D1687"/>
    <w:rsid w:val="00500172"/>
    <w:rsid w:val="005004A3"/>
    <w:rsid w:val="005049FC"/>
    <w:rsid w:val="00533CA5"/>
    <w:rsid w:val="00555211"/>
    <w:rsid w:val="005608B7"/>
    <w:rsid w:val="0056362D"/>
    <w:rsid w:val="0059464C"/>
    <w:rsid w:val="005A594B"/>
    <w:rsid w:val="005C4F78"/>
    <w:rsid w:val="00625B3A"/>
    <w:rsid w:val="00645755"/>
    <w:rsid w:val="006713A3"/>
    <w:rsid w:val="00671AFF"/>
    <w:rsid w:val="006815A6"/>
    <w:rsid w:val="0068257F"/>
    <w:rsid w:val="00682C71"/>
    <w:rsid w:val="00694AD8"/>
    <w:rsid w:val="006C0FE1"/>
    <w:rsid w:val="006C2264"/>
    <w:rsid w:val="006E2668"/>
    <w:rsid w:val="006F4E00"/>
    <w:rsid w:val="006F55BF"/>
    <w:rsid w:val="007017B2"/>
    <w:rsid w:val="00705035"/>
    <w:rsid w:val="007228C8"/>
    <w:rsid w:val="0072324F"/>
    <w:rsid w:val="00724F52"/>
    <w:rsid w:val="0074665F"/>
    <w:rsid w:val="00750BCD"/>
    <w:rsid w:val="00752C15"/>
    <w:rsid w:val="007619BA"/>
    <w:rsid w:val="00777660"/>
    <w:rsid w:val="007839D2"/>
    <w:rsid w:val="00792952"/>
    <w:rsid w:val="007A3AB1"/>
    <w:rsid w:val="007E15D0"/>
    <w:rsid w:val="007F0640"/>
    <w:rsid w:val="00810D3E"/>
    <w:rsid w:val="00827376"/>
    <w:rsid w:val="008305DD"/>
    <w:rsid w:val="008311D9"/>
    <w:rsid w:val="008406FB"/>
    <w:rsid w:val="00855C33"/>
    <w:rsid w:val="008909B1"/>
    <w:rsid w:val="0089130C"/>
    <w:rsid w:val="008A17F0"/>
    <w:rsid w:val="008C1AA8"/>
    <w:rsid w:val="008D4473"/>
    <w:rsid w:val="008F08F6"/>
    <w:rsid w:val="008F1781"/>
    <w:rsid w:val="00912A3A"/>
    <w:rsid w:val="009143FB"/>
    <w:rsid w:val="00927A67"/>
    <w:rsid w:val="00933D4B"/>
    <w:rsid w:val="0094131E"/>
    <w:rsid w:val="00954C1C"/>
    <w:rsid w:val="00966432"/>
    <w:rsid w:val="009729B8"/>
    <w:rsid w:val="00974447"/>
    <w:rsid w:val="009801D2"/>
    <w:rsid w:val="00997CC3"/>
    <w:rsid w:val="009A47EE"/>
    <w:rsid w:val="009C1BA5"/>
    <w:rsid w:val="009C2B9D"/>
    <w:rsid w:val="009E0AAC"/>
    <w:rsid w:val="00A1070C"/>
    <w:rsid w:val="00A1179F"/>
    <w:rsid w:val="00A30CDC"/>
    <w:rsid w:val="00A55BE4"/>
    <w:rsid w:val="00A61E46"/>
    <w:rsid w:val="00A80AF2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5167"/>
    <w:rsid w:val="00AD63CC"/>
    <w:rsid w:val="00AE0E57"/>
    <w:rsid w:val="00AE1EFF"/>
    <w:rsid w:val="00B03829"/>
    <w:rsid w:val="00B03EB8"/>
    <w:rsid w:val="00B13496"/>
    <w:rsid w:val="00B14E09"/>
    <w:rsid w:val="00B26C4A"/>
    <w:rsid w:val="00B307F9"/>
    <w:rsid w:val="00B66CF9"/>
    <w:rsid w:val="00B82337"/>
    <w:rsid w:val="00B94575"/>
    <w:rsid w:val="00B947EF"/>
    <w:rsid w:val="00BA0826"/>
    <w:rsid w:val="00BB3893"/>
    <w:rsid w:val="00BB3D2E"/>
    <w:rsid w:val="00BB51A1"/>
    <w:rsid w:val="00BC0CEE"/>
    <w:rsid w:val="00BE5922"/>
    <w:rsid w:val="00BF3E90"/>
    <w:rsid w:val="00C014A4"/>
    <w:rsid w:val="00C15934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66096"/>
    <w:rsid w:val="00D700D6"/>
    <w:rsid w:val="00D70F29"/>
    <w:rsid w:val="00D76740"/>
    <w:rsid w:val="00D8479E"/>
    <w:rsid w:val="00D8585A"/>
    <w:rsid w:val="00DA1776"/>
    <w:rsid w:val="00DB771B"/>
    <w:rsid w:val="00DC0C6F"/>
    <w:rsid w:val="00DC2A57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70EEC"/>
    <w:rsid w:val="00E724A7"/>
    <w:rsid w:val="00E75AE2"/>
    <w:rsid w:val="00EA09BD"/>
    <w:rsid w:val="00EC3ADF"/>
    <w:rsid w:val="00EC740F"/>
    <w:rsid w:val="00ED2905"/>
    <w:rsid w:val="00ED6438"/>
    <w:rsid w:val="00F06F47"/>
    <w:rsid w:val="00F14E58"/>
    <w:rsid w:val="00F37E57"/>
    <w:rsid w:val="00F51AFD"/>
    <w:rsid w:val="00F51E11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E05D-6DEB-4710-8599-952F44AF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3</cp:revision>
  <cp:lastPrinted>2022-08-30T08:05:00Z</cp:lastPrinted>
  <dcterms:created xsi:type="dcterms:W3CDTF">2022-08-30T08:06:00Z</dcterms:created>
  <dcterms:modified xsi:type="dcterms:W3CDTF">2022-08-31T06:43:00Z</dcterms:modified>
</cp:coreProperties>
</file>