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20" w:rsidRPr="00C4529E" w:rsidRDefault="00313120" w:rsidP="008B3E83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 xml:space="preserve">Pani </w:t>
      </w:r>
    </w:p>
    <w:p w:rsidR="00313120" w:rsidRPr="00C4529E" w:rsidRDefault="00313120" w:rsidP="008B3E83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Ewa Wlazło</w:t>
      </w:r>
    </w:p>
    <w:p w:rsidR="00313120" w:rsidRPr="00C4529E" w:rsidRDefault="00313120" w:rsidP="008B3E83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 xml:space="preserve">PRZEGLĄDY REJESTRACYJNE </w:t>
      </w:r>
    </w:p>
    <w:p w:rsidR="00313120" w:rsidRPr="00C4529E" w:rsidRDefault="00313120" w:rsidP="008B3E83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EWA WLAZŁO</w:t>
      </w:r>
    </w:p>
    <w:p w:rsidR="00313120" w:rsidRPr="00C4529E" w:rsidRDefault="00313120" w:rsidP="008B3E83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ul. Radarowa 2B</w:t>
      </w:r>
    </w:p>
    <w:p w:rsidR="00313120" w:rsidRPr="00C4529E" w:rsidRDefault="00313120" w:rsidP="008B3E83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 xml:space="preserve">52-225 Wrocław </w:t>
      </w:r>
    </w:p>
    <w:p w:rsidR="00313120" w:rsidRPr="00C4529E" w:rsidRDefault="00313120" w:rsidP="00C4529E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WKN-KSO.5421.2.26.2018</w:t>
      </w:r>
    </w:p>
    <w:p w:rsidR="00313120" w:rsidRPr="00C4529E" w:rsidRDefault="00313120" w:rsidP="00C4529E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00003007/2019/W</w:t>
      </w:r>
      <w:r w:rsidR="00C4529E" w:rsidRPr="00C4529E">
        <w:rPr>
          <w:rFonts w:ascii="Verdana" w:hAnsi="Verdana"/>
          <w:sz w:val="22"/>
          <w:szCs w:val="22"/>
        </w:rPr>
        <w:t xml:space="preserve"> </w:t>
      </w:r>
    </w:p>
    <w:p w:rsidR="00313120" w:rsidRPr="00C4529E" w:rsidRDefault="00313120" w:rsidP="008B3E83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C4529E">
        <w:rPr>
          <w:sz w:val="22"/>
          <w:szCs w:val="22"/>
        </w:rPr>
        <w:t>Wrocław, dnia 6 marca 2019 r.</w:t>
      </w:r>
    </w:p>
    <w:p w:rsidR="00313120" w:rsidRPr="00C4529E" w:rsidRDefault="00313120" w:rsidP="008B3E83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ZALECENIA POKONTROLNE</w:t>
      </w:r>
    </w:p>
    <w:p w:rsidR="00313120" w:rsidRPr="00C4529E" w:rsidRDefault="00313120" w:rsidP="008B3E83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C4529E">
        <w:rPr>
          <w:rFonts w:ascii="Verdana" w:hAnsi="Verdana"/>
          <w:sz w:val="22"/>
          <w:szCs w:val="22"/>
        </w:rPr>
        <w:t>pkt</w:t>
      </w:r>
      <w:proofErr w:type="spellEnd"/>
      <w:r w:rsidRPr="00C4529E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C4529E">
        <w:rPr>
          <w:rFonts w:ascii="Verdana" w:hAnsi="Verdana"/>
          <w:sz w:val="22"/>
          <w:szCs w:val="22"/>
        </w:rPr>
        <w:t>t.j</w:t>
      </w:r>
      <w:proofErr w:type="spellEnd"/>
      <w:r w:rsidRPr="00C4529E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C4529E">
        <w:rPr>
          <w:rFonts w:ascii="Verdana" w:hAnsi="Verdana"/>
          <w:sz w:val="22"/>
          <w:szCs w:val="22"/>
        </w:rPr>
        <w:t>późn</w:t>
      </w:r>
      <w:proofErr w:type="spellEnd"/>
      <w:r w:rsidRPr="00C4529E">
        <w:rPr>
          <w:rFonts w:ascii="Verdana" w:hAnsi="Verdana"/>
          <w:sz w:val="22"/>
          <w:szCs w:val="22"/>
        </w:rPr>
        <w:t>. zm.).</w:t>
      </w:r>
    </w:p>
    <w:p w:rsidR="00313120" w:rsidRPr="00C4529E" w:rsidRDefault="00313120" w:rsidP="008B3E83">
      <w:pPr>
        <w:pStyle w:val="Nagwek"/>
        <w:tabs>
          <w:tab w:val="clear" w:pos="4536"/>
          <w:tab w:val="clear" w:pos="9072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C4529E">
        <w:rPr>
          <w:rFonts w:ascii="Verdana" w:hAnsi="Verdana"/>
          <w:sz w:val="22"/>
          <w:szCs w:val="22"/>
        </w:rPr>
        <w:t>pkt</w:t>
      </w:r>
      <w:proofErr w:type="spellEnd"/>
      <w:r w:rsidRPr="00C4529E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C4529E">
        <w:rPr>
          <w:rFonts w:ascii="Verdana" w:hAnsi="Verdana"/>
          <w:sz w:val="22"/>
          <w:szCs w:val="22"/>
        </w:rPr>
        <w:t>t.j</w:t>
      </w:r>
      <w:proofErr w:type="spellEnd"/>
      <w:r w:rsidRPr="00C4529E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C4529E">
        <w:rPr>
          <w:rFonts w:ascii="Verdana" w:hAnsi="Verdana"/>
          <w:sz w:val="22"/>
          <w:szCs w:val="22"/>
        </w:rPr>
        <w:t>późn</w:t>
      </w:r>
      <w:proofErr w:type="spellEnd"/>
      <w:r w:rsidRPr="00C4529E">
        <w:rPr>
          <w:rFonts w:ascii="Verdana" w:hAnsi="Verdana"/>
          <w:sz w:val="22"/>
          <w:szCs w:val="22"/>
        </w:rPr>
        <w:t xml:space="preserve">. zm. – zwanej dalej ustawą), przeprowadził kontrolę stacji kontroli pojazdów prowadzonej w dniu kontroli przez przedsiębiorcę, PRZEGLĄDY REJESTRACYJNE EWA MANDZIAK (obecnie PRZEGLĄDY REJESTRACYJNE EWA WLAZŁO), wpisanego do rejestru działalności regulowanej, prowadzonego przez Prezydenta Wrocławia, pod nr ewidencyjnym DW/079/P, ze wskazanym adresem wykonywania działalności </w:t>
      </w:r>
      <w:r w:rsidR="00C4529E">
        <w:rPr>
          <w:rFonts w:ascii="Verdana" w:hAnsi="Verdana"/>
          <w:sz w:val="22"/>
          <w:szCs w:val="22"/>
        </w:rPr>
        <w:t xml:space="preserve">w </w:t>
      </w:r>
      <w:r w:rsidRPr="00C4529E">
        <w:rPr>
          <w:rFonts w:ascii="Verdana" w:hAnsi="Verdana"/>
          <w:sz w:val="22"/>
          <w:szCs w:val="22"/>
        </w:rPr>
        <w:t>dniu kontroli: ul. Skarbowców 4, 53–021 Wrocław.</w:t>
      </w:r>
    </w:p>
    <w:p w:rsidR="00313120" w:rsidRPr="00C4529E" w:rsidRDefault="00313120" w:rsidP="008B3E83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Zakresem kontroli objęto:</w:t>
      </w:r>
    </w:p>
    <w:p w:rsidR="00313120" w:rsidRPr="00C4529E" w:rsidRDefault="00313120" w:rsidP="008B3E83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313120" w:rsidRPr="00C4529E" w:rsidRDefault="00313120" w:rsidP="008B3E83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313120" w:rsidRPr="00C4529E" w:rsidRDefault="00313120" w:rsidP="008B3E83">
      <w:pPr>
        <w:numPr>
          <w:ilvl w:val="0"/>
          <w:numId w:val="28"/>
        </w:numPr>
        <w:tabs>
          <w:tab w:val="clear" w:pos="1080"/>
        </w:tabs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Sprawdzenie prawidłowości prowadzenia dokumentacji.</w:t>
      </w:r>
    </w:p>
    <w:p w:rsidR="00313120" w:rsidRPr="00C4529E" w:rsidRDefault="00313120" w:rsidP="008B3E83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lastRenderedPageBreak/>
        <w:t>Szczegółowe ustalenia kontroli przedstawiono w protokole nr WKN-KSO.5421.2.26.2018 z dnia 7 stycznia 2019 r., do którego przeds</w:t>
      </w:r>
      <w:r w:rsidR="00C4529E">
        <w:rPr>
          <w:rFonts w:ascii="Verdana" w:hAnsi="Verdana"/>
          <w:sz w:val="22"/>
          <w:szCs w:val="22"/>
        </w:rPr>
        <w:t>iębiorca nie wniósł zastrzeżeń.</w:t>
      </w:r>
    </w:p>
    <w:p w:rsidR="00313120" w:rsidRPr="00C4529E" w:rsidRDefault="00313120" w:rsidP="008B3E83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313120" w:rsidRPr="00C4529E" w:rsidRDefault="00313120" w:rsidP="008B3E83">
      <w:pPr>
        <w:numPr>
          <w:ilvl w:val="0"/>
          <w:numId w:val="29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Nie stwierdzono nieprawidłowośc</w:t>
      </w:r>
      <w:r w:rsidR="00C4529E">
        <w:rPr>
          <w:rFonts w:ascii="Verdana" w:hAnsi="Verdana"/>
          <w:sz w:val="22"/>
          <w:szCs w:val="22"/>
        </w:rPr>
        <w:t xml:space="preserve">i w zakresie zgodności stacji z </w:t>
      </w:r>
      <w:r w:rsidRPr="00C4529E">
        <w:rPr>
          <w:rFonts w:ascii="Verdana" w:hAnsi="Verdana"/>
          <w:sz w:val="22"/>
          <w:szCs w:val="22"/>
        </w:rPr>
        <w:t>wymaganiami, o których mowa w art. 83 ust. 3 ustawy.</w:t>
      </w:r>
    </w:p>
    <w:p w:rsidR="00313120" w:rsidRPr="00C4529E" w:rsidRDefault="00313120" w:rsidP="008B3E83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313120" w:rsidRPr="00C4529E" w:rsidRDefault="00313120" w:rsidP="008B3E83">
      <w:pPr>
        <w:numPr>
          <w:ilvl w:val="0"/>
          <w:numId w:val="29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Stwierdzono nieprawidłowości w zakresie prow</w:t>
      </w:r>
      <w:bookmarkStart w:id="0" w:name="OLE_LINK5"/>
      <w:r w:rsidRPr="00C4529E">
        <w:rPr>
          <w:rFonts w:ascii="Verdana" w:hAnsi="Verdana"/>
          <w:sz w:val="22"/>
          <w:szCs w:val="22"/>
        </w:rPr>
        <w:t>adzenia wymaganej dokumentacji:</w:t>
      </w:r>
    </w:p>
    <w:bookmarkEnd w:id="0"/>
    <w:p w:rsidR="00313120" w:rsidRPr="00C4529E" w:rsidRDefault="00313120" w:rsidP="008B3E83">
      <w:pPr>
        <w:pStyle w:val="Tekstpodstawowy"/>
        <w:numPr>
          <w:ilvl w:val="0"/>
          <w:numId w:val="43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W rejestrze badań technicznych pojazdów pod pozycją o nr 03124/DW/079/P/2018</w:t>
      </w:r>
      <w:r w:rsidR="00C4529E">
        <w:rPr>
          <w:rFonts w:ascii="Verdana" w:hAnsi="Verdana"/>
          <w:sz w:val="22"/>
          <w:szCs w:val="22"/>
        </w:rPr>
        <w:t xml:space="preserve"> i w </w:t>
      </w:r>
      <w:r w:rsidRPr="00C4529E">
        <w:rPr>
          <w:rFonts w:ascii="Verdana" w:hAnsi="Verdana"/>
          <w:sz w:val="22"/>
          <w:szCs w:val="22"/>
        </w:rPr>
        <w:t>zaświadczeniu o przeprowadzonym badaniu technicznym pojazdu o tym samym numerze  potwierdzono przeprowadzenie w dniu 24 maja 2018 r. okresowego badania technicznego motorower</w:t>
      </w:r>
      <w:r w:rsidR="00C4529E">
        <w:rPr>
          <w:rFonts w:ascii="Verdana" w:hAnsi="Verdana"/>
          <w:sz w:val="22"/>
          <w:szCs w:val="22"/>
        </w:rPr>
        <w:t xml:space="preserve">u przed pierwszą rejestracją na </w:t>
      </w:r>
      <w:r w:rsidRPr="00C4529E">
        <w:rPr>
          <w:rFonts w:ascii="Verdana" w:hAnsi="Verdana"/>
          <w:sz w:val="22"/>
          <w:szCs w:val="22"/>
        </w:rPr>
        <w:t>terytorium Rzeczypospolitej Polskiej, które zakończono wynikiem pozytywnym. Nieprawidłowo wyznaczono termin następnego badania do 24 maja 2019 r., co stanowi naruszenie art. 81 ust. 7 ustawy. Termin następnego badania należało wyznaczyć do 24 maja 2020 r.</w:t>
      </w:r>
    </w:p>
    <w:p w:rsidR="00313120" w:rsidRPr="00C4529E" w:rsidRDefault="00313120" w:rsidP="008B3E83">
      <w:pPr>
        <w:pStyle w:val="Tekstpodstawowy"/>
        <w:numPr>
          <w:ilvl w:val="0"/>
          <w:numId w:val="43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W rejestrze badań technicznych pojazdów pod pozycjami o nr 01599/DW/079/P/2018 oraz 01628/DW/</w:t>
      </w:r>
      <w:r w:rsidR="00C4529E">
        <w:rPr>
          <w:rFonts w:ascii="Verdana" w:hAnsi="Verdana"/>
          <w:sz w:val="22"/>
          <w:szCs w:val="22"/>
        </w:rPr>
        <w:t xml:space="preserve">079/P/2018, w zaświadczeniach o </w:t>
      </w:r>
      <w:r w:rsidRPr="00C4529E">
        <w:rPr>
          <w:rFonts w:ascii="Verdana" w:hAnsi="Verdana"/>
          <w:sz w:val="22"/>
          <w:szCs w:val="22"/>
        </w:rPr>
        <w:t>przeprowadzonych badaniach technicznych pojazdu oraz w dokumentach identyfikacyjnych pojazdu (z</w:t>
      </w:r>
      <w:r w:rsidR="00C4529E">
        <w:rPr>
          <w:rFonts w:ascii="Verdana" w:hAnsi="Verdana"/>
          <w:sz w:val="22"/>
          <w:szCs w:val="22"/>
        </w:rPr>
        <w:t xml:space="preserve">wanych dalej dokumentami DIP) o </w:t>
      </w:r>
      <w:r w:rsidRPr="00C4529E">
        <w:rPr>
          <w:rFonts w:ascii="Verdana" w:hAnsi="Verdana"/>
          <w:sz w:val="22"/>
          <w:szCs w:val="22"/>
        </w:rPr>
        <w:t>tych samych numerach potwierdzono przeprowadzenie okresowych badań technicznych pojazdó</w:t>
      </w:r>
      <w:r w:rsidR="00C4529E">
        <w:rPr>
          <w:rFonts w:ascii="Verdana" w:hAnsi="Verdana"/>
          <w:sz w:val="22"/>
          <w:szCs w:val="22"/>
        </w:rPr>
        <w:t xml:space="preserve">w przed pierwszą rejestracją na </w:t>
      </w:r>
      <w:r w:rsidRPr="00C4529E">
        <w:rPr>
          <w:rFonts w:ascii="Verdana" w:hAnsi="Verdana"/>
          <w:sz w:val="22"/>
          <w:szCs w:val="22"/>
        </w:rPr>
        <w:t>terytorium Rzeczypospolitej Polskiej.</w:t>
      </w:r>
      <w:r w:rsidR="00C4529E">
        <w:rPr>
          <w:rFonts w:ascii="Verdana" w:hAnsi="Verdana"/>
          <w:sz w:val="22"/>
          <w:szCs w:val="22"/>
        </w:rPr>
        <w:t xml:space="preserve"> Do </w:t>
      </w:r>
      <w:r w:rsidRPr="00C4529E">
        <w:rPr>
          <w:rFonts w:ascii="Verdana" w:hAnsi="Verdana"/>
          <w:sz w:val="22"/>
          <w:szCs w:val="22"/>
        </w:rPr>
        <w:t>przeprowadzonych badań wystawiono dokumenty DIP.</w:t>
      </w:r>
    </w:p>
    <w:p w:rsidR="00313120" w:rsidRPr="00C4529E" w:rsidRDefault="00313120" w:rsidP="00B72F82">
      <w:pPr>
        <w:pStyle w:val="Tekstpodstawowy"/>
        <w:numPr>
          <w:ilvl w:val="1"/>
          <w:numId w:val="44"/>
        </w:numPr>
        <w:suppressAutoHyphens/>
        <w:spacing w:before="240" w:after="240" w:line="276" w:lineRule="auto"/>
        <w:ind w:left="426" w:hanging="568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W dokumencie DIP o nr 01599/DW/079/P/2018 brak jest informacji o dodatkowym wyposażeniu badanego pojazdu w podest ruchomy podlegający dozorowi technicznemu, co</w:t>
      </w:r>
      <w:r w:rsidR="00C4529E">
        <w:rPr>
          <w:rFonts w:ascii="Verdana" w:hAnsi="Verdana"/>
          <w:sz w:val="22"/>
          <w:szCs w:val="22"/>
        </w:rPr>
        <w:t xml:space="preserve"> stanowi naruszenie objaśnień do </w:t>
      </w:r>
      <w:r w:rsidRPr="00C4529E">
        <w:rPr>
          <w:rFonts w:ascii="Verdana" w:hAnsi="Verdana"/>
          <w:sz w:val="22"/>
          <w:szCs w:val="22"/>
        </w:rPr>
        <w:t>rubryki odnoszących się do dodatkowych informacji załącznika nr 4 do rozporządzenia Ministra Transportu, Budownictwa</w:t>
      </w:r>
      <w:r w:rsidR="00C4529E">
        <w:rPr>
          <w:rFonts w:ascii="Verdana" w:hAnsi="Verdana"/>
          <w:sz w:val="22"/>
          <w:szCs w:val="22"/>
        </w:rPr>
        <w:t xml:space="preserve"> i Gospodarki Morskiej z </w:t>
      </w:r>
      <w:r w:rsidRPr="00C4529E">
        <w:rPr>
          <w:rFonts w:ascii="Verdana" w:hAnsi="Verdana"/>
          <w:sz w:val="22"/>
          <w:szCs w:val="22"/>
        </w:rPr>
        <w:t>dnia 26 czer</w:t>
      </w:r>
      <w:r w:rsidR="00C4529E">
        <w:rPr>
          <w:rFonts w:ascii="Verdana" w:hAnsi="Verdana"/>
          <w:sz w:val="22"/>
          <w:szCs w:val="22"/>
        </w:rPr>
        <w:t xml:space="preserve">wca 2012 r. w sprawie zakresu i </w:t>
      </w:r>
      <w:r w:rsidRPr="00C4529E">
        <w:rPr>
          <w:rFonts w:ascii="Verdana" w:hAnsi="Verdana"/>
          <w:sz w:val="22"/>
          <w:szCs w:val="22"/>
        </w:rPr>
        <w:t>sposobu przeprowadzania badań technicznych pojazdów oraz wzorów dokumentów stosowanych przy tych badaniach (</w:t>
      </w:r>
      <w:proofErr w:type="spellStart"/>
      <w:r w:rsidRPr="00C4529E">
        <w:rPr>
          <w:rFonts w:ascii="Verdana" w:hAnsi="Verdana"/>
          <w:sz w:val="22"/>
          <w:szCs w:val="22"/>
        </w:rPr>
        <w:t>t.j</w:t>
      </w:r>
      <w:proofErr w:type="spellEnd"/>
      <w:r w:rsidRPr="00C4529E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C4529E">
        <w:rPr>
          <w:rFonts w:ascii="Verdana" w:hAnsi="Verdana"/>
          <w:sz w:val="22"/>
          <w:szCs w:val="22"/>
        </w:rPr>
        <w:t>późn</w:t>
      </w:r>
      <w:proofErr w:type="spellEnd"/>
      <w:r w:rsidRPr="00C4529E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C4529E">
        <w:rPr>
          <w:rFonts w:ascii="Verdana" w:hAnsi="Verdana"/>
          <w:sz w:val="22"/>
          <w:szCs w:val="22"/>
        </w:rPr>
        <w:t>MTBiG</w:t>
      </w:r>
      <w:proofErr w:type="spellEnd"/>
      <w:r w:rsidRPr="00C4529E">
        <w:rPr>
          <w:rFonts w:ascii="Verdana" w:hAnsi="Verdana"/>
          <w:sz w:val="22"/>
          <w:szCs w:val="22"/>
        </w:rPr>
        <w:t>).</w:t>
      </w:r>
    </w:p>
    <w:p w:rsidR="00313120" w:rsidRPr="00C4529E" w:rsidRDefault="00313120" w:rsidP="00B72F82">
      <w:pPr>
        <w:pStyle w:val="Tekstpodstawowy"/>
        <w:numPr>
          <w:ilvl w:val="1"/>
          <w:numId w:val="44"/>
        </w:numPr>
        <w:suppressAutoHyphens/>
        <w:spacing w:before="240" w:after="240" w:line="276" w:lineRule="auto"/>
        <w:ind w:left="426" w:hanging="568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W rejestrze oraz w zaświadczeniu o nr 01599/DW/079/P/2018 z dnia 26 marca 2018 r. nieprawidłowo wyznaczono termin następnego badania pojazdu do 26 marca 2019 r., któreg</w:t>
      </w:r>
      <w:r w:rsidR="00C4529E">
        <w:rPr>
          <w:rFonts w:ascii="Verdana" w:hAnsi="Verdana"/>
          <w:sz w:val="22"/>
          <w:szCs w:val="22"/>
        </w:rPr>
        <w:t xml:space="preserve">o data pierwszej rejestracji za granicą to 16 czerwca 2014 </w:t>
      </w:r>
      <w:r w:rsidRPr="00C4529E">
        <w:rPr>
          <w:rFonts w:ascii="Verdana" w:hAnsi="Verdana"/>
          <w:sz w:val="22"/>
          <w:szCs w:val="22"/>
        </w:rPr>
        <w:t xml:space="preserve">r., co stanowi naruszenie art. </w:t>
      </w:r>
      <w:r w:rsidRPr="00C4529E">
        <w:rPr>
          <w:rFonts w:ascii="Verdana" w:hAnsi="Verdana"/>
          <w:sz w:val="22"/>
          <w:szCs w:val="22"/>
        </w:rPr>
        <w:lastRenderedPageBreak/>
        <w:t>81 ust. 6 ustawy. Termin następnego badania należało wyznaczyć do 16 czerwca 2019 r.</w:t>
      </w:r>
    </w:p>
    <w:p w:rsidR="00313120" w:rsidRPr="00C4529E" w:rsidRDefault="00313120" w:rsidP="00B72F82">
      <w:pPr>
        <w:pStyle w:val="Tekstpodstawowy"/>
        <w:numPr>
          <w:ilvl w:val="1"/>
          <w:numId w:val="44"/>
        </w:numPr>
        <w:suppressAutoHyphens/>
        <w:spacing w:before="240" w:after="240" w:line="276" w:lineRule="auto"/>
        <w:ind w:left="426" w:hanging="568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bCs/>
          <w:sz w:val="22"/>
          <w:szCs w:val="22"/>
          <w:lang w:eastAsia="ar-SA"/>
        </w:rPr>
        <w:t xml:space="preserve">W zaświadczeniu </w:t>
      </w:r>
      <w:r w:rsidRPr="00C4529E">
        <w:rPr>
          <w:rFonts w:ascii="Verdana" w:hAnsi="Verdana"/>
          <w:sz w:val="22"/>
          <w:szCs w:val="22"/>
        </w:rPr>
        <w:t xml:space="preserve">o nr 01628/DW/079/P/2018 </w:t>
      </w:r>
      <w:r w:rsidRPr="00C4529E">
        <w:rPr>
          <w:rFonts w:ascii="Verdana" w:hAnsi="Verdana"/>
          <w:bCs/>
          <w:sz w:val="22"/>
          <w:szCs w:val="22"/>
          <w:lang w:eastAsia="ar-SA"/>
        </w:rPr>
        <w:t xml:space="preserve">stwierdzono brak wpisu o dodatkowych warunkach technicznych przewidzianych dla pojazdu przystosowanego do zasilania gazem oraz do ciągnięcia przyczepy (tj. wyposażonego w hak), co stanowi naruszenie § 2 ust. 9 rozporządzenia </w:t>
      </w:r>
      <w:proofErr w:type="spellStart"/>
      <w:r w:rsidRPr="00C4529E">
        <w:rPr>
          <w:rFonts w:ascii="Verdana" w:hAnsi="Verdana"/>
          <w:bCs/>
          <w:sz w:val="22"/>
          <w:szCs w:val="22"/>
          <w:lang w:eastAsia="ar-SA"/>
        </w:rPr>
        <w:t>MTBiG</w:t>
      </w:r>
      <w:proofErr w:type="spellEnd"/>
      <w:r w:rsidRPr="00C4529E">
        <w:rPr>
          <w:rFonts w:ascii="Verdana" w:hAnsi="Verdana"/>
          <w:bCs/>
          <w:sz w:val="22"/>
          <w:szCs w:val="22"/>
          <w:lang w:eastAsia="ar-SA"/>
        </w:rPr>
        <w:t xml:space="preserve"> oraz </w:t>
      </w:r>
      <w:proofErr w:type="spellStart"/>
      <w:r w:rsidRPr="00C4529E">
        <w:rPr>
          <w:rFonts w:ascii="Verdana" w:hAnsi="Verdana"/>
          <w:bCs/>
          <w:sz w:val="22"/>
          <w:szCs w:val="22"/>
          <w:lang w:eastAsia="ar-SA"/>
        </w:rPr>
        <w:t>pkt</w:t>
      </w:r>
      <w:proofErr w:type="spellEnd"/>
      <w:r w:rsidRPr="00C4529E">
        <w:rPr>
          <w:rFonts w:ascii="Verdana" w:hAnsi="Verdana"/>
          <w:bCs/>
          <w:sz w:val="22"/>
          <w:szCs w:val="22"/>
          <w:lang w:eastAsia="ar-SA"/>
        </w:rPr>
        <w:t xml:space="preserve"> 9 objaśnień </w:t>
      </w:r>
      <w:r w:rsidR="00C4529E">
        <w:rPr>
          <w:rFonts w:ascii="Verdana" w:hAnsi="Verdana"/>
          <w:sz w:val="22"/>
          <w:szCs w:val="22"/>
        </w:rPr>
        <w:t xml:space="preserve">zawartych w </w:t>
      </w:r>
      <w:r w:rsidRPr="00C4529E">
        <w:rPr>
          <w:rFonts w:ascii="Verdana" w:hAnsi="Verdana"/>
          <w:sz w:val="22"/>
          <w:szCs w:val="22"/>
        </w:rPr>
        <w:t>załączniku</w:t>
      </w:r>
      <w:r w:rsidRPr="00C4529E">
        <w:rPr>
          <w:rFonts w:ascii="Verdana" w:hAnsi="Verdana"/>
          <w:bCs/>
          <w:sz w:val="22"/>
          <w:szCs w:val="22"/>
          <w:lang w:eastAsia="ar-SA"/>
        </w:rPr>
        <w:t xml:space="preserve"> nr 3 do rozporządzenia </w:t>
      </w:r>
      <w:proofErr w:type="spellStart"/>
      <w:r w:rsidRPr="00C4529E">
        <w:rPr>
          <w:rFonts w:ascii="Verdana" w:hAnsi="Verdana"/>
          <w:bCs/>
          <w:sz w:val="22"/>
          <w:szCs w:val="22"/>
          <w:lang w:eastAsia="ar-SA"/>
        </w:rPr>
        <w:t>MTBiG</w:t>
      </w:r>
      <w:proofErr w:type="spellEnd"/>
      <w:r w:rsidR="00C4529E">
        <w:rPr>
          <w:rFonts w:ascii="Verdana" w:hAnsi="Verdana"/>
          <w:sz w:val="22"/>
          <w:szCs w:val="22"/>
        </w:rPr>
        <w:t>.</w:t>
      </w:r>
    </w:p>
    <w:p w:rsidR="00313120" w:rsidRPr="00C4529E" w:rsidRDefault="00313120" w:rsidP="00B72F82">
      <w:pPr>
        <w:pStyle w:val="Tekstpodstawowy"/>
        <w:numPr>
          <w:ilvl w:val="1"/>
          <w:numId w:val="44"/>
        </w:numPr>
        <w:suppressAutoHyphens/>
        <w:spacing w:before="240" w:after="240" w:line="276" w:lineRule="auto"/>
        <w:ind w:left="426" w:hanging="568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W dokumencie DIP o nr 01628/DW/079/P/2018 brak jest informacji o dodatkowym</w:t>
      </w:r>
      <w:r w:rsidR="00C4529E">
        <w:rPr>
          <w:rFonts w:ascii="Verdana" w:hAnsi="Verdana"/>
          <w:sz w:val="22"/>
          <w:szCs w:val="22"/>
        </w:rPr>
        <w:t xml:space="preserve"> wyposażeniu badanego pojazdu w </w:t>
      </w:r>
      <w:r w:rsidRPr="00C4529E">
        <w:rPr>
          <w:rFonts w:ascii="Verdana" w:hAnsi="Verdana"/>
          <w:sz w:val="22"/>
          <w:szCs w:val="22"/>
        </w:rPr>
        <w:t xml:space="preserve">instalację gazową oraz w hak, co stanowi naruszenie objaśnień do rubryki odnoszących się do dodatkowych informacji załącznika nr 4 do rozporządzenia </w:t>
      </w:r>
      <w:proofErr w:type="spellStart"/>
      <w:r w:rsidRPr="00C4529E">
        <w:rPr>
          <w:rFonts w:ascii="Verdana" w:hAnsi="Verdana"/>
          <w:sz w:val="22"/>
          <w:szCs w:val="22"/>
        </w:rPr>
        <w:t>MTBiG</w:t>
      </w:r>
      <w:proofErr w:type="spellEnd"/>
      <w:r w:rsidRPr="00C4529E">
        <w:rPr>
          <w:rFonts w:ascii="Verdana" w:hAnsi="Verdana"/>
          <w:sz w:val="22"/>
          <w:szCs w:val="22"/>
        </w:rPr>
        <w:t>.</w:t>
      </w:r>
    </w:p>
    <w:p w:rsidR="00313120" w:rsidRPr="00C4529E" w:rsidRDefault="00313120" w:rsidP="00B72F82">
      <w:pPr>
        <w:pStyle w:val="Tekstpodstawowy"/>
        <w:numPr>
          <w:ilvl w:val="0"/>
          <w:numId w:val="44"/>
        </w:numPr>
        <w:suppressAutoHyphens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 xml:space="preserve">Na podstawie dokumentów potwierdzających wykonanie operacji z rachunku bankowego przedsiębiorcy stwierdzono przypadek umieszczenia w tytule przelewu bankowego błędnego kodu rozpoznawczego stacji kontroli pojazdów, co stanowi naruszenie § 5 rozporządzenia Ministra Cyfryzacji z dnia 30 sierpnia 2016 r. w sprawie opłaty ewidencyjnej stanowiącej przychód Funduszu - Centralna Ewidencja Pojazdów i Kierowców (Dz. U. z 2016 r. poz. 1377 z </w:t>
      </w:r>
      <w:proofErr w:type="spellStart"/>
      <w:r w:rsidRPr="00C4529E">
        <w:rPr>
          <w:rFonts w:ascii="Verdana" w:hAnsi="Verdana"/>
          <w:sz w:val="22"/>
          <w:szCs w:val="22"/>
        </w:rPr>
        <w:t>późn</w:t>
      </w:r>
      <w:proofErr w:type="spellEnd"/>
      <w:r w:rsidRPr="00C4529E">
        <w:rPr>
          <w:rFonts w:ascii="Verdana" w:hAnsi="Verdana"/>
          <w:sz w:val="22"/>
          <w:szCs w:val="22"/>
        </w:rPr>
        <w:t>. zm.).</w:t>
      </w:r>
    </w:p>
    <w:p w:rsidR="00313120" w:rsidRPr="00C4529E" w:rsidRDefault="00313120" w:rsidP="008B3E83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C4529E">
        <w:rPr>
          <w:sz w:val="22"/>
          <w:szCs w:val="22"/>
        </w:rPr>
        <w:t>Mając na uwadze stwierdzone nieprawidłowości zaleca się na bieżąco:</w:t>
      </w:r>
    </w:p>
    <w:p w:rsidR="00313120" w:rsidRPr="00C4529E" w:rsidRDefault="00313120" w:rsidP="008B3E83">
      <w:pPr>
        <w:numPr>
          <w:ilvl w:val="2"/>
          <w:numId w:val="35"/>
        </w:numPr>
        <w:tabs>
          <w:tab w:val="clear" w:pos="1004"/>
          <w:tab w:val="num" w:pos="851"/>
          <w:tab w:val="num" w:pos="1288"/>
        </w:tabs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Wyznaczać termin następnego okresowego badania technicznego motoroweru zgodnie z art. 81 ust. 7 ustawy.</w:t>
      </w:r>
    </w:p>
    <w:p w:rsidR="00313120" w:rsidRPr="00C4529E" w:rsidRDefault="00C4529E" w:rsidP="008B3E83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2.1. </w:t>
      </w:r>
      <w:r w:rsidR="00313120" w:rsidRPr="00C4529E">
        <w:rPr>
          <w:rFonts w:ascii="Verdana" w:hAnsi="Verdana"/>
          <w:sz w:val="22"/>
          <w:szCs w:val="22"/>
        </w:rPr>
        <w:t>Wpisywać w dokumencie DIP informację o dodatkowym</w:t>
      </w:r>
      <w:r>
        <w:rPr>
          <w:rFonts w:ascii="Verdana" w:hAnsi="Verdana"/>
          <w:sz w:val="22"/>
          <w:szCs w:val="22"/>
        </w:rPr>
        <w:t xml:space="preserve"> wyposażeniu badanego pojazdu w </w:t>
      </w:r>
      <w:r w:rsidR="00313120" w:rsidRPr="00C4529E">
        <w:rPr>
          <w:rFonts w:ascii="Verdana" w:hAnsi="Verdana"/>
          <w:sz w:val="22"/>
          <w:szCs w:val="22"/>
        </w:rPr>
        <w:t>podest ruchomy podlegający dozorowi technicznemu.</w:t>
      </w:r>
    </w:p>
    <w:p w:rsidR="00313120" w:rsidRPr="00C4529E" w:rsidRDefault="00C4529E" w:rsidP="008B3E83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2.2. </w:t>
      </w:r>
      <w:r w:rsidR="00313120" w:rsidRPr="00C4529E">
        <w:rPr>
          <w:rFonts w:ascii="Verdana" w:hAnsi="Verdana"/>
          <w:sz w:val="22"/>
          <w:szCs w:val="22"/>
        </w:rPr>
        <w:t>Wyznaczać termin następnego okresowego badania technicznego samochodu osobowego zgodnie z art. 81 ust. 6 ustawy.</w:t>
      </w:r>
    </w:p>
    <w:p w:rsidR="00313120" w:rsidRPr="00C4529E" w:rsidRDefault="00C4529E" w:rsidP="008B3E83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2.3. </w:t>
      </w:r>
      <w:r w:rsidR="00313120" w:rsidRPr="00C4529E">
        <w:rPr>
          <w:rFonts w:ascii="Verdana" w:hAnsi="Verdana"/>
          <w:sz w:val="22"/>
          <w:szCs w:val="22"/>
        </w:rPr>
        <w:t>Wpisywać w zaświadczeniu informację o dodatkowych warunkach technicznych</w:t>
      </w:r>
      <w:r w:rsidR="00313120" w:rsidRPr="00C4529E">
        <w:rPr>
          <w:rFonts w:ascii="Verdana" w:hAnsi="Verdana"/>
          <w:bCs/>
          <w:sz w:val="22"/>
          <w:szCs w:val="22"/>
          <w:lang w:eastAsia="ar-SA"/>
        </w:rPr>
        <w:t xml:space="preserve"> przewidzianych dla pojazdu przystosowanego do zasilania gazem oraz do ciągnięcia przyczepy</w:t>
      </w:r>
      <w:r w:rsidR="00313120" w:rsidRPr="00C4529E">
        <w:rPr>
          <w:rFonts w:ascii="Verdana" w:hAnsi="Verdana"/>
          <w:sz w:val="22"/>
          <w:szCs w:val="22"/>
        </w:rPr>
        <w:t>.</w:t>
      </w:r>
    </w:p>
    <w:p w:rsidR="00313120" w:rsidRPr="00C4529E" w:rsidRDefault="00C4529E" w:rsidP="008B3E83">
      <w:pPr>
        <w:suppressAutoHyphens/>
        <w:spacing w:before="240" w:after="240" w:line="276" w:lineRule="auto"/>
        <w:ind w:left="851" w:hanging="85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2.4. </w:t>
      </w:r>
      <w:r w:rsidR="00313120" w:rsidRPr="00C4529E">
        <w:rPr>
          <w:rFonts w:ascii="Verdana" w:hAnsi="Verdana"/>
          <w:bCs/>
          <w:sz w:val="22"/>
          <w:szCs w:val="22"/>
          <w:lang w:eastAsia="ar-SA"/>
        </w:rPr>
        <w:t>Wpisywać w dokumencie DIP informację o dodatkowym wyposażeniu badanego pojazdu w</w:t>
      </w:r>
      <w:r>
        <w:rPr>
          <w:rFonts w:ascii="Verdana" w:hAnsi="Verdana"/>
          <w:bCs/>
          <w:sz w:val="22"/>
          <w:szCs w:val="22"/>
          <w:lang w:eastAsia="ar-SA"/>
        </w:rPr>
        <w:t xml:space="preserve"> </w:t>
      </w:r>
      <w:r w:rsidR="00313120" w:rsidRPr="00C4529E">
        <w:rPr>
          <w:rFonts w:ascii="Verdana" w:hAnsi="Verdana"/>
          <w:bCs/>
          <w:sz w:val="22"/>
          <w:szCs w:val="22"/>
          <w:lang w:eastAsia="ar-SA"/>
        </w:rPr>
        <w:t>instalację gazową oraz w hak.</w:t>
      </w:r>
    </w:p>
    <w:p w:rsidR="00313120" w:rsidRPr="00C4529E" w:rsidRDefault="00C4529E" w:rsidP="008B3E83">
      <w:pPr>
        <w:suppressAutoHyphens/>
        <w:spacing w:before="240" w:after="240" w:line="276" w:lineRule="auto"/>
        <w:ind w:left="839" w:hanging="83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3. </w:t>
      </w:r>
      <w:r w:rsidR="00313120" w:rsidRPr="00C4529E">
        <w:rPr>
          <w:rFonts w:ascii="Verdana" w:hAnsi="Verdana"/>
          <w:sz w:val="22"/>
          <w:szCs w:val="22"/>
        </w:rPr>
        <w:t>Umieszczać w tytule przelewu bankowego prawidłowy kod rozpoznawczy stacji kontroli pojazdów.</w:t>
      </w:r>
    </w:p>
    <w:p w:rsidR="00313120" w:rsidRPr="00C4529E" w:rsidRDefault="00313120" w:rsidP="008B3E83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313120" w:rsidRPr="00C4529E" w:rsidRDefault="00313120" w:rsidP="008B3E83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lastRenderedPageBreak/>
        <w:t>W związku z wydanymi zaleceniami, proszę o pisemną informację o podjętych środkach zmierzających do poprawy działalności Stacji Kon</w:t>
      </w:r>
      <w:r w:rsidR="00C4529E">
        <w:rPr>
          <w:rFonts w:ascii="Verdana" w:hAnsi="Verdana"/>
          <w:sz w:val="22"/>
          <w:szCs w:val="22"/>
        </w:rPr>
        <w:t xml:space="preserve">troli Pojazdów, w </w:t>
      </w:r>
      <w:r w:rsidRPr="00C4529E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C4529E" w:rsidRDefault="00722372" w:rsidP="00C4529E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C4529E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C4529E" w:rsidRDefault="00887F59" w:rsidP="00C4529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4529E">
        <w:rPr>
          <w:rFonts w:ascii="Verdana" w:hAnsi="Verdana"/>
          <w:bCs/>
          <w:sz w:val="22"/>
          <w:szCs w:val="22"/>
        </w:rPr>
        <w:t>Małgorzata Fronia</w:t>
      </w:r>
    </w:p>
    <w:p w:rsidR="00722372" w:rsidRPr="00C4529E" w:rsidRDefault="00887F59" w:rsidP="00C4529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C4529E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C4529E">
        <w:rPr>
          <w:rFonts w:ascii="Verdana" w:hAnsi="Verdana"/>
          <w:bCs/>
          <w:sz w:val="22"/>
          <w:szCs w:val="22"/>
        </w:rPr>
        <w:t>Dyrektor</w:t>
      </w:r>
      <w:r w:rsidRPr="00C4529E">
        <w:rPr>
          <w:rFonts w:ascii="Verdana" w:hAnsi="Verdana"/>
          <w:bCs/>
          <w:sz w:val="22"/>
          <w:szCs w:val="22"/>
        </w:rPr>
        <w:t>a</w:t>
      </w:r>
      <w:r w:rsidR="00722372" w:rsidRPr="00C4529E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C4529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14C" w:rsidRDefault="00CB714C">
      <w:r>
        <w:separator/>
      </w:r>
    </w:p>
  </w:endnote>
  <w:endnote w:type="continuationSeparator" w:id="0">
    <w:p w:rsidR="00CB714C" w:rsidRDefault="00CB7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2171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21710" w:rsidRPr="004D6885">
      <w:rPr>
        <w:sz w:val="14"/>
        <w:szCs w:val="14"/>
      </w:rPr>
      <w:fldChar w:fldCharType="separate"/>
    </w:r>
    <w:r w:rsidR="00B72F82">
      <w:rPr>
        <w:noProof/>
        <w:sz w:val="14"/>
        <w:szCs w:val="14"/>
      </w:rPr>
      <w:t>3</w:t>
    </w:r>
    <w:r w:rsidR="0062171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2171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21710" w:rsidRPr="004D6885">
      <w:rPr>
        <w:sz w:val="14"/>
        <w:szCs w:val="14"/>
      </w:rPr>
      <w:fldChar w:fldCharType="separate"/>
    </w:r>
    <w:r w:rsidR="00B72F82">
      <w:rPr>
        <w:noProof/>
        <w:sz w:val="14"/>
        <w:szCs w:val="14"/>
      </w:rPr>
      <w:t>4</w:t>
    </w:r>
    <w:r w:rsidR="0062171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14C" w:rsidRDefault="00CB714C">
      <w:r>
        <w:separator/>
      </w:r>
    </w:p>
  </w:footnote>
  <w:footnote w:type="continuationSeparator" w:id="0">
    <w:p w:rsidR="00CB714C" w:rsidRDefault="00CB71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2171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1224E7"/>
    <w:multiLevelType w:val="multilevel"/>
    <w:tmpl w:val="C562D0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1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20" w:hanging="2520"/>
      </w:pPr>
      <w:rPr>
        <w:rFonts w:hint="default"/>
      </w:rPr>
    </w:lvl>
  </w:abstractNum>
  <w:abstractNum w:abstractNumId="2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0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6"/>
  </w:num>
  <w:num w:numId="24">
    <w:abstractNumId w:val="22"/>
  </w:num>
  <w:num w:numId="25">
    <w:abstractNumId w:val="24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6"/>
  </w:num>
  <w:num w:numId="29">
    <w:abstractNumId w:val="21"/>
  </w:num>
  <w:num w:numId="30">
    <w:abstractNumId w:val="29"/>
  </w:num>
  <w:num w:numId="31">
    <w:abstractNumId w:val="37"/>
  </w:num>
  <w:num w:numId="32">
    <w:abstractNumId w:val="20"/>
  </w:num>
  <w:num w:numId="33">
    <w:abstractNumId w:val="34"/>
  </w:num>
  <w:num w:numId="34">
    <w:abstractNumId w:val="31"/>
  </w:num>
  <w:num w:numId="35">
    <w:abstractNumId w:val="1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6F01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13120"/>
    <w:rsid w:val="0032025E"/>
    <w:rsid w:val="00323052"/>
    <w:rsid w:val="00331E60"/>
    <w:rsid w:val="0034465B"/>
    <w:rsid w:val="00345256"/>
    <w:rsid w:val="0034692C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1710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44B1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B3E83"/>
    <w:rsid w:val="008F7D65"/>
    <w:rsid w:val="00916B2A"/>
    <w:rsid w:val="00922B9F"/>
    <w:rsid w:val="0092577D"/>
    <w:rsid w:val="00932E21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A5D77"/>
    <w:rsid w:val="00AB56BE"/>
    <w:rsid w:val="00AB60B5"/>
    <w:rsid w:val="00AF094C"/>
    <w:rsid w:val="00B02AD0"/>
    <w:rsid w:val="00B14A5E"/>
    <w:rsid w:val="00B22C99"/>
    <w:rsid w:val="00B512D5"/>
    <w:rsid w:val="00B72F82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4529E"/>
    <w:rsid w:val="00C53C41"/>
    <w:rsid w:val="00C93054"/>
    <w:rsid w:val="00CA563F"/>
    <w:rsid w:val="00CB3B21"/>
    <w:rsid w:val="00CB45F2"/>
    <w:rsid w:val="00CB714C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15CD1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2022-07-25T11:21:00Z</dcterms:created>
  <dcterms:modified xsi:type="dcterms:W3CDTF">2022-07-25T11:21:00Z</dcterms:modified>
</cp:coreProperties>
</file>