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100" w:rsidRPr="0012184F" w:rsidRDefault="00983100" w:rsidP="0012184F">
      <w:pPr>
        <w:autoSpaceDE w:val="0"/>
        <w:autoSpaceDN w:val="0"/>
        <w:adjustRightInd w:val="0"/>
        <w:spacing w:line="271" w:lineRule="auto"/>
        <w:jc w:val="left"/>
        <w:rPr>
          <w:rFonts w:ascii="Verdana" w:hAnsi="Verdana" w:cs="TimesNewRomanPS-BoldMT"/>
          <w:bCs/>
          <w:sz w:val="24"/>
          <w:szCs w:val="24"/>
        </w:rPr>
      </w:pPr>
      <w:r w:rsidRPr="0012184F">
        <w:rPr>
          <w:rFonts w:ascii="Verdana" w:hAnsi="Verdana" w:cs="TimesNewRomanPS-BoldMT"/>
          <w:bCs/>
          <w:sz w:val="24"/>
          <w:szCs w:val="24"/>
        </w:rPr>
        <w:t>UCHWAŁA NUMER LIV/1488/22 RADY MIEJSKIEJ WROCŁAWIA</w:t>
      </w:r>
    </w:p>
    <w:p w:rsidR="00983100" w:rsidRPr="0012184F" w:rsidRDefault="00983100" w:rsidP="0012184F">
      <w:pPr>
        <w:autoSpaceDE w:val="0"/>
        <w:autoSpaceDN w:val="0"/>
        <w:adjustRightInd w:val="0"/>
        <w:spacing w:line="271" w:lineRule="auto"/>
        <w:jc w:val="left"/>
        <w:rPr>
          <w:rFonts w:ascii="Verdana" w:hAnsi="Verdana" w:cs="TimesNewRomanPS-BoldMT"/>
          <w:bCs/>
          <w:sz w:val="24"/>
          <w:szCs w:val="24"/>
        </w:rPr>
      </w:pPr>
      <w:r w:rsidRPr="0012184F">
        <w:rPr>
          <w:rFonts w:ascii="Verdana" w:hAnsi="Verdana" w:cs="TimesNewRomanPS-BoldMT"/>
          <w:bCs/>
          <w:sz w:val="24"/>
          <w:szCs w:val="24"/>
        </w:rPr>
        <w:t>z dnia 23 czerwca 2022 roku</w:t>
      </w:r>
    </w:p>
    <w:p w:rsidR="00983100" w:rsidRPr="0012184F" w:rsidRDefault="00983100" w:rsidP="0012184F">
      <w:pPr>
        <w:autoSpaceDE w:val="0"/>
        <w:autoSpaceDN w:val="0"/>
        <w:adjustRightInd w:val="0"/>
        <w:spacing w:line="271" w:lineRule="auto"/>
        <w:jc w:val="left"/>
        <w:rPr>
          <w:rFonts w:ascii="Verdana" w:hAnsi="Verdana" w:cs="TimesNewRomanPS-BoldMT"/>
          <w:bCs/>
          <w:sz w:val="24"/>
          <w:szCs w:val="24"/>
        </w:rPr>
      </w:pPr>
      <w:r w:rsidRPr="0012184F">
        <w:rPr>
          <w:rFonts w:ascii="Verdana" w:hAnsi="Verdana" w:cs="TimesNewRomanPS-BoldMT"/>
          <w:bCs/>
          <w:sz w:val="24"/>
          <w:szCs w:val="24"/>
        </w:rPr>
        <w:t>w sprawie rozpatrzenia petycji w sprawie zobowiązania Prezydenta Wrocławia do kontynuowania prac nad aktualizacją studium uwarunkowań i kierunków zagospodarowania przestrzennego Wrocławia</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Na podstawie artykułu 18 ustęp 2 punkt 15 ustawy z dnia 8 marca 1990 roku o samorządzie gminnym (Dziennik Ustaw z 2022 roku pozycja 559, 583, 1005 i 1079) oraz artykułu 9 ustęp 2 i artykułu 13 ustęp 1 ustawy z dnia 11 lipca 2014 roku o petycjach (Dziennik Ustaw z 2018 roku pozycja 870) Rada Miejska Wrocławia uchwala, co następuje:</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BoldMT"/>
          <w:bCs/>
          <w:sz w:val="24"/>
          <w:szCs w:val="24"/>
        </w:rPr>
        <w:t xml:space="preserve">§ 1. </w:t>
      </w:r>
      <w:r w:rsidRPr="0012184F">
        <w:rPr>
          <w:rFonts w:ascii="Verdana" w:hAnsi="Verdana" w:cs="TimesNewRomanPSMT"/>
          <w:sz w:val="24"/>
          <w:szCs w:val="24"/>
        </w:rPr>
        <w:t>1. Nie uwzględnia się petycji złożonej przez Pana Roberta Suligowskiego w imieniu Koalicji Wrocławska Ochrona Klimatu z dnia 27 kwietnia 2022 roku, w sprawie zobowiązania Prezydenta Wrocławia do kontynuowania prac nad aktualizacją studium uwarunkowań i kierunków zagospodarowania przestrzennego Wrocławia.</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2. Uzasadnienie rozstrzygnięcia zawarte zostało w załączniku do niniejszej uchwały.</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BoldMT"/>
          <w:bCs/>
          <w:sz w:val="24"/>
          <w:szCs w:val="24"/>
        </w:rPr>
        <w:t xml:space="preserve">§ 2. </w:t>
      </w:r>
      <w:r w:rsidRPr="0012184F">
        <w:rPr>
          <w:rFonts w:ascii="Verdana" w:hAnsi="Verdana" w:cs="TimesNewRomanPSMT"/>
          <w:sz w:val="24"/>
          <w:szCs w:val="24"/>
        </w:rPr>
        <w:t>Upoważnia się Przewodniczącego Rady Miejskiej Wrocławia do zawiadomienia Wnoszącego petycję o sposobie rozpatrzenia petycji przez Radę.</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BoldMT"/>
          <w:bCs/>
          <w:sz w:val="24"/>
          <w:szCs w:val="24"/>
        </w:rPr>
        <w:t xml:space="preserve">§ 3. </w:t>
      </w:r>
      <w:r w:rsidRPr="0012184F">
        <w:rPr>
          <w:rFonts w:ascii="Verdana" w:hAnsi="Verdana" w:cs="TimesNewRomanPSMT"/>
          <w:sz w:val="24"/>
          <w:szCs w:val="24"/>
        </w:rPr>
        <w:t>Uchwała wchodzi w życie z dniem podjęcia.</w:t>
      </w: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983100" w:rsidRDefault="0012184F" w:rsidP="0012184F">
      <w:pPr>
        <w:autoSpaceDE w:val="0"/>
        <w:autoSpaceDN w:val="0"/>
        <w:adjustRightInd w:val="0"/>
        <w:spacing w:line="271" w:lineRule="auto"/>
        <w:jc w:val="left"/>
        <w:rPr>
          <w:rFonts w:ascii="Verdana" w:hAnsi="Verdana" w:cs="TimesNewRomanPSMT"/>
          <w:sz w:val="24"/>
          <w:szCs w:val="24"/>
        </w:rPr>
      </w:pPr>
      <w:r>
        <w:rPr>
          <w:rFonts w:ascii="Verdana" w:hAnsi="Verdana" w:cs="TimesNewRomanPSMT"/>
          <w:sz w:val="24"/>
          <w:szCs w:val="24"/>
        </w:rPr>
        <w:t>Dokument podpisał</w:t>
      </w:r>
    </w:p>
    <w:p w:rsidR="0012184F" w:rsidRPr="0012184F" w:rsidRDefault="0012184F"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BoldMT"/>
          <w:bCs/>
          <w:sz w:val="24"/>
          <w:szCs w:val="24"/>
        </w:rPr>
        <w:t>Sergiusz Kmiecik</w:t>
      </w:r>
    </w:p>
    <w:p w:rsidR="00983100" w:rsidRPr="0012184F" w:rsidRDefault="00983100" w:rsidP="0012184F">
      <w:pPr>
        <w:autoSpaceDE w:val="0"/>
        <w:autoSpaceDN w:val="0"/>
        <w:adjustRightInd w:val="0"/>
        <w:spacing w:line="271" w:lineRule="auto"/>
        <w:jc w:val="left"/>
        <w:rPr>
          <w:rFonts w:ascii="Verdana" w:hAnsi="Verdana" w:cs="TimesNewRomanPS-BoldMT"/>
          <w:bCs/>
          <w:sz w:val="24"/>
          <w:szCs w:val="24"/>
        </w:rPr>
      </w:pPr>
      <w:r w:rsidRPr="0012184F">
        <w:rPr>
          <w:rFonts w:ascii="Verdana" w:hAnsi="Verdana" w:cs="TimesNewRomanPSMT"/>
          <w:sz w:val="24"/>
          <w:szCs w:val="24"/>
        </w:rPr>
        <w:t>Przewodn</w:t>
      </w:r>
      <w:r w:rsidR="0012184F">
        <w:rPr>
          <w:rFonts w:ascii="Verdana" w:hAnsi="Verdana" w:cs="TimesNewRomanPSMT"/>
          <w:sz w:val="24"/>
          <w:szCs w:val="24"/>
        </w:rPr>
        <w:t>iczący Rady Miejskiej Wrocławia</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p>
    <w:p w:rsidR="00983100" w:rsidRDefault="00983100"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Default="0012184F" w:rsidP="0012184F">
      <w:pPr>
        <w:autoSpaceDE w:val="0"/>
        <w:autoSpaceDN w:val="0"/>
        <w:adjustRightInd w:val="0"/>
        <w:spacing w:line="271" w:lineRule="auto"/>
        <w:jc w:val="left"/>
        <w:rPr>
          <w:rFonts w:ascii="Verdana" w:hAnsi="Verdana" w:cs="TimesNewRomanPSMT"/>
          <w:sz w:val="24"/>
          <w:szCs w:val="24"/>
        </w:rPr>
      </w:pPr>
    </w:p>
    <w:p w:rsidR="0012184F" w:rsidRPr="0012184F" w:rsidRDefault="0012184F" w:rsidP="0012184F">
      <w:pPr>
        <w:autoSpaceDE w:val="0"/>
        <w:autoSpaceDN w:val="0"/>
        <w:adjustRightInd w:val="0"/>
        <w:spacing w:line="271" w:lineRule="auto"/>
        <w:jc w:val="left"/>
        <w:rPr>
          <w:rFonts w:ascii="Verdana" w:hAnsi="Verdana" w:cs="TimesNewRomanPSMT"/>
          <w:sz w:val="24"/>
          <w:szCs w:val="24"/>
        </w:rPr>
      </w:pP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lastRenderedPageBreak/>
        <w:t>Załącznik do uchwały numer LIV/1488/22 Rady Miejskiej Wrocławia z dnia 23 czerwca 2022 roku</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Pismem z dnia 27 kwietnia 2022 roku Pan Robert Suligowski w imieniu Koalicji Wrocławska Ochrona Klimatu (dalej: Wnioskodawca) złożył petycję w sprawie zobowiązania Prezydenta Wrocławia do kontynuowania prac nad aktualizacją studium uwarunkowań i kierunków Wrocławia.</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Uzasadniając petycję Wnioskodawca przedstawił argumentację przemawiającą za jej zasadnością, to jest kontynuowaniem prac nad aktualizacją studium uwarunkowań i kierunków zagospodarowania przestrzennego Wrocławia (studium).</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Pod względem formalno-prawnym petycja spełnia wymagania stawiane przez ustawę z dnia 11 lipca 2014 roku o petycjach (Dziennik Ustaw z 2018 roku pozycja 870), w szczególności jej artykuł 2 i artykuł 4.</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Na mocy artykułu 18 ustęp 2 punkt 4 ustawy z dnia 8 marca 1990 roku o samorządzie gminnym (Dziennik Ustaw z 2022 roku pozycja 559 z późniejszymi zmianami) do wyłącznej właściwości rady gminy należy uchwalanie studium uwarunkowań i kierunków zagospodarowania przestrzennego gminy oraz miejscowych planów zagospodarowania przestrzennego. Tym samym Rada Miejska Wrocławia jest organem właściwym do rozpatrzenia petycji.</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Stanowisko w imieniu Prezydenta wyraził pismem z dnia 18 maja 2022 roku Dyrektor Wydziału Planowania Przestrzennego Urzędu Miejskiego (dalej: Dyrektor).</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Dyrektor wyjaśnił, że wnioski złożone do podjętej procedury zmiany Studium zostały poddane wstępnej analizie i stanowią obszerny materiał wskazujący aktualne oczekiwania mieszkańców i inwestorów. Do chwili obecnej wnioski nie zostały formalnie rozstrzygnięte zarządzeniem Prezydenta. Powodem zawieszenia procedury są toczące się intensywne prace legislacyjne, dotyczące systemowej zmiany ustawy o planowaniu i zagospodarowaniu przestrzennym w zakresie między innymi zastąpienia dokumentu studium przez plan ogólny. Ewentualne przyjęcie przez ustawodawcę tak fundamentalnej zmiany charakteru, zakresu oraz trybu sporządzenia ogólnomiejskiego dokumentu planistycznego wymagać będzie nowego podejścia projektowego. Niezależnie od powyższego, w przypadku wejścia w życie zmian systemowych, materiał uzyskany podczas zbierania wniosków do Studium posłuży za cenny materiał pomocniczy przy pracach nad kształtowaniem polityki przestrzennej miasta i zostanie wykorzystany p</w:t>
      </w:r>
      <w:r w:rsidR="0012184F">
        <w:rPr>
          <w:rFonts w:ascii="Verdana" w:hAnsi="Verdana" w:cs="TimesNewRomanPSMT"/>
          <w:sz w:val="24"/>
          <w:szCs w:val="24"/>
        </w:rPr>
        <w:t>rzy tworzeniu nowego dokumentu -</w:t>
      </w:r>
      <w:r w:rsidRPr="0012184F">
        <w:rPr>
          <w:rFonts w:ascii="Verdana" w:hAnsi="Verdana" w:cs="TimesNewRomanPSMT"/>
          <w:sz w:val="24"/>
          <w:szCs w:val="24"/>
        </w:rPr>
        <w:t xml:space="preserve"> planu ogólnego dla Wrocławia. Nowelizacja ustawy wskazuje jednak konieczność przeprowadzenia procedury sporządzenia nowego aktu planowania przestrzennego od początku, w tym zorganizowania konsultacji społecznych.</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lastRenderedPageBreak/>
        <w:t>Zgodnie z artykułem 59 projektu zmiany ustawy studia uwarunkowań i kierunków zagospodarowania przestrzennego gmin zachowają moc do dnia wejścia w życie planu ogólnego gminy, jednak nie dłużej niż do 31 grudnia 2025 roku. Oznacza to, że przeprowadzenie procedury sporządzenia planu ogólnego, zakończone jego wejściem w życie przed wyznaczonym, nieprzekraczalnym terminem zapewni aktualizację polityki przestrzennej miasta względem Studium 2018, co jest przedmiotem troski mieszkańców oraz złożonej petycji.</w:t>
      </w:r>
    </w:p>
    <w:p w:rsidR="00983100" w:rsidRPr="0012184F" w:rsidRDefault="00983100" w:rsidP="0012184F">
      <w:pPr>
        <w:autoSpaceDE w:val="0"/>
        <w:autoSpaceDN w:val="0"/>
        <w:adjustRightInd w:val="0"/>
        <w:spacing w:line="271" w:lineRule="auto"/>
        <w:jc w:val="left"/>
        <w:rPr>
          <w:rFonts w:ascii="Verdana" w:hAnsi="Verdana" w:cs="TimesNewRomanPSMT"/>
          <w:sz w:val="24"/>
          <w:szCs w:val="24"/>
        </w:rPr>
      </w:pPr>
      <w:r w:rsidRPr="0012184F">
        <w:rPr>
          <w:rFonts w:ascii="Verdana" w:hAnsi="Verdana" w:cs="TimesNewRomanPSMT"/>
          <w:sz w:val="24"/>
          <w:szCs w:val="24"/>
        </w:rPr>
        <w:t>Zaznaczono iż, projekt zmiany ustawy określa ograniczenia w kontynuowaniu rozpoczętych procedur Studium. Dotychczasowe zasady prowadzenia prac dopuszczone zostały dla tych spraw opracowania i uchwalenia studiów uwarunkowań i kierunków zagospodarowania przestrzennego gminy albo ich zmian, dla których przed dniem wejścia w życie niniejszej ustawy ogłoszono o terminie wyłożenia tych projektów do publicznego wglądu. Z aktualnych informacji uzyskanych z Ministerstwa Rozwoju i Technologii wynika, że wejście w życie ustawy planowane jest na przełomie roku 2022 i 2023. Taki terminarz powoduje, że nie jest możliwe uprzednie doprowadzenie procedury zmiany Studium Wrocławia do etapu wyłożenia, gdyż, zgodnie z obowiązującymi przepisami, poza rozstrzygnięciem wniosków i przygotowaniem projektu przedmiotowej zmiany dokumentu, niezbędne jest jego zaopiniowanie i uzgodnienie, a następnie wprowadzenie zmian wynikających z uzyskanych opinii i dokonanych uzgodnień.</w:t>
      </w:r>
    </w:p>
    <w:p w:rsidR="002A003D" w:rsidRPr="0012184F" w:rsidRDefault="00983100" w:rsidP="0012184F">
      <w:pPr>
        <w:autoSpaceDE w:val="0"/>
        <w:autoSpaceDN w:val="0"/>
        <w:adjustRightInd w:val="0"/>
        <w:spacing w:line="271" w:lineRule="auto"/>
        <w:jc w:val="left"/>
        <w:rPr>
          <w:rFonts w:ascii="Verdana" w:hAnsi="Verdana"/>
          <w:sz w:val="24"/>
          <w:szCs w:val="24"/>
        </w:rPr>
      </w:pPr>
      <w:r w:rsidRPr="0012184F">
        <w:rPr>
          <w:rFonts w:ascii="Verdana" w:hAnsi="Verdana" w:cs="TimesNewRomanPSMT"/>
          <w:sz w:val="24"/>
          <w:szCs w:val="24"/>
        </w:rPr>
        <w:t>Podsumowując Rada Miejska Wrocławia uznała, że petycja jest bezzasadna i postanawi</w:t>
      </w:r>
      <w:r w:rsidR="00D33F05">
        <w:rPr>
          <w:rFonts w:ascii="Verdana" w:hAnsi="Verdana" w:cs="TimesNewRomanPSMT"/>
          <w:sz w:val="24"/>
          <w:szCs w:val="24"/>
        </w:rPr>
        <w:t>a jak w § 1 niniejszej uchwały.</w:t>
      </w:r>
    </w:p>
    <w:sectPr w:rsidR="002A003D" w:rsidRPr="0012184F" w:rsidSect="002A0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panose1 w:val="00000000000000000000"/>
    <w:charset w:val="EE"/>
    <w:family w:val="auto"/>
    <w:notTrueType/>
    <w:pitch w:val="default"/>
    <w:sig w:usb0="00000001" w:usb1="00000000" w:usb2="00000000" w:usb3="00000000" w:csb0="00000003" w:csb1="00000000"/>
  </w:font>
  <w:font w:name="TimesNewRomanPS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983100"/>
    <w:rsid w:val="00051F27"/>
    <w:rsid w:val="0012184F"/>
    <w:rsid w:val="002A003D"/>
    <w:rsid w:val="00336BD8"/>
    <w:rsid w:val="00345821"/>
    <w:rsid w:val="00881D30"/>
    <w:rsid w:val="00983100"/>
    <w:rsid w:val="00C84D36"/>
    <w:rsid w:val="00D33F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0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774</Words>
  <Characters>4648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umagwo04</dc:creator>
  <cp:lastModifiedBy>Patrycja Przybylska</cp:lastModifiedBy>
  <cp:revision>3</cp:revision>
  <dcterms:created xsi:type="dcterms:W3CDTF">2022-07-25T12:39:00Z</dcterms:created>
  <dcterms:modified xsi:type="dcterms:W3CDTF">2022-07-25T12:51:00Z</dcterms:modified>
</cp:coreProperties>
</file>