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0D7" w:rsidRPr="001160A5" w:rsidRDefault="002300D7" w:rsidP="00845E0F">
      <w:pPr>
        <w:pStyle w:val="01Instytucja1"/>
        <w:spacing w:after="120" w:line="276" w:lineRule="auto"/>
        <w:jc w:val="left"/>
        <w:rPr>
          <w:sz w:val="22"/>
          <w:szCs w:val="22"/>
        </w:rPr>
      </w:pPr>
      <w:r w:rsidRPr="001160A5">
        <w:rPr>
          <w:sz w:val="22"/>
          <w:szCs w:val="22"/>
        </w:rPr>
        <w:t>Pan</w:t>
      </w:r>
    </w:p>
    <w:p w:rsidR="002300D7" w:rsidRPr="001160A5" w:rsidRDefault="002300D7" w:rsidP="00845E0F">
      <w:pPr>
        <w:pStyle w:val="Nagwek"/>
        <w:tabs>
          <w:tab w:val="left" w:pos="708"/>
        </w:tabs>
        <w:spacing w:before="120" w:after="120" w:line="276" w:lineRule="auto"/>
        <w:rPr>
          <w:rFonts w:ascii="Verdana" w:hAnsi="Verdana"/>
          <w:sz w:val="22"/>
          <w:szCs w:val="22"/>
        </w:rPr>
      </w:pPr>
      <w:r w:rsidRPr="001160A5">
        <w:rPr>
          <w:rFonts w:ascii="Verdana" w:hAnsi="Verdana"/>
          <w:sz w:val="22"/>
          <w:szCs w:val="22"/>
        </w:rPr>
        <w:t xml:space="preserve">Jan </w:t>
      </w:r>
      <w:proofErr w:type="spellStart"/>
      <w:r w:rsidRPr="001160A5">
        <w:rPr>
          <w:rFonts w:ascii="Verdana" w:hAnsi="Verdana"/>
          <w:sz w:val="22"/>
          <w:szCs w:val="22"/>
        </w:rPr>
        <w:t>Mandziak</w:t>
      </w:r>
      <w:proofErr w:type="spellEnd"/>
    </w:p>
    <w:p w:rsidR="002300D7" w:rsidRPr="001160A5" w:rsidRDefault="002300D7" w:rsidP="00845E0F">
      <w:pPr>
        <w:pStyle w:val="Nagwek"/>
        <w:tabs>
          <w:tab w:val="left" w:pos="708"/>
        </w:tabs>
        <w:spacing w:before="120" w:after="120" w:line="276" w:lineRule="auto"/>
        <w:rPr>
          <w:rFonts w:ascii="Verdana" w:hAnsi="Verdana"/>
          <w:sz w:val="22"/>
          <w:szCs w:val="22"/>
        </w:rPr>
      </w:pPr>
      <w:r w:rsidRPr="001160A5">
        <w:rPr>
          <w:rFonts w:ascii="Verdana" w:hAnsi="Verdana"/>
          <w:sz w:val="22"/>
          <w:szCs w:val="22"/>
        </w:rPr>
        <w:t xml:space="preserve">PHU MANDI Jan </w:t>
      </w:r>
      <w:proofErr w:type="spellStart"/>
      <w:r w:rsidRPr="001160A5">
        <w:rPr>
          <w:rFonts w:ascii="Verdana" w:hAnsi="Verdana"/>
          <w:sz w:val="22"/>
          <w:szCs w:val="22"/>
        </w:rPr>
        <w:t>Mandziak</w:t>
      </w:r>
      <w:proofErr w:type="spellEnd"/>
    </w:p>
    <w:p w:rsidR="002300D7" w:rsidRPr="001160A5" w:rsidRDefault="002300D7" w:rsidP="00845E0F">
      <w:pPr>
        <w:pStyle w:val="Nagwek"/>
        <w:tabs>
          <w:tab w:val="left" w:pos="708"/>
        </w:tabs>
        <w:spacing w:before="120" w:after="120" w:line="276" w:lineRule="auto"/>
        <w:rPr>
          <w:rFonts w:ascii="Verdana" w:hAnsi="Verdana"/>
          <w:sz w:val="22"/>
          <w:szCs w:val="22"/>
        </w:rPr>
      </w:pPr>
      <w:r w:rsidRPr="001160A5">
        <w:rPr>
          <w:rFonts w:ascii="Verdana" w:hAnsi="Verdana"/>
          <w:sz w:val="22"/>
          <w:szCs w:val="22"/>
        </w:rPr>
        <w:t>ul. Skarbowców 4</w:t>
      </w:r>
    </w:p>
    <w:p w:rsidR="002300D7" w:rsidRPr="001160A5" w:rsidRDefault="002300D7" w:rsidP="00845E0F">
      <w:pPr>
        <w:pStyle w:val="Nagwek"/>
        <w:tabs>
          <w:tab w:val="left" w:pos="708"/>
        </w:tabs>
        <w:spacing w:before="120" w:after="120" w:line="276" w:lineRule="auto"/>
        <w:rPr>
          <w:rFonts w:ascii="Verdana" w:hAnsi="Verdana"/>
          <w:sz w:val="22"/>
          <w:szCs w:val="22"/>
        </w:rPr>
      </w:pPr>
      <w:r w:rsidRPr="001160A5">
        <w:rPr>
          <w:rFonts w:ascii="Verdana" w:hAnsi="Verdana"/>
          <w:sz w:val="22"/>
          <w:szCs w:val="22"/>
        </w:rPr>
        <w:t>53-025 Wrocław</w:t>
      </w:r>
    </w:p>
    <w:p w:rsidR="002300D7" w:rsidRPr="001160A5" w:rsidRDefault="002300D7" w:rsidP="001160A5">
      <w:pPr>
        <w:spacing w:line="276" w:lineRule="auto"/>
        <w:rPr>
          <w:rFonts w:ascii="Verdana" w:hAnsi="Verdana"/>
          <w:sz w:val="22"/>
          <w:szCs w:val="22"/>
        </w:rPr>
      </w:pPr>
      <w:r w:rsidRPr="001160A5">
        <w:rPr>
          <w:rFonts w:ascii="Verdana" w:hAnsi="Verdana"/>
          <w:sz w:val="22"/>
          <w:szCs w:val="22"/>
        </w:rPr>
        <w:t>WKN-KSO.5421.2.1.2018</w:t>
      </w:r>
    </w:p>
    <w:p w:rsidR="002300D7" w:rsidRPr="001160A5" w:rsidRDefault="002300D7" w:rsidP="001160A5">
      <w:pPr>
        <w:spacing w:line="276" w:lineRule="auto"/>
        <w:rPr>
          <w:rFonts w:ascii="Verdana" w:hAnsi="Verdana"/>
          <w:sz w:val="22"/>
          <w:szCs w:val="22"/>
        </w:rPr>
      </w:pPr>
      <w:r w:rsidRPr="001160A5">
        <w:rPr>
          <w:rFonts w:ascii="Verdana" w:hAnsi="Verdana"/>
          <w:sz w:val="22"/>
          <w:szCs w:val="22"/>
        </w:rPr>
        <w:t>00028987/2018/W</w:t>
      </w:r>
    </w:p>
    <w:p w:rsidR="002300D7" w:rsidRPr="001160A5" w:rsidRDefault="002300D7" w:rsidP="00845E0F">
      <w:pPr>
        <w:pStyle w:val="07Datapisma"/>
        <w:spacing w:before="240" w:after="240" w:line="276" w:lineRule="auto"/>
        <w:ind w:right="-11"/>
        <w:jc w:val="left"/>
        <w:rPr>
          <w:sz w:val="22"/>
          <w:szCs w:val="22"/>
        </w:rPr>
      </w:pPr>
      <w:r w:rsidRPr="001160A5">
        <w:rPr>
          <w:sz w:val="22"/>
          <w:szCs w:val="22"/>
        </w:rPr>
        <w:t>Wrocław, dnia 15 maja 2018 r.</w:t>
      </w:r>
    </w:p>
    <w:p w:rsidR="002300D7" w:rsidRPr="001160A5" w:rsidRDefault="002300D7" w:rsidP="00845E0F">
      <w:pPr>
        <w:pStyle w:val="Bezodstpw"/>
        <w:spacing w:before="240" w:after="240" w:line="276" w:lineRule="auto"/>
        <w:rPr>
          <w:rFonts w:ascii="Verdana" w:hAnsi="Verdana"/>
          <w:sz w:val="22"/>
          <w:szCs w:val="22"/>
        </w:rPr>
      </w:pPr>
      <w:r w:rsidRPr="001160A5">
        <w:rPr>
          <w:rFonts w:ascii="Verdana" w:hAnsi="Verdana"/>
          <w:sz w:val="22"/>
          <w:szCs w:val="22"/>
        </w:rPr>
        <w:t>ZALECENIA POKONTROLNE</w:t>
      </w:r>
    </w:p>
    <w:p w:rsidR="002300D7" w:rsidRPr="001160A5" w:rsidRDefault="002300D7" w:rsidP="00845E0F">
      <w:pPr>
        <w:suppressAutoHyphens/>
        <w:spacing w:before="240" w:after="240" w:line="276" w:lineRule="auto"/>
        <w:ind w:right="-79"/>
        <w:rPr>
          <w:rFonts w:ascii="Verdana" w:hAnsi="Verdana"/>
          <w:sz w:val="22"/>
          <w:szCs w:val="22"/>
        </w:rPr>
      </w:pPr>
      <w:r w:rsidRPr="001160A5">
        <w:rPr>
          <w:rFonts w:ascii="Verdana" w:hAnsi="Verdana"/>
          <w:sz w:val="22"/>
          <w:szCs w:val="22"/>
        </w:rPr>
        <w:t xml:space="preserve">Zalecenia pokontrolne wydaje się na podstawie art. 83b ust. 2 </w:t>
      </w:r>
      <w:proofErr w:type="spellStart"/>
      <w:r w:rsidRPr="001160A5">
        <w:rPr>
          <w:rFonts w:ascii="Verdana" w:hAnsi="Verdana"/>
          <w:sz w:val="22"/>
          <w:szCs w:val="22"/>
        </w:rPr>
        <w:t>pkt</w:t>
      </w:r>
      <w:proofErr w:type="spellEnd"/>
      <w:r w:rsidRPr="001160A5">
        <w:rPr>
          <w:rFonts w:ascii="Verdana" w:hAnsi="Verdana"/>
          <w:sz w:val="22"/>
          <w:szCs w:val="22"/>
        </w:rPr>
        <w:t xml:space="preserve"> 2 ustawy Prawo o ruchu drogowym (</w:t>
      </w:r>
      <w:proofErr w:type="spellStart"/>
      <w:r w:rsidRPr="001160A5">
        <w:rPr>
          <w:rFonts w:ascii="Verdana" w:hAnsi="Verdana"/>
          <w:sz w:val="22"/>
          <w:szCs w:val="22"/>
        </w:rPr>
        <w:t>t.j</w:t>
      </w:r>
      <w:proofErr w:type="spellEnd"/>
      <w:r w:rsidRPr="001160A5">
        <w:rPr>
          <w:rFonts w:ascii="Verdana" w:hAnsi="Verdana"/>
          <w:sz w:val="22"/>
          <w:szCs w:val="22"/>
        </w:rPr>
        <w:t xml:space="preserve">. Dz. U. z 2017 r. poz. 1260 z </w:t>
      </w:r>
      <w:proofErr w:type="spellStart"/>
      <w:r w:rsidRPr="001160A5">
        <w:rPr>
          <w:rFonts w:ascii="Verdana" w:hAnsi="Verdana"/>
          <w:sz w:val="22"/>
          <w:szCs w:val="22"/>
        </w:rPr>
        <w:t>późn</w:t>
      </w:r>
      <w:proofErr w:type="spellEnd"/>
      <w:r w:rsidRPr="001160A5">
        <w:rPr>
          <w:rFonts w:ascii="Verdana" w:hAnsi="Verdana"/>
          <w:sz w:val="22"/>
          <w:szCs w:val="22"/>
        </w:rPr>
        <w:t>. zm.).</w:t>
      </w:r>
    </w:p>
    <w:p w:rsidR="002300D7" w:rsidRPr="001160A5" w:rsidRDefault="002300D7" w:rsidP="00845E0F">
      <w:pPr>
        <w:pStyle w:val="Tekstpodstawowy2"/>
        <w:suppressAutoHyphens/>
        <w:spacing w:before="240" w:after="240" w:line="276" w:lineRule="auto"/>
        <w:ind w:right="-79"/>
        <w:rPr>
          <w:rFonts w:ascii="Verdana" w:hAnsi="Verdana"/>
          <w:sz w:val="22"/>
          <w:szCs w:val="22"/>
        </w:rPr>
      </w:pPr>
      <w:r w:rsidRPr="001160A5">
        <w:rPr>
          <w:rFonts w:ascii="Verdana" w:hAnsi="Verdana"/>
          <w:sz w:val="22"/>
          <w:szCs w:val="22"/>
        </w:rPr>
        <w:t xml:space="preserve">Wydział Kontroli Urzędu Miejskiego Wrocławia na podstawie art. 83b ust. 2 </w:t>
      </w:r>
      <w:proofErr w:type="spellStart"/>
      <w:r w:rsidRPr="001160A5">
        <w:rPr>
          <w:rFonts w:ascii="Verdana" w:hAnsi="Verdana"/>
          <w:sz w:val="22"/>
          <w:szCs w:val="22"/>
        </w:rPr>
        <w:t>pkt</w:t>
      </w:r>
      <w:proofErr w:type="spellEnd"/>
      <w:r w:rsidRPr="001160A5">
        <w:rPr>
          <w:rFonts w:ascii="Verdana" w:hAnsi="Verdana"/>
          <w:sz w:val="22"/>
          <w:szCs w:val="22"/>
        </w:rPr>
        <w:t xml:space="preserve"> 1 ustawy Prawo o ruchu drogowym (</w:t>
      </w:r>
      <w:proofErr w:type="spellStart"/>
      <w:r w:rsidRPr="001160A5">
        <w:rPr>
          <w:rFonts w:ascii="Verdana" w:hAnsi="Verdana"/>
          <w:sz w:val="22"/>
          <w:szCs w:val="22"/>
        </w:rPr>
        <w:t>t.j</w:t>
      </w:r>
      <w:proofErr w:type="spellEnd"/>
      <w:r w:rsidRPr="001160A5">
        <w:rPr>
          <w:rFonts w:ascii="Verdana" w:hAnsi="Verdana"/>
          <w:sz w:val="22"/>
          <w:szCs w:val="22"/>
        </w:rPr>
        <w:t xml:space="preserve">. Dz. U. z 2017 r. poz. 1260 z </w:t>
      </w:r>
      <w:proofErr w:type="spellStart"/>
      <w:r w:rsidRPr="001160A5">
        <w:rPr>
          <w:rFonts w:ascii="Verdana" w:hAnsi="Verdana"/>
          <w:sz w:val="22"/>
          <w:szCs w:val="22"/>
        </w:rPr>
        <w:t>późn</w:t>
      </w:r>
      <w:proofErr w:type="spellEnd"/>
      <w:r w:rsidRPr="001160A5">
        <w:rPr>
          <w:rFonts w:ascii="Verdana" w:hAnsi="Verdana"/>
          <w:sz w:val="22"/>
          <w:szCs w:val="22"/>
        </w:rPr>
        <w:t>. zm. – zwana dalej ustawą), przeprowadził kontrolę stacji kontroli pojazdów prowadzonej przez przedsiębiorcę wpisanego do rejestru działalności regulowanej, prowadzonego przez Prezydenta Wrocławia, pod nr ewidencyjnym DW/104/P, ze wskazanym adresem wykonywania działalności: ul. Nowodworska 17B, 54-433 Wrocław.</w:t>
      </w:r>
    </w:p>
    <w:p w:rsidR="002300D7" w:rsidRPr="001160A5" w:rsidRDefault="002300D7" w:rsidP="00845E0F">
      <w:pPr>
        <w:suppressAutoHyphens/>
        <w:spacing w:before="240" w:after="240" w:line="276" w:lineRule="auto"/>
        <w:ind w:right="-79"/>
        <w:rPr>
          <w:rFonts w:ascii="Verdana" w:hAnsi="Verdana"/>
          <w:sz w:val="22"/>
          <w:szCs w:val="22"/>
        </w:rPr>
      </w:pPr>
      <w:r w:rsidRPr="001160A5">
        <w:rPr>
          <w:rFonts w:ascii="Verdana" w:hAnsi="Verdana"/>
          <w:sz w:val="22"/>
          <w:szCs w:val="22"/>
        </w:rPr>
        <w:t>Zakresem kontroli objęto:</w:t>
      </w:r>
    </w:p>
    <w:p w:rsidR="002300D7" w:rsidRPr="001160A5" w:rsidRDefault="002300D7" w:rsidP="00845E0F">
      <w:pPr>
        <w:numPr>
          <w:ilvl w:val="0"/>
          <w:numId w:val="36"/>
        </w:numPr>
        <w:suppressAutoHyphens/>
        <w:spacing w:before="240" w:after="240" w:line="276" w:lineRule="auto"/>
        <w:ind w:left="425" w:right="-79" w:hanging="425"/>
        <w:rPr>
          <w:rFonts w:ascii="Verdana" w:hAnsi="Verdana"/>
          <w:sz w:val="22"/>
          <w:szCs w:val="22"/>
        </w:rPr>
      </w:pPr>
      <w:r w:rsidRPr="001160A5">
        <w:rPr>
          <w:rFonts w:ascii="Verdana" w:hAnsi="Verdana"/>
          <w:sz w:val="22"/>
          <w:szCs w:val="22"/>
        </w:rPr>
        <w:t>Sprawdzenie zgodności stacji z wymaganiami, o których mowa w art. 83 ust. 3 ustawy.</w:t>
      </w:r>
    </w:p>
    <w:p w:rsidR="002300D7" w:rsidRPr="001160A5" w:rsidRDefault="002300D7" w:rsidP="00845E0F">
      <w:pPr>
        <w:numPr>
          <w:ilvl w:val="0"/>
          <w:numId w:val="36"/>
        </w:numPr>
        <w:suppressAutoHyphens/>
        <w:spacing w:before="240" w:after="240" w:line="276" w:lineRule="auto"/>
        <w:ind w:left="425" w:right="-79" w:hanging="425"/>
        <w:rPr>
          <w:rFonts w:ascii="Verdana" w:hAnsi="Verdana"/>
          <w:sz w:val="22"/>
          <w:szCs w:val="22"/>
        </w:rPr>
      </w:pPr>
      <w:r w:rsidRPr="001160A5">
        <w:rPr>
          <w:rFonts w:ascii="Verdana" w:hAnsi="Verdana"/>
          <w:sz w:val="22"/>
          <w:szCs w:val="22"/>
        </w:rPr>
        <w:t>Sprawdzenie prawidłowości wykonywania badań technicznych pojazdów.</w:t>
      </w:r>
    </w:p>
    <w:p w:rsidR="002300D7" w:rsidRPr="001160A5" w:rsidRDefault="002300D7" w:rsidP="00845E0F">
      <w:pPr>
        <w:numPr>
          <w:ilvl w:val="0"/>
          <w:numId w:val="36"/>
        </w:numPr>
        <w:suppressAutoHyphens/>
        <w:spacing w:before="240" w:after="240" w:line="276" w:lineRule="auto"/>
        <w:ind w:left="425" w:right="-79" w:hanging="425"/>
        <w:rPr>
          <w:rFonts w:ascii="Verdana" w:hAnsi="Verdana"/>
          <w:sz w:val="22"/>
          <w:szCs w:val="22"/>
        </w:rPr>
      </w:pPr>
      <w:r w:rsidRPr="001160A5">
        <w:rPr>
          <w:rFonts w:ascii="Verdana" w:hAnsi="Verdana"/>
          <w:sz w:val="22"/>
          <w:szCs w:val="22"/>
        </w:rPr>
        <w:t>Sprawdzenie prawidłowości prowadzenia dokumentacji.</w:t>
      </w:r>
    </w:p>
    <w:p w:rsidR="002300D7" w:rsidRPr="001160A5" w:rsidRDefault="002300D7" w:rsidP="00845E0F">
      <w:pPr>
        <w:suppressAutoHyphens/>
        <w:spacing w:before="240" w:after="240" w:line="276" w:lineRule="auto"/>
        <w:ind w:right="-79"/>
        <w:rPr>
          <w:rFonts w:ascii="Verdana" w:hAnsi="Verdana"/>
          <w:sz w:val="22"/>
          <w:szCs w:val="22"/>
        </w:rPr>
      </w:pPr>
      <w:r w:rsidRPr="001160A5">
        <w:rPr>
          <w:rFonts w:ascii="Verdana" w:hAnsi="Verdana"/>
          <w:sz w:val="22"/>
          <w:szCs w:val="22"/>
        </w:rPr>
        <w:t>Szczegółowe ustalenia kontroli przedstawiono w protokole nr WKN-KSO.5421.2.1.2018 z dnia 16 kwietnia 2018 r., do którego przedsiębiorca nie wniósł zastrzeżeń.</w:t>
      </w:r>
    </w:p>
    <w:p w:rsidR="002300D7" w:rsidRPr="001160A5" w:rsidRDefault="002300D7" w:rsidP="00845E0F">
      <w:pPr>
        <w:suppressAutoHyphens/>
        <w:spacing w:before="240" w:after="240" w:line="276" w:lineRule="auto"/>
        <w:ind w:right="-79"/>
        <w:rPr>
          <w:rFonts w:ascii="Verdana" w:hAnsi="Verdana"/>
          <w:sz w:val="22"/>
          <w:szCs w:val="22"/>
        </w:rPr>
      </w:pPr>
      <w:r w:rsidRPr="001160A5">
        <w:rPr>
          <w:rFonts w:ascii="Verdana" w:hAnsi="Verdana"/>
          <w:sz w:val="22"/>
          <w:szCs w:val="22"/>
        </w:rPr>
        <w:lastRenderedPageBreak/>
        <w:t>Na podstawie dokumentacji objętej kontrolą, wskazanej i opisanej w protokole kontroli:</w:t>
      </w:r>
    </w:p>
    <w:p w:rsidR="002300D7" w:rsidRPr="001160A5" w:rsidRDefault="002300D7" w:rsidP="00845E0F">
      <w:pPr>
        <w:numPr>
          <w:ilvl w:val="0"/>
          <w:numId w:val="37"/>
        </w:numPr>
        <w:suppressAutoHyphens/>
        <w:spacing w:before="240" w:after="240" w:line="276" w:lineRule="auto"/>
        <w:ind w:left="425" w:right="-79" w:hanging="414"/>
        <w:rPr>
          <w:rFonts w:ascii="Verdana" w:hAnsi="Verdana"/>
          <w:sz w:val="22"/>
          <w:szCs w:val="22"/>
        </w:rPr>
      </w:pPr>
      <w:r w:rsidRPr="001160A5">
        <w:rPr>
          <w:rFonts w:ascii="Verdana" w:hAnsi="Verdana"/>
          <w:sz w:val="22"/>
          <w:szCs w:val="22"/>
        </w:rPr>
        <w:t>Nie stwierdzono nieprawidłowośc</w:t>
      </w:r>
      <w:r w:rsidR="00411CDF">
        <w:rPr>
          <w:rFonts w:ascii="Verdana" w:hAnsi="Verdana"/>
          <w:sz w:val="22"/>
          <w:szCs w:val="22"/>
        </w:rPr>
        <w:t xml:space="preserve">i w zakresie zgodności stacji z </w:t>
      </w:r>
      <w:r w:rsidRPr="001160A5">
        <w:rPr>
          <w:rFonts w:ascii="Verdana" w:hAnsi="Verdana"/>
          <w:sz w:val="22"/>
          <w:szCs w:val="22"/>
        </w:rPr>
        <w:t>wymaganiami, o których mowa w art. 83 ust. 3 ustawy.</w:t>
      </w:r>
    </w:p>
    <w:p w:rsidR="002300D7" w:rsidRPr="001160A5" w:rsidRDefault="002300D7" w:rsidP="00845E0F">
      <w:pPr>
        <w:numPr>
          <w:ilvl w:val="0"/>
          <w:numId w:val="37"/>
        </w:numPr>
        <w:suppressAutoHyphens/>
        <w:spacing w:before="240" w:after="240" w:line="276" w:lineRule="auto"/>
        <w:ind w:left="425" w:right="-79" w:hanging="414"/>
        <w:rPr>
          <w:rFonts w:ascii="Verdana" w:hAnsi="Verdana"/>
          <w:sz w:val="22"/>
          <w:szCs w:val="22"/>
        </w:rPr>
      </w:pPr>
      <w:r w:rsidRPr="001160A5">
        <w:rPr>
          <w:rFonts w:ascii="Verdana" w:hAnsi="Verdana"/>
          <w:sz w:val="22"/>
          <w:szCs w:val="22"/>
        </w:rPr>
        <w:t>Stwierdzono nieprawidłowości w zakresie wykonywania badań technicznych pojazdów.</w:t>
      </w:r>
    </w:p>
    <w:p w:rsidR="002300D7" w:rsidRPr="001160A5" w:rsidRDefault="002300D7" w:rsidP="00845E0F">
      <w:pPr>
        <w:suppressAutoHyphens/>
        <w:spacing w:before="240" w:after="240" w:line="276" w:lineRule="auto"/>
        <w:ind w:left="425" w:right="-79"/>
        <w:rPr>
          <w:rFonts w:ascii="Verdana" w:hAnsi="Verdana"/>
          <w:sz w:val="22"/>
          <w:szCs w:val="22"/>
        </w:rPr>
      </w:pPr>
      <w:r w:rsidRPr="001160A5">
        <w:rPr>
          <w:rFonts w:ascii="Verdana" w:hAnsi="Verdana"/>
          <w:sz w:val="22"/>
          <w:szCs w:val="22"/>
        </w:rPr>
        <w:t xml:space="preserve">W czasie kontroli zespół kontrolujący obserwował przebieg badania technicznego pojazdu marki RENAULT. Rejestr badań technicznych pojazdów w pozycji o nr 01295/DW/104/P/2018 oraz zaświadczenie o przeprowadzonym badaniu technicznym pojazdu o tym samym numerze potwierdzają przeprowadzenie badania okresowego, które </w:t>
      </w:r>
      <w:r w:rsidR="00411CDF">
        <w:rPr>
          <w:rFonts w:ascii="Verdana" w:hAnsi="Verdana"/>
          <w:sz w:val="22"/>
          <w:szCs w:val="22"/>
        </w:rPr>
        <w:t>zakończono wynikiem negatywnym.</w:t>
      </w:r>
    </w:p>
    <w:p w:rsidR="002300D7" w:rsidRPr="001160A5" w:rsidRDefault="002300D7" w:rsidP="00845E0F">
      <w:pPr>
        <w:suppressAutoHyphens/>
        <w:spacing w:before="240" w:after="240" w:line="276" w:lineRule="auto"/>
        <w:ind w:left="425" w:right="-79"/>
        <w:rPr>
          <w:rFonts w:ascii="Verdana" w:hAnsi="Verdana"/>
          <w:sz w:val="22"/>
          <w:szCs w:val="22"/>
        </w:rPr>
      </w:pPr>
      <w:r w:rsidRPr="001160A5">
        <w:rPr>
          <w:rFonts w:ascii="Verdana" w:hAnsi="Verdana"/>
          <w:sz w:val="22"/>
          <w:szCs w:val="22"/>
        </w:rPr>
        <w:t xml:space="preserve">Diagnosta dokonując kontroli organoleptycznej oraz sprawdzenia działania spryskiwaczy szyby tylnej stwierdził, że jeden z nich nie działa prawidłowo, natomiast w rejestrze oraz w wydanym zaświadczeniu przyporządkował stwierdzoną usterkę do spryskiwaczy szyby przedniej i ocenił jako usterkę drobną, opisaną w </w:t>
      </w:r>
      <w:proofErr w:type="spellStart"/>
      <w:r w:rsidRPr="001160A5">
        <w:rPr>
          <w:rFonts w:ascii="Verdana" w:hAnsi="Verdana"/>
          <w:sz w:val="22"/>
          <w:szCs w:val="22"/>
        </w:rPr>
        <w:t>pkt</w:t>
      </w:r>
      <w:proofErr w:type="spellEnd"/>
      <w:r w:rsidRPr="001160A5">
        <w:rPr>
          <w:rFonts w:ascii="Verdana" w:hAnsi="Verdana"/>
          <w:sz w:val="22"/>
          <w:szCs w:val="22"/>
        </w:rPr>
        <w:t xml:space="preserve"> 3.5. działu I, załącznika nr 1 do rozporządzenia MTBIG Ministra Transportu, Budownictwa i Gospodarki Morskiej z dnia 26 czerwca 2012 r. w sprawie zakresu i sposobu przeprowadzania badań technicznych pojazdów oraz wzorów dokumentów stosowanych przy tych badaniach (</w:t>
      </w:r>
      <w:proofErr w:type="spellStart"/>
      <w:r w:rsidRPr="001160A5">
        <w:rPr>
          <w:rFonts w:ascii="Verdana" w:hAnsi="Verdana"/>
          <w:sz w:val="22"/>
          <w:szCs w:val="22"/>
        </w:rPr>
        <w:t>t.j</w:t>
      </w:r>
      <w:proofErr w:type="spellEnd"/>
      <w:r w:rsidRPr="001160A5">
        <w:rPr>
          <w:rFonts w:ascii="Verdana" w:hAnsi="Verdana"/>
          <w:sz w:val="22"/>
          <w:szCs w:val="22"/>
        </w:rPr>
        <w:t xml:space="preserve">. Dz. U. z 2015 r. poz. 776 z </w:t>
      </w:r>
      <w:proofErr w:type="spellStart"/>
      <w:r w:rsidRPr="001160A5">
        <w:rPr>
          <w:rFonts w:ascii="Verdana" w:hAnsi="Verdana"/>
          <w:sz w:val="22"/>
          <w:szCs w:val="22"/>
        </w:rPr>
        <w:t>późn</w:t>
      </w:r>
      <w:proofErr w:type="spellEnd"/>
      <w:r w:rsidRPr="001160A5">
        <w:rPr>
          <w:rFonts w:ascii="Verdana" w:hAnsi="Verdana"/>
          <w:sz w:val="22"/>
          <w:szCs w:val="22"/>
        </w:rPr>
        <w:t xml:space="preserve">. zm. – zwane dalej rozporządzeniem </w:t>
      </w:r>
      <w:proofErr w:type="spellStart"/>
      <w:r w:rsidRPr="001160A5">
        <w:rPr>
          <w:rFonts w:ascii="Verdana" w:hAnsi="Verdana"/>
          <w:sz w:val="22"/>
          <w:szCs w:val="22"/>
        </w:rPr>
        <w:t>MTBiG</w:t>
      </w:r>
      <w:proofErr w:type="spellEnd"/>
      <w:r w:rsidRPr="001160A5">
        <w:rPr>
          <w:rFonts w:ascii="Verdana" w:hAnsi="Verdana"/>
          <w:sz w:val="22"/>
          <w:szCs w:val="22"/>
        </w:rPr>
        <w:t>).</w:t>
      </w:r>
    </w:p>
    <w:p w:rsidR="002300D7" w:rsidRPr="001160A5" w:rsidRDefault="002300D7" w:rsidP="00845E0F">
      <w:pPr>
        <w:suppressAutoHyphens/>
        <w:spacing w:before="240" w:after="240" w:line="276" w:lineRule="auto"/>
        <w:ind w:left="425"/>
        <w:rPr>
          <w:rFonts w:ascii="Verdana" w:hAnsi="Verdana"/>
          <w:sz w:val="22"/>
          <w:szCs w:val="22"/>
        </w:rPr>
      </w:pPr>
      <w:r w:rsidRPr="001160A5">
        <w:rPr>
          <w:rFonts w:ascii="Verdana" w:hAnsi="Verdana" w:cs="Verdana"/>
          <w:sz w:val="22"/>
          <w:szCs w:val="22"/>
        </w:rPr>
        <w:t xml:space="preserve">Wprawdzie ustawodawca nie wprowadził w rozporządzeniu </w:t>
      </w:r>
      <w:proofErr w:type="spellStart"/>
      <w:r w:rsidRPr="001160A5">
        <w:rPr>
          <w:rFonts w:ascii="Verdana" w:hAnsi="Verdana" w:cs="Verdana"/>
          <w:sz w:val="22"/>
          <w:szCs w:val="22"/>
        </w:rPr>
        <w:t>MTBiG</w:t>
      </w:r>
      <w:proofErr w:type="spellEnd"/>
      <w:r w:rsidRPr="001160A5">
        <w:rPr>
          <w:rFonts w:ascii="Verdana" w:hAnsi="Verdana" w:cs="Verdana"/>
          <w:sz w:val="22"/>
          <w:szCs w:val="22"/>
        </w:rPr>
        <w:t xml:space="preserve"> usterki dotyczącej spryskiwacza szyby tylnej, jednakże w </w:t>
      </w:r>
      <w:proofErr w:type="spellStart"/>
      <w:r w:rsidRPr="001160A5">
        <w:rPr>
          <w:rFonts w:ascii="Verdana" w:hAnsi="Verdana" w:cs="Verdana"/>
          <w:sz w:val="22"/>
          <w:szCs w:val="22"/>
        </w:rPr>
        <w:t>pkt</w:t>
      </w:r>
      <w:proofErr w:type="spellEnd"/>
      <w:r w:rsidRPr="001160A5">
        <w:rPr>
          <w:rFonts w:ascii="Verdana" w:hAnsi="Verdana" w:cs="Verdana"/>
          <w:sz w:val="22"/>
          <w:szCs w:val="22"/>
        </w:rPr>
        <w:t xml:space="preserve"> 2 „UWAGI:” działu I, załącznika nr 1 do rozporządzenia </w:t>
      </w:r>
      <w:proofErr w:type="spellStart"/>
      <w:r w:rsidRPr="001160A5">
        <w:rPr>
          <w:rFonts w:ascii="Verdana" w:hAnsi="Verdana" w:cs="Verdana"/>
          <w:sz w:val="22"/>
          <w:szCs w:val="22"/>
        </w:rPr>
        <w:t>MTBiG</w:t>
      </w:r>
      <w:proofErr w:type="spellEnd"/>
      <w:r w:rsidRPr="001160A5">
        <w:rPr>
          <w:rFonts w:ascii="Verdana" w:hAnsi="Verdana" w:cs="Verdana"/>
          <w:sz w:val="22"/>
          <w:szCs w:val="22"/>
        </w:rPr>
        <w:t xml:space="preserve"> wskazał, że „Wykaz czynności oraz metody i kryteria oceny stanu technicznego pojazdów nie wyczerpują wszystkich możliwych przypadków niesprawności.”. Diagnosta, dokonując oceny utrzymania pojazdu w stanie umożliwiającym korzystanie w sposób zapewniający dostateczne pole widzenia kierowcy, o czym mowa w art. 66 ust. 1 </w:t>
      </w:r>
      <w:proofErr w:type="spellStart"/>
      <w:r w:rsidRPr="001160A5">
        <w:rPr>
          <w:rFonts w:ascii="Verdana" w:hAnsi="Verdana" w:cs="Verdana"/>
          <w:sz w:val="22"/>
          <w:szCs w:val="22"/>
        </w:rPr>
        <w:t>pkt</w:t>
      </w:r>
      <w:proofErr w:type="spellEnd"/>
      <w:r w:rsidRPr="001160A5">
        <w:rPr>
          <w:rFonts w:ascii="Verdana" w:hAnsi="Verdana" w:cs="Verdana"/>
          <w:sz w:val="22"/>
          <w:szCs w:val="22"/>
        </w:rPr>
        <w:t xml:space="preserve"> 5 ustawy, ma możliwość wskazania innych nieprawidłowości mających wpływ na pole widzenia kierowcy, jednakże ich opis zawarty w zaświadczeniu winien potwierdzać stan faktyczny.</w:t>
      </w:r>
    </w:p>
    <w:p w:rsidR="002300D7" w:rsidRPr="001160A5" w:rsidRDefault="002300D7" w:rsidP="00845E0F">
      <w:pPr>
        <w:suppressAutoHyphens/>
        <w:autoSpaceDE w:val="0"/>
        <w:autoSpaceDN w:val="0"/>
        <w:adjustRightInd w:val="0"/>
        <w:spacing w:before="240" w:after="240" w:line="276" w:lineRule="auto"/>
        <w:rPr>
          <w:rFonts w:ascii="Verdana" w:hAnsi="Verdana"/>
          <w:sz w:val="22"/>
          <w:szCs w:val="22"/>
        </w:rPr>
      </w:pPr>
      <w:r w:rsidRPr="001160A5">
        <w:rPr>
          <w:rFonts w:ascii="Verdana" w:hAnsi="Verdana"/>
          <w:sz w:val="22"/>
          <w:szCs w:val="22"/>
        </w:rPr>
        <w:t>Mając na uwadze stwierdzoną powyżej nieprawidłowość zaleca się na bieżąco:</w:t>
      </w:r>
    </w:p>
    <w:p w:rsidR="002300D7" w:rsidRPr="001160A5" w:rsidRDefault="002300D7" w:rsidP="00845E0F">
      <w:pPr>
        <w:suppressAutoHyphens/>
        <w:spacing w:before="240" w:after="240" w:line="276" w:lineRule="auto"/>
        <w:ind w:left="425"/>
        <w:rPr>
          <w:rFonts w:ascii="Verdana" w:hAnsi="Verdana"/>
          <w:sz w:val="22"/>
          <w:szCs w:val="22"/>
        </w:rPr>
      </w:pPr>
      <w:r w:rsidRPr="001160A5">
        <w:rPr>
          <w:rFonts w:ascii="Verdana" w:hAnsi="Verdana"/>
          <w:sz w:val="22"/>
          <w:szCs w:val="22"/>
        </w:rPr>
        <w:t>Dokonywać zgodnego ze stanem faktycznym opisu stwierdzonych w trakcie badania usterek w rejestrze badań technicznych pojazdów oraz w zaświadczeniu o przeprowadzonym badaniu technicznym pojazdu.</w:t>
      </w:r>
    </w:p>
    <w:p w:rsidR="002300D7" w:rsidRPr="001160A5" w:rsidRDefault="002300D7" w:rsidP="00845E0F">
      <w:pPr>
        <w:numPr>
          <w:ilvl w:val="0"/>
          <w:numId w:val="37"/>
        </w:numPr>
        <w:suppressAutoHyphens/>
        <w:spacing w:before="240" w:after="240" w:line="276" w:lineRule="auto"/>
        <w:ind w:left="425" w:right="-79" w:hanging="414"/>
        <w:rPr>
          <w:rFonts w:ascii="Verdana" w:hAnsi="Verdana"/>
          <w:sz w:val="22"/>
          <w:szCs w:val="22"/>
        </w:rPr>
      </w:pPr>
      <w:r w:rsidRPr="001160A5">
        <w:rPr>
          <w:rFonts w:ascii="Verdana" w:hAnsi="Verdana"/>
          <w:sz w:val="22"/>
          <w:szCs w:val="22"/>
        </w:rPr>
        <w:t>Stwierdzono nieprawidłowości w zakresie prowadzenia wymaganej dokumentacji:</w:t>
      </w:r>
    </w:p>
    <w:p w:rsidR="002300D7" w:rsidRPr="001160A5" w:rsidRDefault="002300D7" w:rsidP="00845E0F">
      <w:pPr>
        <w:pStyle w:val="Nagwektabeli"/>
        <w:numPr>
          <w:ilvl w:val="0"/>
          <w:numId w:val="40"/>
        </w:numPr>
        <w:suppressLineNumbers w:val="0"/>
        <w:tabs>
          <w:tab w:val="num" w:pos="426"/>
        </w:tabs>
        <w:spacing w:before="240" w:after="240" w:line="276" w:lineRule="auto"/>
        <w:ind w:left="425" w:hanging="425"/>
        <w:jc w:val="left"/>
        <w:rPr>
          <w:b w:val="0"/>
          <w:sz w:val="22"/>
          <w:szCs w:val="22"/>
        </w:rPr>
      </w:pPr>
      <w:r w:rsidRPr="001160A5">
        <w:rPr>
          <w:b w:val="0"/>
          <w:sz w:val="22"/>
          <w:szCs w:val="22"/>
        </w:rPr>
        <w:lastRenderedPageBreak/>
        <w:t>W rejestrze badań technicznych pojazdów pod pozycją o nr 01289/DW/104/P/2018, w zaświadczeniu o przeprowadzonym badaniu technicznym pojazdu oraz w Dokumencie Identyfikacyjnym Pojazdu (zwanym dalej dokumentem DIP) o tym samym numerze, potwierdzono przeprowadzenie badania okresowego pojazdu, przystosowanego do ciągnięcia przyczepy, przed pierwszą rejestracją na teryto</w:t>
      </w:r>
      <w:r w:rsidR="00411CDF">
        <w:rPr>
          <w:b w:val="0"/>
          <w:sz w:val="22"/>
          <w:szCs w:val="22"/>
        </w:rPr>
        <w:t>rium Rzeczypospolitej Polskiej.</w:t>
      </w:r>
    </w:p>
    <w:p w:rsidR="002300D7" w:rsidRPr="001160A5" w:rsidRDefault="002300D7" w:rsidP="00845E0F">
      <w:pPr>
        <w:pStyle w:val="Nagwektabeli"/>
        <w:suppressLineNumbers w:val="0"/>
        <w:spacing w:before="240" w:after="240" w:line="276" w:lineRule="auto"/>
        <w:ind w:left="425"/>
        <w:jc w:val="left"/>
        <w:rPr>
          <w:b w:val="0"/>
          <w:sz w:val="22"/>
          <w:szCs w:val="22"/>
        </w:rPr>
      </w:pPr>
      <w:r w:rsidRPr="001160A5">
        <w:rPr>
          <w:b w:val="0"/>
          <w:sz w:val="22"/>
          <w:szCs w:val="22"/>
        </w:rPr>
        <w:t>W rejestrze badań technicznych pojazdów oraz w wydanym, w dniu 26 marca 2018 r. zaświadczeniu, diagnosta wyznaczył dla pojazdu sprowadzonego z zagranicy, którego datą pierwszej rejestracji za granicą jest 18 listopada 2014 r., termin następnego badania do 26 marca 2019 r. zamiast do 18 listopada 2019 r., co stanowi naruszenie art. 81 ust. 6 ustawy, zgodnie z którym okresowe badanie techniczne samochodu osobowego […] przeprowadza się przed upływem 3 lat od dnia pierwszej rejestracji, następnie przed upływem 5 lat od dnia pierwszej rejestracji i nie później niż 2 lata od dnia przeprowadzenia poprzedniego badania technicznego, […]”.</w:t>
      </w:r>
    </w:p>
    <w:p w:rsidR="002300D7" w:rsidRPr="001160A5" w:rsidRDefault="002300D7" w:rsidP="00845E0F">
      <w:pPr>
        <w:pStyle w:val="Nagwektabeli"/>
        <w:suppressLineNumbers w:val="0"/>
        <w:spacing w:before="240" w:after="240" w:line="276" w:lineRule="auto"/>
        <w:ind w:left="425"/>
        <w:jc w:val="left"/>
        <w:rPr>
          <w:b w:val="0"/>
          <w:sz w:val="22"/>
          <w:szCs w:val="22"/>
        </w:rPr>
      </w:pPr>
      <w:r w:rsidRPr="001160A5">
        <w:rPr>
          <w:b w:val="0"/>
          <w:sz w:val="22"/>
          <w:szCs w:val="22"/>
        </w:rPr>
        <w:t xml:space="preserve">W dokumencie DIP stwierdzono brak informacji o dodatkowym wyposażeniu badanego pojazdu w hak, co stanowi naruszenie objaśnień do rubryki „Dodatkowe informacje:” załącznika nr 4 do rozporządzenia </w:t>
      </w:r>
      <w:proofErr w:type="spellStart"/>
      <w:r w:rsidRPr="001160A5">
        <w:rPr>
          <w:b w:val="0"/>
          <w:sz w:val="22"/>
          <w:szCs w:val="22"/>
        </w:rPr>
        <w:t>MTBiG</w:t>
      </w:r>
      <w:proofErr w:type="spellEnd"/>
      <w:r w:rsidRPr="001160A5">
        <w:rPr>
          <w:b w:val="0"/>
          <w:sz w:val="22"/>
          <w:szCs w:val="22"/>
        </w:rPr>
        <w:t>.</w:t>
      </w:r>
    </w:p>
    <w:p w:rsidR="002300D7" w:rsidRPr="001160A5" w:rsidRDefault="002300D7" w:rsidP="00845E0F">
      <w:pPr>
        <w:pStyle w:val="Nagwektabeli"/>
        <w:suppressLineNumbers w:val="0"/>
        <w:spacing w:before="240" w:after="240" w:line="276" w:lineRule="auto"/>
        <w:ind w:left="425"/>
        <w:jc w:val="left"/>
        <w:rPr>
          <w:b w:val="0"/>
          <w:sz w:val="22"/>
          <w:szCs w:val="22"/>
        </w:rPr>
      </w:pPr>
      <w:r w:rsidRPr="001160A5">
        <w:rPr>
          <w:b w:val="0"/>
          <w:sz w:val="22"/>
          <w:szCs w:val="22"/>
        </w:rPr>
        <w:t xml:space="preserve">Ponadto, w rejestrze badań technicznych pojazdów, w zaświadczeniu o przeprowadzonym badaniu technicznym pojazdu oraz w dokumencie DIP brak jest informacji o nr rejestracyjnym pojazdu, co stanowi naruszenie § 2 ust. 9, ust. 10, § 5 ust. 2 rozporządzenia </w:t>
      </w:r>
      <w:proofErr w:type="spellStart"/>
      <w:r w:rsidRPr="001160A5">
        <w:rPr>
          <w:b w:val="0"/>
          <w:sz w:val="22"/>
          <w:szCs w:val="22"/>
        </w:rPr>
        <w:t>MTBiG</w:t>
      </w:r>
      <w:proofErr w:type="spellEnd"/>
      <w:r w:rsidRPr="001160A5">
        <w:rPr>
          <w:b w:val="0"/>
          <w:sz w:val="22"/>
          <w:szCs w:val="22"/>
        </w:rPr>
        <w:t xml:space="preserve">, </w:t>
      </w:r>
      <w:proofErr w:type="spellStart"/>
      <w:r w:rsidRPr="001160A5">
        <w:rPr>
          <w:b w:val="0"/>
          <w:sz w:val="22"/>
          <w:szCs w:val="22"/>
        </w:rPr>
        <w:t>pkt</w:t>
      </w:r>
      <w:proofErr w:type="spellEnd"/>
      <w:r w:rsidRPr="001160A5">
        <w:rPr>
          <w:b w:val="0"/>
          <w:sz w:val="22"/>
          <w:szCs w:val="22"/>
        </w:rPr>
        <w:t xml:space="preserve"> 1 załącznika nr 4 do rozporządzenia </w:t>
      </w:r>
      <w:proofErr w:type="spellStart"/>
      <w:r w:rsidRPr="001160A5">
        <w:rPr>
          <w:b w:val="0"/>
          <w:sz w:val="22"/>
          <w:szCs w:val="22"/>
        </w:rPr>
        <w:t>MTBiG</w:t>
      </w:r>
      <w:proofErr w:type="spellEnd"/>
      <w:r w:rsidRPr="001160A5">
        <w:rPr>
          <w:b w:val="0"/>
          <w:sz w:val="22"/>
          <w:szCs w:val="22"/>
        </w:rPr>
        <w:t xml:space="preserve"> oraz ust. 2 </w:t>
      </w:r>
      <w:proofErr w:type="spellStart"/>
      <w:r w:rsidRPr="001160A5">
        <w:rPr>
          <w:b w:val="0"/>
          <w:sz w:val="22"/>
          <w:szCs w:val="22"/>
        </w:rPr>
        <w:t>pkt</w:t>
      </w:r>
      <w:proofErr w:type="spellEnd"/>
      <w:r w:rsidRPr="001160A5">
        <w:rPr>
          <w:b w:val="0"/>
          <w:sz w:val="22"/>
          <w:szCs w:val="22"/>
        </w:rPr>
        <w:t xml:space="preserve"> 4 załącznika nr 8 do rozporządzenia </w:t>
      </w:r>
      <w:proofErr w:type="spellStart"/>
      <w:r w:rsidRPr="001160A5">
        <w:rPr>
          <w:b w:val="0"/>
          <w:sz w:val="22"/>
          <w:szCs w:val="22"/>
        </w:rPr>
        <w:t>MTBiG</w:t>
      </w:r>
      <w:proofErr w:type="spellEnd"/>
      <w:r w:rsidRPr="001160A5">
        <w:rPr>
          <w:b w:val="0"/>
          <w:sz w:val="22"/>
          <w:szCs w:val="22"/>
        </w:rPr>
        <w:t>.</w:t>
      </w:r>
    </w:p>
    <w:p w:rsidR="002300D7" w:rsidRPr="001160A5" w:rsidRDefault="002300D7" w:rsidP="00845E0F">
      <w:pPr>
        <w:pStyle w:val="Nagwektabeli"/>
        <w:numPr>
          <w:ilvl w:val="0"/>
          <w:numId w:val="40"/>
        </w:numPr>
        <w:suppressLineNumbers w:val="0"/>
        <w:tabs>
          <w:tab w:val="num" w:pos="426"/>
        </w:tabs>
        <w:spacing w:before="240" w:after="240" w:line="276" w:lineRule="auto"/>
        <w:ind w:left="425" w:hanging="425"/>
        <w:jc w:val="left"/>
        <w:rPr>
          <w:b w:val="0"/>
          <w:sz w:val="22"/>
          <w:szCs w:val="22"/>
        </w:rPr>
      </w:pPr>
      <w:r w:rsidRPr="001160A5">
        <w:rPr>
          <w:b w:val="0"/>
          <w:sz w:val="22"/>
          <w:szCs w:val="22"/>
        </w:rPr>
        <w:t xml:space="preserve">Na podstawie dokumentów potwierdzających wykonanie operacji z rachunku bankowego przedsiębiorcy stwierdzono przypadek nie umieszczenia prawidłowego kodu rozpoznawczego stacji kontroli pojazdów w tytule przelewu bankowego potwierdzającego przekazanie należności z tytułu opłat ewidencyjnych na rachunek bankowy Funduszu – Centralna Ewidencja Pojazdów i Kierowców, co stanowi naruszenie § 5 rozporządzenia Ministra Cyfryzacji z dnia 30 sierpnia 2016 r. w sprawie opłaty ewidencyjnej stanowiącej przychód Funduszu – Centralna Ewidencja Pojazdów i Kierowców (Dz. U. z 2016 r. poz. 1377 z </w:t>
      </w:r>
      <w:proofErr w:type="spellStart"/>
      <w:r w:rsidRPr="001160A5">
        <w:rPr>
          <w:b w:val="0"/>
          <w:sz w:val="22"/>
          <w:szCs w:val="22"/>
        </w:rPr>
        <w:t>późn</w:t>
      </w:r>
      <w:proofErr w:type="spellEnd"/>
      <w:r w:rsidRPr="001160A5">
        <w:rPr>
          <w:b w:val="0"/>
          <w:sz w:val="22"/>
          <w:szCs w:val="22"/>
        </w:rPr>
        <w:t>. zm.).</w:t>
      </w:r>
    </w:p>
    <w:p w:rsidR="002300D7" w:rsidRPr="001160A5" w:rsidRDefault="002300D7" w:rsidP="00845E0F">
      <w:pPr>
        <w:suppressAutoHyphens/>
        <w:spacing w:before="240" w:after="240" w:line="276" w:lineRule="auto"/>
        <w:ind w:right="278"/>
        <w:rPr>
          <w:rFonts w:ascii="Verdana" w:hAnsi="Verdana"/>
          <w:sz w:val="22"/>
          <w:szCs w:val="22"/>
        </w:rPr>
      </w:pPr>
      <w:r w:rsidRPr="001160A5">
        <w:rPr>
          <w:rFonts w:ascii="Verdana" w:hAnsi="Verdana"/>
          <w:sz w:val="22"/>
          <w:szCs w:val="22"/>
        </w:rPr>
        <w:t>Mając na uwadze stwierdzone powyżej nieprawidłowości zaleca się na bieżąco:</w:t>
      </w:r>
    </w:p>
    <w:p w:rsidR="002300D7" w:rsidRPr="001160A5" w:rsidRDefault="002300D7" w:rsidP="009E65E9">
      <w:pPr>
        <w:numPr>
          <w:ilvl w:val="2"/>
          <w:numId w:val="41"/>
        </w:numPr>
        <w:tabs>
          <w:tab w:val="clear" w:pos="1004"/>
          <w:tab w:val="num" w:pos="720"/>
          <w:tab w:val="num" w:pos="5880"/>
        </w:tabs>
        <w:suppressAutoHyphens/>
        <w:spacing w:before="240" w:after="240" w:line="276" w:lineRule="auto"/>
        <w:ind w:left="720" w:hanging="720"/>
        <w:rPr>
          <w:rFonts w:ascii="Verdana" w:hAnsi="Verdana"/>
          <w:sz w:val="22"/>
          <w:szCs w:val="22"/>
        </w:rPr>
      </w:pPr>
      <w:r w:rsidRPr="001160A5">
        <w:rPr>
          <w:rFonts w:ascii="Verdana" w:hAnsi="Verdana"/>
          <w:sz w:val="22"/>
          <w:szCs w:val="22"/>
        </w:rPr>
        <w:t xml:space="preserve">Prawidłowo wyznaczać i wpisywać następny termin badania technicznego pojazdu w rejestrze badań technicznych pojazdów oraz w zaświadczeniu o przeprowadzonym badaniu technicznym pojazdu. </w:t>
      </w:r>
    </w:p>
    <w:p w:rsidR="002300D7" w:rsidRPr="001160A5" w:rsidRDefault="002300D7" w:rsidP="001160A5">
      <w:pPr>
        <w:tabs>
          <w:tab w:val="num" w:pos="2160"/>
        </w:tabs>
        <w:suppressAutoHyphens/>
        <w:spacing w:before="120" w:line="276" w:lineRule="auto"/>
        <w:ind w:left="720"/>
        <w:rPr>
          <w:rFonts w:ascii="Verdana" w:hAnsi="Verdana"/>
          <w:sz w:val="22"/>
          <w:szCs w:val="22"/>
        </w:rPr>
      </w:pPr>
      <w:r w:rsidRPr="001160A5">
        <w:rPr>
          <w:rFonts w:ascii="Verdana" w:hAnsi="Verdana"/>
          <w:sz w:val="22"/>
          <w:szCs w:val="22"/>
        </w:rPr>
        <w:lastRenderedPageBreak/>
        <w:t>Zamieszczać w dokumencie DIP informację o dodatkowym wypo</w:t>
      </w:r>
      <w:r w:rsidR="00411CDF">
        <w:rPr>
          <w:rFonts w:ascii="Verdana" w:hAnsi="Verdana"/>
          <w:sz w:val="22"/>
          <w:szCs w:val="22"/>
        </w:rPr>
        <w:t>sażeniu badanego pojazdu w hak.</w:t>
      </w:r>
    </w:p>
    <w:p w:rsidR="002300D7" w:rsidRPr="001160A5" w:rsidRDefault="002300D7" w:rsidP="009E65E9">
      <w:pPr>
        <w:tabs>
          <w:tab w:val="num" w:pos="2160"/>
        </w:tabs>
        <w:suppressAutoHyphens/>
        <w:spacing w:before="240" w:after="240" w:line="276" w:lineRule="auto"/>
        <w:ind w:left="720"/>
        <w:rPr>
          <w:rFonts w:ascii="Verdana" w:hAnsi="Verdana"/>
          <w:sz w:val="22"/>
          <w:szCs w:val="22"/>
        </w:rPr>
      </w:pPr>
      <w:r w:rsidRPr="001160A5">
        <w:rPr>
          <w:rFonts w:ascii="Verdana" w:hAnsi="Verdana"/>
          <w:sz w:val="22"/>
          <w:szCs w:val="22"/>
        </w:rPr>
        <w:t>Zamieszczać numer rejestracyjny pojazdu w rejestrze badań technicznych pojazdów, w zaświadczeniu o przeprowadzonym badaniu technicznym pojazdu oraz w dokumencie DIP.</w:t>
      </w:r>
    </w:p>
    <w:p w:rsidR="002300D7" w:rsidRPr="001160A5" w:rsidRDefault="002300D7" w:rsidP="009E65E9">
      <w:pPr>
        <w:numPr>
          <w:ilvl w:val="2"/>
          <w:numId w:val="41"/>
        </w:numPr>
        <w:tabs>
          <w:tab w:val="clear" w:pos="1004"/>
          <w:tab w:val="num" w:pos="720"/>
          <w:tab w:val="num" w:pos="5880"/>
        </w:tabs>
        <w:suppressAutoHyphens/>
        <w:spacing w:before="240" w:after="240" w:line="276" w:lineRule="auto"/>
        <w:ind w:left="720" w:hanging="720"/>
        <w:rPr>
          <w:rFonts w:ascii="Verdana" w:hAnsi="Verdana"/>
          <w:sz w:val="22"/>
          <w:szCs w:val="22"/>
        </w:rPr>
      </w:pPr>
      <w:r w:rsidRPr="001160A5">
        <w:rPr>
          <w:rFonts w:ascii="Verdana" w:hAnsi="Verdana"/>
          <w:sz w:val="22"/>
          <w:szCs w:val="22"/>
        </w:rPr>
        <w:t>Umieszczać prawidłowy kod rozpoznawczy stacji kontroli pojazdów w tytule przelewu bankowego potwierdzającego przekazanie należności z tytułu opłat ewidencyjnych na rachunek bankowy Funduszu – Centralna Ewidencja Pojazdów i Kierowców.</w:t>
      </w:r>
    </w:p>
    <w:p w:rsidR="002300D7" w:rsidRPr="001160A5" w:rsidRDefault="002300D7" w:rsidP="009E65E9">
      <w:pPr>
        <w:suppressAutoHyphens/>
        <w:spacing w:before="240" w:after="240" w:line="276" w:lineRule="auto"/>
        <w:ind w:right="-79"/>
        <w:rPr>
          <w:rFonts w:ascii="Verdana" w:hAnsi="Verdana"/>
          <w:sz w:val="22"/>
          <w:szCs w:val="22"/>
        </w:rPr>
      </w:pPr>
      <w:r w:rsidRPr="001160A5">
        <w:rPr>
          <w:rFonts w:ascii="Verdana" w:hAnsi="Verdana"/>
          <w:sz w:val="22"/>
          <w:szCs w:val="22"/>
        </w:rPr>
        <w:t>Ponadto zaleca się poinformować zatrudnionych diagnostów o stwierdzonych nieprawidłowościach i sformułowanych zaleceniach.</w:t>
      </w:r>
    </w:p>
    <w:p w:rsidR="002300D7" w:rsidRPr="001160A5" w:rsidRDefault="002300D7" w:rsidP="009E65E9">
      <w:pPr>
        <w:suppressAutoHyphens/>
        <w:spacing w:before="240" w:after="240" w:line="276" w:lineRule="auto"/>
        <w:ind w:right="-79"/>
        <w:rPr>
          <w:rFonts w:ascii="Verdana" w:hAnsi="Verdana"/>
          <w:sz w:val="22"/>
          <w:szCs w:val="22"/>
        </w:rPr>
      </w:pPr>
      <w:r w:rsidRPr="001160A5">
        <w:rPr>
          <w:rFonts w:ascii="Verdana" w:hAnsi="Verdana"/>
          <w:sz w:val="22"/>
          <w:szCs w:val="22"/>
        </w:rPr>
        <w:t>W związku z wydanymi zaleceniami, proszę o pisemną informację o podjętych środkach zmierzających do poprawy działalno</w:t>
      </w:r>
      <w:r w:rsidR="00411CDF">
        <w:rPr>
          <w:rFonts w:ascii="Verdana" w:hAnsi="Verdana"/>
          <w:sz w:val="22"/>
          <w:szCs w:val="22"/>
        </w:rPr>
        <w:t xml:space="preserve">ści Stacji Kontroli Pojazdów, w </w:t>
      </w:r>
      <w:r w:rsidRPr="001160A5">
        <w:rPr>
          <w:rFonts w:ascii="Verdana" w:hAnsi="Verdana"/>
          <w:sz w:val="22"/>
          <w:szCs w:val="22"/>
        </w:rPr>
        <w:t>terminie 14 dni od daty otrzymania niniejszych zaleceń.</w:t>
      </w:r>
    </w:p>
    <w:p w:rsidR="00722372" w:rsidRPr="001160A5" w:rsidRDefault="00722372" w:rsidP="001160A5">
      <w:pPr>
        <w:suppressAutoHyphens/>
        <w:snapToGrid w:val="0"/>
        <w:spacing w:before="360" w:after="120" w:line="276" w:lineRule="auto"/>
        <w:rPr>
          <w:rFonts w:ascii="Verdana" w:hAnsi="Verdana"/>
          <w:sz w:val="22"/>
          <w:szCs w:val="22"/>
        </w:rPr>
      </w:pPr>
      <w:r w:rsidRPr="001160A5">
        <w:rPr>
          <w:rFonts w:ascii="Verdana" w:hAnsi="Verdana"/>
          <w:sz w:val="22"/>
          <w:szCs w:val="22"/>
        </w:rPr>
        <w:t>Dokument podpisała z upoważnienia Prezydenta</w:t>
      </w:r>
    </w:p>
    <w:p w:rsidR="00722372" w:rsidRPr="001160A5" w:rsidRDefault="00887F59" w:rsidP="001160A5">
      <w:pPr>
        <w:suppressAutoHyphens/>
        <w:snapToGrid w:val="0"/>
        <w:spacing w:before="120" w:after="120" w:line="276" w:lineRule="auto"/>
        <w:rPr>
          <w:rFonts w:ascii="Verdana" w:hAnsi="Verdana"/>
          <w:bCs/>
          <w:sz w:val="22"/>
          <w:szCs w:val="22"/>
        </w:rPr>
      </w:pPr>
      <w:r w:rsidRPr="001160A5">
        <w:rPr>
          <w:rFonts w:ascii="Verdana" w:hAnsi="Verdana"/>
          <w:bCs/>
          <w:sz w:val="22"/>
          <w:szCs w:val="22"/>
        </w:rPr>
        <w:t>Małgorzata Fronia</w:t>
      </w:r>
    </w:p>
    <w:p w:rsidR="00722372" w:rsidRPr="001160A5" w:rsidRDefault="00887F59" w:rsidP="001160A5">
      <w:pPr>
        <w:suppressAutoHyphens/>
        <w:snapToGrid w:val="0"/>
        <w:spacing w:before="120" w:after="360" w:line="276" w:lineRule="auto"/>
        <w:rPr>
          <w:rFonts w:ascii="Verdana" w:hAnsi="Verdana"/>
          <w:bCs/>
          <w:sz w:val="22"/>
          <w:szCs w:val="22"/>
        </w:rPr>
      </w:pPr>
      <w:r w:rsidRPr="001160A5">
        <w:rPr>
          <w:rFonts w:ascii="Verdana" w:hAnsi="Verdana"/>
          <w:bCs/>
          <w:sz w:val="22"/>
          <w:szCs w:val="22"/>
        </w:rPr>
        <w:t xml:space="preserve">Zastępca </w:t>
      </w:r>
      <w:r w:rsidR="00722372" w:rsidRPr="001160A5">
        <w:rPr>
          <w:rFonts w:ascii="Verdana" w:hAnsi="Verdana"/>
          <w:bCs/>
          <w:sz w:val="22"/>
          <w:szCs w:val="22"/>
        </w:rPr>
        <w:t>Dyrektor</w:t>
      </w:r>
      <w:r w:rsidRPr="001160A5">
        <w:rPr>
          <w:rFonts w:ascii="Verdana" w:hAnsi="Verdana"/>
          <w:bCs/>
          <w:sz w:val="22"/>
          <w:szCs w:val="22"/>
        </w:rPr>
        <w:t>a</w:t>
      </w:r>
      <w:r w:rsidR="00722372" w:rsidRPr="001160A5">
        <w:rPr>
          <w:rFonts w:ascii="Verdana" w:hAnsi="Verdana"/>
          <w:bCs/>
          <w:sz w:val="22"/>
          <w:szCs w:val="22"/>
        </w:rPr>
        <w:t xml:space="preserve"> Wydziału Kontroli</w:t>
      </w:r>
    </w:p>
    <w:sectPr w:rsidR="00722372" w:rsidRPr="001160A5"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F4F" w:rsidRDefault="00D34F4F">
      <w:r>
        <w:separator/>
      </w:r>
    </w:p>
  </w:endnote>
  <w:endnote w:type="continuationSeparator" w:id="0">
    <w:p w:rsidR="00D34F4F" w:rsidRDefault="00D34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437536" w:rsidRPr="004D6885">
      <w:rPr>
        <w:sz w:val="14"/>
        <w:szCs w:val="14"/>
      </w:rPr>
      <w:fldChar w:fldCharType="begin"/>
    </w:r>
    <w:r w:rsidRPr="004D6885">
      <w:rPr>
        <w:sz w:val="14"/>
        <w:szCs w:val="14"/>
      </w:rPr>
      <w:instrText xml:space="preserve"> PAGE </w:instrText>
    </w:r>
    <w:r w:rsidR="00437536" w:rsidRPr="004D6885">
      <w:rPr>
        <w:sz w:val="14"/>
        <w:szCs w:val="14"/>
      </w:rPr>
      <w:fldChar w:fldCharType="separate"/>
    </w:r>
    <w:r w:rsidR="009A7B7F">
      <w:rPr>
        <w:noProof/>
        <w:sz w:val="14"/>
        <w:szCs w:val="14"/>
      </w:rPr>
      <w:t>2</w:t>
    </w:r>
    <w:r w:rsidR="00437536" w:rsidRPr="004D6885">
      <w:rPr>
        <w:sz w:val="14"/>
        <w:szCs w:val="14"/>
      </w:rPr>
      <w:fldChar w:fldCharType="end"/>
    </w:r>
    <w:r w:rsidRPr="004D6885">
      <w:rPr>
        <w:sz w:val="14"/>
        <w:szCs w:val="14"/>
      </w:rPr>
      <w:t>/</w:t>
    </w:r>
    <w:r w:rsidR="00437536" w:rsidRPr="004D6885">
      <w:rPr>
        <w:sz w:val="14"/>
        <w:szCs w:val="14"/>
      </w:rPr>
      <w:fldChar w:fldCharType="begin"/>
    </w:r>
    <w:r w:rsidRPr="004D6885">
      <w:rPr>
        <w:sz w:val="14"/>
        <w:szCs w:val="14"/>
      </w:rPr>
      <w:instrText xml:space="preserve"> NUMPAGES </w:instrText>
    </w:r>
    <w:r w:rsidR="00437536" w:rsidRPr="004D6885">
      <w:rPr>
        <w:sz w:val="14"/>
        <w:szCs w:val="14"/>
      </w:rPr>
      <w:fldChar w:fldCharType="separate"/>
    </w:r>
    <w:r w:rsidR="009A7B7F">
      <w:rPr>
        <w:noProof/>
        <w:sz w:val="14"/>
        <w:szCs w:val="14"/>
      </w:rPr>
      <w:t>4</w:t>
    </w:r>
    <w:r w:rsidR="00437536"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F4F" w:rsidRDefault="00D34F4F">
      <w:r>
        <w:separator/>
      </w:r>
    </w:p>
  </w:footnote>
  <w:footnote w:type="continuationSeparator" w:id="0">
    <w:p w:rsidR="00D34F4F" w:rsidRDefault="00D34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43753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6"/>
  </w:num>
  <w:num w:numId="17">
    <w:abstractNumId w:val="28"/>
  </w:num>
  <w:num w:numId="18">
    <w:abstractNumId w:val="25"/>
  </w:num>
  <w:num w:numId="19">
    <w:abstractNumId w:val="33"/>
  </w:num>
  <w:num w:numId="20">
    <w:abstractNumId w:val="10"/>
  </w:num>
  <w:num w:numId="21">
    <w:abstractNumId w:val="31"/>
  </w:num>
  <w:num w:numId="22">
    <w:abstractNumId w:val="12"/>
  </w:num>
  <w:num w:numId="23">
    <w:abstractNumId w:val="34"/>
  </w:num>
  <w:num w:numId="24">
    <w:abstractNumId w:val="21"/>
  </w:num>
  <w:num w:numId="25">
    <w:abstractNumId w:val="23"/>
  </w:num>
  <w:num w:numId="26">
    <w:abstractNumId w:val="18"/>
  </w:num>
  <w:num w:numId="27">
    <w:abstractNumId w:val="18"/>
    <w:lvlOverride w:ilvl="0">
      <w:startOverride w:val="1"/>
    </w:lvlOverride>
  </w:num>
  <w:num w:numId="28">
    <w:abstractNumId w:val="24"/>
  </w:num>
  <w:num w:numId="29">
    <w:abstractNumId w:val="20"/>
  </w:num>
  <w:num w:numId="30">
    <w:abstractNumId w:val="27"/>
  </w:num>
  <w:num w:numId="31">
    <w:abstractNumId w:val="35"/>
  </w:num>
  <w:num w:numId="32">
    <w:abstractNumId w:val="19"/>
  </w:num>
  <w:num w:numId="33">
    <w:abstractNumId w:val="32"/>
  </w:num>
  <w:num w:numId="34">
    <w:abstractNumId w:val="29"/>
  </w:num>
  <w:num w:numId="35">
    <w:abstractNumId w:val="1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08"/>
  <w:autoHyphenation/>
  <w:hyphenationZone w:val="425"/>
  <w:noPunctuationKerning/>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34465B"/>
    <w:rsid w:val="000049D9"/>
    <w:rsid w:val="00022A1D"/>
    <w:rsid w:val="000825F9"/>
    <w:rsid w:val="00097AEF"/>
    <w:rsid w:val="000C653F"/>
    <w:rsid w:val="000C744E"/>
    <w:rsid w:val="000E2359"/>
    <w:rsid w:val="000F199B"/>
    <w:rsid w:val="001160A5"/>
    <w:rsid w:val="00143A44"/>
    <w:rsid w:val="00180DF6"/>
    <w:rsid w:val="00186B3E"/>
    <w:rsid w:val="00190D4E"/>
    <w:rsid w:val="002018DC"/>
    <w:rsid w:val="00203734"/>
    <w:rsid w:val="002300D7"/>
    <w:rsid w:val="00241EB7"/>
    <w:rsid w:val="00256655"/>
    <w:rsid w:val="002654C8"/>
    <w:rsid w:val="00277701"/>
    <w:rsid w:val="002814F7"/>
    <w:rsid w:val="002853C6"/>
    <w:rsid w:val="002970A6"/>
    <w:rsid w:val="002B6140"/>
    <w:rsid w:val="002B7EEC"/>
    <w:rsid w:val="002D67D8"/>
    <w:rsid w:val="002F292D"/>
    <w:rsid w:val="002F445D"/>
    <w:rsid w:val="0032025E"/>
    <w:rsid w:val="00323052"/>
    <w:rsid w:val="00331E60"/>
    <w:rsid w:val="0034465B"/>
    <w:rsid w:val="00345256"/>
    <w:rsid w:val="003854FD"/>
    <w:rsid w:val="00392C8B"/>
    <w:rsid w:val="003B0F52"/>
    <w:rsid w:val="003B4793"/>
    <w:rsid w:val="003D7DFA"/>
    <w:rsid w:val="003E5063"/>
    <w:rsid w:val="003F20D6"/>
    <w:rsid w:val="0040017D"/>
    <w:rsid w:val="00410A92"/>
    <w:rsid w:val="00411CDF"/>
    <w:rsid w:val="00437536"/>
    <w:rsid w:val="004508B6"/>
    <w:rsid w:val="00457491"/>
    <w:rsid w:val="00476291"/>
    <w:rsid w:val="004A21ED"/>
    <w:rsid w:val="004D6885"/>
    <w:rsid w:val="004E5C8D"/>
    <w:rsid w:val="0052572B"/>
    <w:rsid w:val="00540D73"/>
    <w:rsid w:val="005A3893"/>
    <w:rsid w:val="005A4FF1"/>
    <w:rsid w:val="005B71F2"/>
    <w:rsid w:val="005C5E14"/>
    <w:rsid w:val="005D18D1"/>
    <w:rsid w:val="0060130A"/>
    <w:rsid w:val="00627135"/>
    <w:rsid w:val="0063337A"/>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45E0F"/>
    <w:rsid w:val="0088160D"/>
    <w:rsid w:val="00886BBE"/>
    <w:rsid w:val="00887F59"/>
    <w:rsid w:val="008955F9"/>
    <w:rsid w:val="008963E0"/>
    <w:rsid w:val="008A00E4"/>
    <w:rsid w:val="008A40C4"/>
    <w:rsid w:val="008F7D65"/>
    <w:rsid w:val="00916B2A"/>
    <w:rsid w:val="00922B9F"/>
    <w:rsid w:val="00944243"/>
    <w:rsid w:val="0096490C"/>
    <w:rsid w:val="00971FA9"/>
    <w:rsid w:val="009765D0"/>
    <w:rsid w:val="00984F47"/>
    <w:rsid w:val="009A7B7F"/>
    <w:rsid w:val="009E65E9"/>
    <w:rsid w:val="00A005FB"/>
    <w:rsid w:val="00A04E3A"/>
    <w:rsid w:val="00A277F9"/>
    <w:rsid w:val="00A27F20"/>
    <w:rsid w:val="00A816F2"/>
    <w:rsid w:val="00A86D58"/>
    <w:rsid w:val="00AB56BE"/>
    <w:rsid w:val="00AB60B5"/>
    <w:rsid w:val="00AF094C"/>
    <w:rsid w:val="00B02AD0"/>
    <w:rsid w:val="00B14A5E"/>
    <w:rsid w:val="00B73AF4"/>
    <w:rsid w:val="00B81B31"/>
    <w:rsid w:val="00B906E7"/>
    <w:rsid w:val="00B90AEE"/>
    <w:rsid w:val="00BB389F"/>
    <w:rsid w:val="00BD035E"/>
    <w:rsid w:val="00BD5CC3"/>
    <w:rsid w:val="00BE2F8B"/>
    <w:rsid w:val="00BE55DF"/>
    <w:rsid w:val="00C01F45"/>
    <w:rsid w:val="00C2127D"/>
    <w:rsid w:val="00C31A87"/>
    <w:rsid w:val="00C4274A"/>
    <w:rsid w:val="00C53C41"/>
    <w:rsid w:val="00C93054"/>
    <w:rsid w:val="00CA563F"/>
    <w:rsid w:val="00CB3B21"/>
    <w:rsid w:val="00CB45F2"/>
    <w:rsid w:val="00CC1016"/>
    <w:rsid w:val="00CD26BE"/>
    <w:rsid w:val="00CD4AC9"/>
    <w:rsid w:val="00D05152"/>
    <w:rsid w:val="00D13459"/>
    <w:rsid w:val="00D23966"/>
    <w:rsid w:val="00D33992"/>
    <w:rsid w:val="00D34F4F"/>
    <w:rsid w:val="00D35A1A"/>
    <w:rsid w:val="00D627A1"/>
    <w:rsid w:val="00D81AFC"/>
    <w:rsid w:val="00D844BB"/>
    <w:rsid w:val="00D8547D"/>
    <w:rsid w:val="00DB4778"/>
    <w:rsid w:val="00DB725D"/>
    <w:rsid w:val="00DC191D"/>
    <w:rsid w:val="00E13808"/>
    <w:rsid w:val="00E25E6A"/>
    <w:rsid w:val="00E35A19"/>
    <w:rsid w:val="00E52576"/>
    <w:rsid w:val="00E622D0"/>
    <w:rsid w:val="00ED3E79"/>
    <w:rsid w:val="00F1603F"/>
    <w:rsid w:val="00F222E4"/>
    <w:rsid w:val="00F261E5"/>
    <w:rsid w:val="00F40755"/>
    <w:rsid w:val="00F426EA"/>
    <w:rsid w:val="00F8165E"/>
    <w:rsid w:val="00FA5C31"/>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419066867">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978</Words>
  <Characters>5872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4</cp:revision>
  <cp:lastPrinted>2022-01-20T12:19:00Z</cp:lastPrinted>
  <dcterms:created xsi:type="dcterms:W3CDTF">2022-05-11T07:14:00Z</dcterms:created>
  <dcterms:modified xsi:type="dcterms:W3CDTF">2022-07-21T09:43:00Z</dcterms:modified>
</cp:coreProperties>
</file>