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DA" w:rsidRPr="00D954DA" w:rsidRDefault="00D954DA" w:rsidP="00D954D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Centrum TMT” Tadeusz </w:t>
      </w:r>
      <w:proofErr w:type="spellStart"/>
      <w:r>
        <w:rPr>
          <w:rFonts w:ascii="Verdana" w:hAnsi="Verdana"/>
          <w:sz w:val="22"/>
          <w:szCs w:val="22"/>
        </w:rPr>
        <w:t>Kwiędacz</w:t>
      </w:r>
      <w:proofErr w:type="spellEnd"/>
      <w:r>
        <w:rPr>
          <w:rFonts w:ascii="Verdana" w:hAnsi="Verdana"/>
          <w:sz w:val="22"/>
          <w:szCs w:val="22"/>
        </w:rPr>
        <w:t>,</w:t>
      </w:r>
    </w:p>
    <w:p w:rsidR="00D954DA" w:rsidRPr="00D954DA" w:rsidRDefault="00D954DA" w:rsidP="00D954D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 xml:space="preserve">Tomasz </w:t>
      </w:r>
      <w:proofErr w:type="spellStart"/>
      <w:r w:rsidRPr="00D954DA">
        <w:rPr>
          <w:rFonts w:ascii="Verdana" w:hAnsi="Verdana"/>
          <w:sz w:val="22"/>
          <w:szCs w:val="22"/>
        </w:rPr>
        <w:t>Kwiędacz</w:t>
      </w:r>
      <w:proofErr w:type="spellEnd"/>
      <w:r w:rsidRPr="00D954DA">
        <w:rPr>
          <w:rFonts w:ascii="Verdana" w:hAnsi="Verdana"/>
          <w:sz w:val="22"/>
          <w:szCs w:val="22"/>
        </w:rPr>
        <w:t xml:space="preserve"> spółka jawna</w:t>
      </w:r>
    </w:p>
    <w:p w:rsidR="00D954DA" w:rsidRPr="00D954DA" w:rsidRDefault="00D954DA" w:rsidP="00D954D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ul. Świdnicka 151</w:t>
      </w:r>
    </w:p>
    <w:p w:rsidR="00D954DA" w:rsidRPr="00D954DA" w:rsidRDefault="00D954DA" w:rsidP="00D954D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58-200 Dzierżoniów</w:t>
      </w:r>
    </w:p>
    <w:p w:rsidR="00D954DA" w:rsidRPr="00D954DA" w:rsidRDefault="00D954DA" w:rsidP="00D954D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WKN-KSO.5421.2.22.2018</w:t>
      </w:r>
    </w:p>
    <w:p w:rsidR="00D954DA" w:rsidRPr="00D954DA" w:rsidRDefault="00D954DA" w:rsidP="00D954DA">
      <w:pPr>
        <w:pStyle w:val="14StanowiskoPodpisujacego"/>
        <w:spacing w:line="276" w:lineRule="auto"/>
        <w:jc w:val="left"/>
        <w:rPr>
          <w:sz w:val="22"/>
          <w:szCs w:val="22"/>
          <w:highlight w:val="yellow"/>
        </w:rPr>
      </w:pPr>
      <w:r>
        <w:rPr>
          <w:sz w:val="22"/>
          <w:szCs w:val="22"/>
        </w:rPr>
        <w:t>00104823/2018/W</w:t>
      </w:r>
    </w:p>
    <w:p w:rsidR="00D954DA" w:rsidRPr="00D954DA" w:rsidRDefault="00D954DA" w:rsidP="00D954D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D954DA">
        <w:rPr>
          <w:sz w:val="22"/>
          <w:szCs w:val="22"/>
        </w:rPr>
        <w:t>Wrocław, dnia 3 grudnia 2018 r.</w:t>
      </w:r>
    </w:p>
    <w:p w:rsidR="00D954DA" w:rsidRPr="00D954DA" w:rsidRDefault="00D954DA" w:rsidP="00D954D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ZALECENIA POKONTROLNE</w:t>
      </w:r>
    </w:p>
    <w:p w:rsidR="00D954DA" w:rsidRPr="00D954DA" w:rsidRDefault="00D954DA" w:rsidP="00D954D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954DA">
        <w:rPr>
          <w:rFonts w:ascii="Verdana" w:hAnsi="Verdana"/>
          <w:sz w:val="22"/>
          <w:szCs w:val="22"/>
        </w:rPr>
        <w:t>pkt</w:t>
      </w:r>
      <w:proofErr w:type="spellEnd"/>
      <w:r w:rsidRPr="00D954D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954DA">
        <w:rPr>
          <w:rFonts w:ascii="Verdana" w:hAnsi="Verdana"/>
          <w:sz w:val="22"/>
          <w:szCs w:val="22"/>
        </w:rPr>
        <w:t>t.j</w:t>
      </w:r>
      <w:proofErr w:type="spellEnd"/>
      <w:r w:rsidRPr="00D954DA">
        <w:rPr>
          <w:rFonts w:ascii="Verdana" w:hAnsi="Verdana"/>
          <w:sz w:val="22"/>
          <w:szCs w:val="22"/>
        </w:rPr>
        <w:t>. Dz. U. z 2018 r. poz. 1990).</w:t>
      </w:r>
    </w:p>
    <w:p w:rsidR="00D954DA" w:rsidRPr="00D954DA" w:rsidRDefault="00D954DA" w:rsidP="00D954D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954DA">
        <w:rPr>
          <w:rFonts w:ascii="Verdana" w:hAnsi="Verdana"/>
          <w:sz w:val="22"/>
          <w:szCs w:val="22"/>
        </w:rPr>
        <w:t>pkt</w:t>
      </w:r>
      <w:proofErr w:type="spellEnd"/>
      <w:r w:rsidRPr="00D954DA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D954DA">
        <w:rPr>
          <w:rFonts w:ascii="Verdana" w:hAnsi="Verdana"/>
          <w:sz w:val="22"/>
          <w:szCs w:val="22"/>
        </w:rPr>
        <w:t>t.j</w:t>
      </w:r>
      <w:proofErr w:type="spellEnd"/>
      <w:r w:rsidRPr="00D954DA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D954DA">
        <w:rPr>
          <w:rFonts w:ascii="Verdana" w:hAnsi="Verdana"/>
          <w:sz w:val="22"/>
          <w:szCs w:val="22"/>
        </w:rPr>
        <w:t>późn</w:t>
      </w:r>
      <w:proofErr w:type="spellEnd"/>
      <w:r w:rsidRPr="00D954DA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„Centrum TMT” Tadeusz </w:t>
      </w:r>
      <w:proofErr w:type="spellStart"/>
      <w:r w:rsidRPr="00D954DA">
        <w:rPr>
          <w:rFonts w:ascii="Verdana" w:hAnsi="Verdana"/>
          <w:sz w:val="22"/>
          <w:szCs w:val="22"/>
        </w:rPr>
        <w:t>Kwiędacz</w:t>
      </w:r>
      <w:proofErr w:type="spellEnd"/>
      <w:r w:rsidRPr="00D954DA">
        <w:rPr>
          <w:rFonts w:ascii="Verdana" w:hAnsi="Verdana"/>
          <w:sz w:val="22"/>
          <w:szCs w:val="22"/>
        </w:rPr>
        <w:t xml:space="preserve">, Tomasz </w:t>
      </w:r>
      <w:proofErr w:type="spellStart"/>
      <w:r w:rsidRPr="00D954DA">
        <w:rPr>
          <w:rFonts w:ascii="Verdana" w:hAnsi="Verdana"/>
          <w:sz w:val="22"/>
          <w:szCs w:val="22"/>
        </w:rPr>
        <w:t>Kwiędacz</w:t>
      </w:r>
      <w:proofErr w:type="spellEnd"/>
      <w:r w:rsidRPr="00D954DA">
        <w:rPr>
          <w:rFonts w:ascii="Verdana" w:hAnsi="Verdana"/>
          <w:sz w:val="22"/>
          <w:szCs w:val="22"/>
        </w:rPr>
        <w:t xml:space="preserve"> spółka jawna, wpisanego do rejestru działalności regulowanej, prowadzonego przez Prezydenta Wrocławia, pod nr ewidencyjnym DW/085/P, ze wskazanym adresem wykonywania działalności: ul. Horbaczewskiego 75, 54–215 Wrocław.</w:t>
      </w:r>
    </w:p>
    <w:p w:rsidR="00D954DA" w:rsidRPr="00D954DA" w:rsidRDefault="00D954DA" w:rsidP="00D954D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Zakresem kontroli objęto:</w:t>
      </w:r>
    </w:p>
    <w:p w:rsidR="00D954DA" w:rsidRPr="00D954DA" w:rsidRDefault="00D954DA" w:rsidP="00D954D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954DA" w:rsidRPr="00D954DA" w:rsidRDefault="00D954DA" w:rsidP="00D954D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954DA" w:rsidRPr="00D954DA" w:rsidRDefault="00D954DA" w:rsidP="00D954D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Sprawdzenie prawidłowości prowadzenia dokumentacji.</w:t>
      </w:r>
    </w:p>
    <w:p w:rsidR="00D954DA" w:rsidRPr="00D954DA" w:rsidRDefault="00D954DA" w:rsidP="00D954D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Szczegółowe ustalenia kontroli przedstawiono w protokole nr WKN-KSO.5421.2.22.2018 z dnia 15 października 2018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D954DA" w:rsidRPr="00D954DA" w:rsidRDefault="00D954DA" w:rsidP="00D954D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D954DA" w:rsidRPr="00D954DA" w:rsidRDefault="00D954DA" w:rsidP="00D954D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D954DA" w:rsidRPr="00D954DA" w:rsidRDefault="00D954DA" w:rsidP="00D954D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D954DA" w:rsidRPr="00D954DA" w:rsidRDefault="00D954DA" w:rsidP="00D954D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954DA" w:rsidRPr="00D954DA" w:rsidRDefault="00D954DA" w:rsidP="00D954DA">
      <w:pPr>
        <w:pStyle w:val="10Szanowny"/>
        <w:numPr>
          <w:ilvl w:val="0"/>
          <w:numId w:val="38"/>
        </w:numPr>
        <w:suppressAutoHyphens/>
        <w:spacing w:before="240" w:after="240" w:line="276" w:lineRule="auto"/>
        <w:ind w:left="425" w:hanging="357"/>
        <w:jc w:val="left"/>
        <w:rPr>
          <w:sz w:val="22"/>
          <w:szCs w:val="22"/>
          <w:lang w:eastAsia="ar-SA"/>
        </w:rPr>
      </w:pPr>
      <w:r w:rsidRPr="00D954DA">
        <w:rPr>
          <w:sz w:val="22"/>
          <w:szCs w:val="22"/>
        </w:rPr>
        <w:t xml:space="preserve">W rejestrze badań technicznych pojazdów pod pozycją o nr </w:t>
      </w:r>
      <w:r w:rsidRPr="00D954DA">
        <w:rPr>
          <w:sz w:val="22"/>
          <w:szCs w:val="22"/>
          <w:lang w:eastAsia="ar-SA"/>
        </w:rPr>
        <w:t xml:space="preserve">00372/DW/085/P/2018 </w:t>
      </w:r>
      <w:r w:rsidRPr="00D954DA">
        <w:rPr>
          <w:sz w:val="22"/>
          <w:szCs w:val="22"/>
        </w:rPr>
        <w:t xml:space="preserve">oraz w zaświadczeniu o przeprowadzonym badaniu technicznym pojazdu o tym samym numerze potwierdzono wykonanie badania okresowego pojazdu, lecz nie określono wyniku badania technicznego pojazdu, </w:t>
      </w:r>
      <w:r w:rsidRPr="00D954DA">
        <w:rPr>
          <w:sz w:val="22"/>
          <w:szCs w:val="22"/>
          <w:lang w:eastAsia="ar-SA"/>
        </w:rPr>
        <w:t xml:space="preserve">co stanowi naruszenie § 2 ust. 9, § 5 ust. 2 </w:t>
      </w:r>
      <w:r w:rsidRPr="00D954DA">
        <w:rPr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954DA">
        <w:rPr>
          <w:sz w:val="22"/>
          <w:szCs w:val="22"/>
        </w:rPr>
        <w:t>t.j</w:t>
      </w:r>
      <w:proofErr w:type="spellEnd"/>
      <w:r w:rsidRPr="00D954DA">
        <w:rPr>
          <w:sz w:val="22"/>
          <w:szCs w:val="22"/>
        </w:rPr>
        <w:t xml:space="preserve">. Dz. U. z 2015 r. poz. 776 z </w:t>
      </w:r>
      <w:proofErr w:type="spellStart"/>
      <w:r w:rsidRPr="00D954DA">
        <w:rPr>
          <w:sz w:val="22"/>
          <w:szCs w:val="22"/>
        </w:rPr>
        <w:t>późn</w:t>
      </w:r>
      <w:proofErr w:type="spellEnd"/>
      <w:r w:rsidRPr="00D954DA">
        <w:rPr>
          <w:sz w:val="22"/>
          <w:szCs w:val="22"/>
        </w:rPr>
        <w:t xml:space="preserve">. zm. – zwane dalej rozporządzeniem </w:t>
      </w:r>
      <w:proofErr w:type="spellStart"/>
      <w:r w:rsidRPr="00D954DA">
        <w:rPr>
          <w:sz w:val="22"/>
          <w:szCs w:val="22"/>
        </w:rPr>
        <w:t>MTBiG</w:t>
      </w:r>
      <w:proofErr w:type="spellEnd"/>
      <w:r w:rsidRPr="00D954DA">
        <w:rPr>
          <w:sz w:val="22"/>
          <w:szCs w:val="22"/>
        </w:rPr>
        <w:t>)</w:t>
      </w:r>
      <w:r w:rsidRPr="00D954DA">
        <w:rPr>
          <w:sz w:val="22"/>
          <w:szCs w:val="22"/>
          <w:lang w:eastAsia="ar-SA"/>
        </w:rPr>
        <w:t xml:space="preserve">, </w:t>
      </w:r>
      <w:proofErr w:type="spellStart"/>
      <w:r w:rsidRPr="00D954DA">
        <w:rPr>
          <w:sz w:val="22"/>
          <w:szCs w:val="22"/>
          <w:lang w:eastAsia="ar-SA"/>
        </w:rPr>
        <w:t>pkt</w:t>
      </w:r>
      <w:proofErr w:type="spellEnd"/>
      <w:r w:rsidRPr="00D954DA">
        <w:rPr>
          <w:sz w:val="22"/>
          <w:szCs w:val="22"/>
          <w:lang w:eastAsia="ar-SA"/>
        </w:rPr>
        <w:t xml:space="preserve"> 4 objaśnień zawartych w załączniku nr 3 oraz ust. 2 </w:t>
      </w:r>
      <w:proofErr w:type="spellStart"/>
      <w:r w:rsidRPr="00D954DA">
        <w:rPr>
          <w:sz w:val="22"/>
          <w:szCs w:val="22"/>
          <w:lang w:eastAsia="ar-SA"/>
        </w:rPr>
        <w:t>pkt</w:t>
      </w:r>
      <w:proofErr w:type="spellEnd"/>
      <w:r w:rsidRPr="00D954DA">
        <w:rPr>
          <w:sz w:val="22"/>
          <w:szCs w:val="22"/>
          <w:lang w:eastAsia="ar-SA"/>
        </w:rPr>
        <w:t xml:space="preserve"> 9 załącznika nr 8 do rozporządzenia </w:t>
      </w:r>
      <w:proofErr w:type="spellStart"/>
      <w:r w:rsidRPr="00D954DA">
        <w:rPr>
          <w:sz w:val="22"/>
          <w:szCs w:val="22"/>
          <w:lang w:eastAsia="ar-SA"/>
        </w:rPr>
        <w:t>MTBiG</w:t>
      </w:r>
      <w:proofErr w:type="spellEnd"/>
      <w:r w:rsidRPr="00D954DA">
        <w:rPr>
          <w:sz w:val="22"/>
          <w:szCs w:val="22"/>
          <w:lang w:eastAsia="ar-SA"/>
        </w:rPr>
        <w:t>.</w:t>
      </w:r>
    </w:p>
    <w:p w:rsidR="00D954DA" w:rsidRPr="00D954DA" w:rsidRDefault="00D954DA" w:rsidP="00D954DA">
      <w:pPr>
        <w:pStyle w:val="10Szanowny"/>
        <w:numPr>
          <w:ilvl w:val="0"/>
          <w:numId w:val="38"/>
        </w:numPr>
        <w:suppressAutoHyphens/>
        <w:spacing w:before="240" w:after="240" w:line="276" w:lineRule="auto"/>
        <w:ind w:left="425" w:hanging="357"/>
        <w:jc w:val="left"/>
        <w:rPr>
          <w:sz w:val="22"/>
          <w:szCs w:val="22"/>
        </w:rPr>
      </w:pPr>
      <w:r w:rsidRPr="00D954DA">
        <w:rPr>
          <w:sz w:val="22"/>
          <w:szCs w:val="22"/>
        </w:rPr>
        <w:t xml:space="preserve">W rejestrze badań technicznych pojazdów pod pozycją o nr </w:t>
      </w:r>
      <w:r w:rsidRPr="00D954DA">
        <w:rPr>
          <w:sz w:val="22"/>
          <w:szCs w:val="22"/>
          <w:lang w:eastAsia="ar-SA"/>
        </w:rPr>
        <w:t>00316/DW/085/P/2018</w:t>
      </w:r>
      <w:r w:rsidRPr="00D954DA">
        <w:rPr>
          <w:sz w:val="22"/>
          <w:szCs w:val="22"/>
        </w:rPr>
        <w:t xml:space="preserve"> oraz w zaświadczeniu o przeprowadzonym badaniu technicznym pojazdu o tym samym numerze potwierdzono, w dniu 5 czerwca 2018 r., wykonanie badania okresowego pojazdu przystosowanego do ciągnięcia przyczepy, za</w:t>
      </w:r>
      <w:r>
        <w:rPr>
          <w:sz w:val="22"/>
          <w:szCs w:val="22"/>
        </w:rPr>
        <w:t>kończonego wynikiem pozytywnym.</w:t>
      </w:r>
    </w:p>
    <w:p w:rsidR="00D954DA" w:rsidRPr="00D954DA" w:rsidRDefault="00D954DA" w:rsidP="00D954DA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D954DA">
        <w:rPr>
          <w:sz w:val="22"/>
          <w:szCs w:val="22"/>
        </w:rPr>
        <w:t>W toku kontroli ustalono, że adnotacja „HAK” została wpisana do dowodu rejestracyjnego 11 czerwca 2018 r., co oznacza, że w dniu badania brak było w</w:t>
      </w:r>
      <w:r>
        <w:rPr>
          <w:sz w:val="22"/>
          <w:szCs w:val="22"/>
        </w:rPr>
        <w:t>pisu w dowodzie rejestracyjnym.</w:t>
      </w:r>
    </w:p>
    <w:p w:rsidR="00D954DA" w:rsidRPr="00D954DA" w:rsidRDefault="00D954DA" w:rsidP="00D954DA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D954DA">
        <w:rPr>
          <w:sz w:val="22"/>
          <w:szCs w:val="22"/>
        </w:rPr>
        <w:t xml:space="preserve">W rejestrze badań technicznych pojazdów i w zaświadczeniu o przeprowadzonym badaniu technicznym pojazdu, w dniu badania, nie wykazano usterki istotnej, tj. braku adnotacji „HAK” w dowodzie rejestracyjnym i w związku z tym nieprawidłowo określono wynik badania, co stanowi naruszenie § 2 ust. 9, § 5 ust. 2, § 6 ust. 1 rozporządzenia </w:t>
      </w:r>
      <w:proofErr w:type="spellStart"/>
      <w:r w:rsidRPr="00D954DA">
        <w:rPr>
          <w:sz w:val="22"/>
          <w:szCs w:val="22"/>
        </w:rPr>
        <w:t>MTBiG</w:t>
      </w:r>
      <w:proofErr w:type="spellEnd"/>
      <w:r w:rsidRPr="00D954DA">
        <w:rPr>
          <w:sz w:val="22"/>
          <w:szCs w:val="22"/>
        </w:rPr>
        <w:t xml:space="preserve">, </w:t>
      </w:r>
      <w:proofErr w:type="spellStart"/>
      <w:r w:rsidRPr="00D954DA">
        <w:rPr>
          <w:sz w:val="22"/>
          <w:szCs w:val="22"/>
        </w:rPr>
        <w:t>pkt</w:t>
      </w:r>
      <w:proofErr w:type="spellEnd"/>
      <w:r w:rsidRPr="00D954DA">
        <w:rPr>
          <w:sz w:val="22"/>
          <w:szCs w:val="22"/>
        </w:rPr>
        <w:t xml:space="preserve"> 8 objaśnień zawartych w załączniku nr 3 oraz ust. 2 </w:t>
      </w:r>
      <w:proofErr w:type="spellStart"/>
      <w:r w:rsidRPr="00D954DA">
        <w:rPr>
          <w:sz w:val="22"/>
          <w:szCs w:val="22"/>
        </w:rPr>
        <w:t>pkt</w:t>
      </w:r>
      <w:proofErr w:type="spellEnd"/>
      <w:r w:rsidRPr="00D954DA">
        <w:rPr>
          <w:sz w:val="22"/>
          <w:szCs w:val="22"/>
        </w:rPr>
        <w:t xml:space="preserve"> 9, 16 załącznika nr 8 do rozporządzenia </w:t>
      </w:r>
      <w:proofErr w:type="spellStart"/>
      <w:r w:rsidRPr="00D954DA">
        <w:rPr>
          <w:sz w:val="22"/>
          <w:szCs w:val="22"/>
        </w:rPr>
        <w:t>MTBiG</w:t>
      </w:r>
      <w:proofErr w:type="spellEnd"/>
      <w:r w:rsidRPr="00D954DA">
        <w:rPr>
          <w:sz w:val="22"/>
          <w:szCs w:val="22"/>
        </w:rPr>
        <w:t xml:space="preserve"> w związku z § 2 ust. 1 </w:t>
      </w:r>
      <w:proofErr w:type="spellStart"/>
      <w:r w:rsidRPr="00D954DA">
        <w:rPr>
          <w:sz w:val="22"/>
          <w:szCs w:val="22"/>
        </w:rPr>
        <w:t>pkt</w:t>
      </w:r>
      <w:proofErr w:type="spellEnd"/>
      <w:r w:rsidRPr="00D954DA">
        <w:rPr>
          <w:sz w:val="22"/>
          <w:szCs w:val="22"/>
        </w:rPr>
        <w:t xml:space="preserve"> 3 lit. g rozporządzenia </w:t>
      </w:r>
      <w:proofErr w:type="spellStart"/>
      <w:r w:rsidRPr="00D954DA">
        <w:rPr>
          <w:sz w:val="22"/>
          <w:szCs w:val="22"/>
        </w:rPr>
        <w:t>MTBiG</w:t>
      </w:r>
      <w:proofErr w:type="spellEnd"/>
      <w:r w:rsidRPr="00D954DA">
        <w:rPr>
          <w:sz w:val="22"/>
          <w:szCs w:val="22"/>
        </w:rPr>
        <w:t xml:space="preserve">, </w:t>
      </w:r>
      <w:proofErr w:type="spellStart"/>
      <w:r w:rsidRPr="00D954DA">
        <w:rPr>
          <w:sz w:val="22"/>
          <w:szCs w:val="22"/>
        </w:rPr>
        <w:t>pkt</w:t>
      </w:r>
      <w:proofErr w:type="spellEnd"/>
      <w:r w:rsidRPr="00D954DA">
        <w:rPr>
          <w:sz w:val="22"/>
          <w:szCs w:val="22"/>
        </w:rPr>
        <w:t xml:space="preserve"> 6.1.10 lit. e działu I załącznika nr 1 do rozporządzenia </w:t>
      </w:r>
      <w:proofErr w:type="spellStart"/>
      <w:r w:rsidRPr="00D954DA">
        <w:rPr>
          <w:sz w:val="22"/>
          <w:szCs w:val="22"/>
        </w:rPr>
        <w:t>MTBiG</w:t>
      </w:r>
      <w:proofErr w:type="spellEnd"/>
      <w:r w:rsidRPr="00D954DA">
        <w:rPr>
          <w:sz w:val="22"/>
          <w:szCs w:val="22"/>
        </w:rPr>
        <w:t>.</w:t>
      </w:r>
    </w:p>
    <w:p w:rsidR="00D954DA" w:rsidRPr="00D954DA" w:rsidRDefault="00D954DA" w:rsidP="00D954DA">
      <w:pPr>
        <w:pStyle w:val="10Szanowny"/>
        <w:numPr>
          <w:ilvl w:val="0"/>
          <w:numId w:val="38"/>
        </w:numPr>
        <w:suppressAutoHyphens/>
        <w:spacing w:before="240" w:after="240" w:line="276" w:lineRule="auto"/>
        <w:ind w:left="425" w:hanging="357"/>
        <w:jc w:val="left"/>
        <w:rPr>
          <w:sz w:val="22"/>
          <w:szCs w:val="22"/>
        </w:rPr>
      </w:pPr>
      <w:r w:rsidRPr="00D954DA">
        <w:rPr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 ewidencyjnych </w:t>
      </w:r>
      <w:r w:rsidRPr="00D954DA">
        <w:rPr>
          <w:sz w:val="22"/>
          <w:szCs w:val="22"/>
        </w:rPr>
        <w:lastRenderedPageBreak/>
        <w:t xml:space="preserve">na rachunek bankowy Funduszu – Centralna Ewidencja Pojazdów </w:t>
      </w:r>
      <w:r w:rsidRPr="00D954DA">
        <w:rPr>
          <w:sz w:val="22"/>
          <w:szCs w:val="22"/>
        </w:rPr>
        <w:br/>
        <w:t>i Kierowców, oraz przypadki umieszczenia w tytule przelewu bankowego błędnego kodu rozpoznawczego stacji kontroli pojazdów, co stanowiło naruszenie § 5 rozporządzenia Ministra Cyfryzacji z dnia 30 sierpnia 2016 r. w sprawie opłaty ewidencyjnej stanowiącej przychód Funduszu - Centralna Ewidencja Pojazdów i Kierowców (Dz. U. z 2016 r. poz. 1377</w:t>
      </w:r>
      <w:r>
        <w:rPr>
          <w:sz w:val="22"/>
          <w:szCs w:val="22"/>
        </w:rPr>
        <w:t xml:space="preserve"> </w:t>
      </w:r>
      <w:r w:rsidRPr="00D954DA">
        <w:rPr>
          <w:sz w:val="22"/>
          <w:szCs w:val="22"/>
        </w:rPr>
        <w:t xml:space="preserve">z </w:t>
      </w:r>
      <w:proofErr w:type="spellStart"/>
      <w:r w:rsidRPr="00D954DA">
        <w:rPr>
          <w:sz w:val="22"/>
          <w:szCs w:val="22"/>
        </w:rPr>
        <w:t>późn</w:t>
      </w:r>
      <w:proofErr w:type="spellEnd"/>
      <w:r w:rsidRPr="00D954DA">
        <w:rPr>
          <w:sz w:val="22"/>
          <w:szCs w:val="22"/>
        </w:rPr>
        <w:t>. zm.).</w:t>
      </w:r>
    </w:p>
    <w:p w:rsidR="00D954DA" w:rsidRDefault="00D954DA" w:rsidP="00D954D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954DA">
        <w:rPr>
          <w:sz w:val="22"/>
          <w:szCs w:val="22"/>
        </w:rPr>
        <w:t>Mając na uwadze stwierdzone powyżej nieprawidłowości zaleca się na bieżąco:</w:t>
      </w:r>
    </w:p>
    <w:p w:rsidR="00D954DA" w:rsidRDefault="00D954DA" w:rsidP="00D954D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Ad. 1 Określać wynik badania technicznego pojazdu zgodnie ze wzorem zaświadczenia o przeprowadzonym badaniu technicznym pojazdu wskazanym w załączniku nr 3 do rozporządzenia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>, który wskazuje, że pozycje 1, 2 po przeprowadzeniu badania technicznego pojazdu wypełnia się poprzez wyraźne skreślenie treści nie mającej w danym przypadku zastosowania.</w:t>
      </w:r>
    </w:p>
    <w:p w:rsidR="00D954DA" w:rsidRPr="00D954DA" w:rsidRDefault="00D954DA" w:rsidP="00D954D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Ad. 2 Wpisywać informacje o usterkach w rejestrze badań technicznych pojazdów oraz w zaświadczeniu i przeprowadzonym badaniu technicznym pojazdu. Określać wynik badania technicznego pojazdu odpowiednio do stanu faktycznego w trakcie badania.</w:t>
      </w:r>
    </w:p>
    <w:p w:rsidR="00D954DA" w:rsidRPr="00D954DA" w:rsidRDefault="00D954DA" w:rsidP="00D954D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Ad. 3 Przekazywać w terminie do 10 dnia każdego miesiąca opłaty ewidencyjne pobrane w miesiącu poprzedzającym na rachunek bankowy Funduszu - Centralna Ewidencja Pojazdów i Kierowców. Umieszczać w tytule przelewu bankowego prawidłowy kod rozpoznawczy stacji kontroli pojazdów.</w:t>
      </w:r>
    </w:p>
    <w:p w:rsidR="00D954DA" w:rsidRPr="00D954DA" w:rsidRDefault="00D954DA" w:rsidP="00D954D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954DA">
        <w:rPr>
          <w:sz w:val="22"/>
          <w:szCs w:val="22"/>
        </w:rPr>
        <w:t>Ponadto zaleca się poinformować zatrudnionych diagnostów o stwierdzonych nieprawidłowościach i sformułowanych zaleceniach.</w:t>
      </w:r>
    </w:p>
    <w:p w:rsidR="00D954DA" w:rsidRPr="00D954DA" w:rsidRDefault="00D954DA" w:rsidP="00D954D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D954D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954DA" w:rsidRDefault="00722372" w:rsidP="00D954D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954D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954DA" w:rsidRDefault="00887F59" w:rsidP="00D954D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954DA">
        <w:rPr>
          <w:rFonts w:ascii="Verdana" w:hAnsi="Verdana"/>
          <w:bCs/>
          <w:sz w:val="22"/>
          <w:szCs w:val="22"/>
        </w:rPr>
        <w:t>Małgorzata Fronia</w:t>
      </w:r>
    </w:p>
    <w:p w:rsidR="00722372" w:rsidRPr="00D954DA" w:rsidRDefault="00887F59" w:rsidP="00D954D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954D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954DA">
        <w:rPr>
          <w:rFonts w:ascii="Verdana" w:hAnsi="Verdana"/>
          <w:bCs/>
          <w:sz w:val="22"/>
          <w:szCs w:val="22"/>
        </w:rPr>
        <w:t>Dyrektor</w:t>
      </w:r>
      <w:r w:rsidRPr="00D954DA">
        <w:rPr>
          <w:rFonts w:ascii="Verdana" w:hAnsi="Verdana"/>
          <w:bCs/>
          <w:sz w:val="22"/>
          <w:szCs w:val="22"/>
        </w:rPr>
        <w:t>a</w:t>
      </w:r>
      <w:r w:rsidR="00722372" w:rsidRPr="00D954D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954D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315" w:rsidRDefault="004D0315">
      <w:r>
        <w:separator/>
      </w:r>
    </w:p>
  </w:endnote>
  <w:endnote w:type="continuationSeparator" w:id="0">
    <w:p w:rsidR="004D0315" w:rsidRDefault="004D0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545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54574" w:rsidRPr="004D6885">
      <w:rPr>
        <w:sz w:val="14"/>
        <w:szCs w:val="14"/>
      </w:rPr>
      <w:fldChar w:fldCharType="separate"/>
    </w:r>
    <w:r w:rsidR="005E7622">
      <w:rPr>
        <w:noProof/>
        <w:sz w:val="14"/>
        <w:szCs w:val="14"/>
      </w:rPr>
      <w:t>3</w:t>
    </w:r>
    <w:r w:rsidR="0085457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545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54574" w:rsidRPr="004D6885">
      <w:rPr>
        <w:sz w:val="14"/>
        <w:szCs w:val="14"/>
      </w:rPr>
      <w:fldChar w:fldCharType="separate"/>
    </w:r>
    <w:r w:rsidR="005E7622">
      <w:rPr>
        <w:noProof/>
        <w:sz w:val="14"/>
        <w:szCs w:val="14"/>
      </w:rPr>
      <w:t>3</w:t>
    </w:r>
    <w:r w:rsidR="0085457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315" w:rsidRDefault="004D0315">
      <w:r>
        <w:separator/>
      </w:r>
    </w:p>
  </w:footnote>
  <w:footnote w:type="continuationSeparator" w:id="0">
    <w:p w:rsidR="004D0315" w:rsidRDefault="004D0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5457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C63EBD"/>
    <w:multiLevelType w:val="hybridMultilevel"/>
    <w:tmpl w:val="3230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0315"/>
    <w:rsid w:val="004D6885"/>
    <w:rsid w:val="004E5C8D"/>
    <w:rsid w:val="00540D73"/>
    <w:rsid w:val="005A3893"/>
    <w:rsid w:val="005A4FF1"/>
    <w:rsid w:val="005B71F2"/>
    <w:rsid w:val="005C5E14"/>
    <w:rsid w:val="005D18D1"/>
    <w:rsid w:val="005E7622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4574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8C3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511C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954DA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954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54DA"/>
    <w:rPr>
      <w:sz w:val="24"/>
      <w:szCs w:val="24"/>
    </w:rPr>
  </w:style>
  <w:style w:type="paragraph" w:customStyle="1" w:styleId="Nagwektabeli">
    <w:name w:val="Nagłówek tabeli"/>
    <w:basedOn w:val="Normalny"/>
    <w:rsid w:val="00D954D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2022-07-12T11:11:00Z</dcterms:created>
  <dcterms:modified xsi:type="dcterms:W3CDTF">2022-07-12T11:11:00Z</dcterms:modified>
</cp:coreProperties>
</file>